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E1A8" w14:textId="77777777" w:rsidR="0001119B" w:rsidRDefault="0001119B" w:rsidP="0001119B">
      <w:pPr>
        <w:spacing w:after="520" w:line="240" w:lineRule="auto"/>
        <w:jc w:val="center"/>
        <w:rPr>
          <w:b/>
          <w:sz w:val="36"/>
        </w:rPr>
      </w:pPr>
    </w:p>
    <w:p w14:paraId="1FBC3459" w14:textId="0B7AFB21" w:rsidR="0001119B" w:rsidRDefault="0001119B" w:rsidP="0001119B">
      <w:pPr>
        <w:spacing w:after="520" w:line="240" w:lineRule="auto"/>
        <w:jc w:val="center"/>
      </w:pPr>
      <w:r>
        <w:rPr>
          <w:b/>
          <w:sz w:val="36"/>
        </w:rPr>
        <w:t>CGIAR Scaling for Impact</w:t>
      </w:r>
    </w:p>
    <w:p w14:paraId="1230FB00" w14:textId="77777777" w:rsidR="0001119B" w:rsidRPr="00EE42B2" w:rsidRDefault="0001119B" w:rsidP="0001119B">
      <w:pPr>
        <w:spacing w:after="440" w:line="240" w:lineRule="auto"/>
        <w:jc w:val="center"/>
        <w:rPr>
          <w:u w:val="single"/>
        </w:rPr>
      </w:pPr>
      <w:r w:rsidRPr="00EE42B2">
        <w:rPr>
          <w:b/>
          <w:sz w:val="32"/>
          <w:u w:val="single"/>
        </w:rPr>
        <w:t>Scaling Assessment Analysis and Coaching Recommendations</w:t>
      </w:r>
    </w:p>
    <w:p w14:paraId="41E75CF8" w14:textId="77777777" w:rsidR="00EE42B2" w:rsidRDefault="00EE42B2" w:rsidP="0001119B">
      <w:pPr>
        <w:spacing w:after="480" w:line="240" w:lineRule="auto"/>
        <w:jc w:val="center"/>
        <w:rPr>
          <w:b/>
          <w:i/>
          <w:sz w:val="28"/>
        </w:rPr>
      </w:pPr>
    </w:p>
    <w:p w14:paraId="7C19D91B" w14:textId="6B1C90AE" w:rsidR="0001119B" w:rsidRDefault="0001119B" w:rsidP="0001119B">
      <w:pPr>
        <w:spacing w:after="480" w:line="240" w:lineRule="auto"/>
        <w:jc w:val="center"/>
      </w:pPr>
      <w:r>
        <w:rPr>
          <w:b/>
          <w:i/>
          <w:sz w:val="28"/>
        </w:rPr>
        <w:t>Scaling Integrated Digital Climate Advisory Services through a Public-Private Partnership in Kenya</w:t>
      </w:r>
    </w:p>
    <w:p w14:paraId="06AAE429" w14:textId="63E67660" w:rsidR="0001119B" w:rsidRDefault="0001119B" w:rsidP="0001119B">
      <w:pPr>
        <w:spacing w:after="560" w:line="240" w:lineRule="auto"/>
        <w:jc w:val="center"/>
        <w:rPr>
          <w:b/>
          <w:i/>
        </w:rPr>
      </w:pPr>
      <w:r>
        <w:rPr>
          <w:b/>
          <w:i/>
        </w:rPr>
        <w:t>Submitted to the CGIAR Scaling for Impact Team</w:t>
      </w:r>
    </w:p>
    <w:p w14:paraId="1EF490E5" w14:textId="77777777" w:rsidR="00EE42B2" w:rsidRDefault="00EE42B2" w:rsidP="0001119B">
      <w:pPr>
        <w:spacing w:after="560" w:line="240" w:lineRule="auto"/>
        <w:jc w:val="center"/>
      </w:pPr>
    </w:p>
    <w:p w14:paraId="64FFBC67" w14:textId="77777777" w:rsidR="0001119B" w:rsidRDefault="0001119B" w:rsidP="0001119B">
      <w:pPr>
        <w:spacing w:after="160" w:line="240" w:lineRule="auto"/>
        <w:jc w:val="center"/>
      </w:pPr>
      <w:proofErr w:type="gramStart"/>
      <w:r>
        <w:t>By</w:t>
      </w:r>
      <w:proofErr w:type="gramEnd"/>
    </w:p>
    <w:p w14:paraId="44CE5746" w14:textId="77777777" w:rsidR="00EE42B2" w:rsidRDefault="00EE42B2" w:rsidP="0001119B">
      <w:pPr>
        <w:spacing w:after="160" w:line="240" w:lineRule="auto"/>
        <w:jc w:val="center"/>
      </w:pPr>
    </w:p>
    <w:p w14:paraId="2CA26ACB" w14:textId="77777777" w:rsidR="00EE42B2" w:rsidRDefault="00EE42B2" w:rsidP="0001119B">
      <w:pPr>
        <w:spacing w:after="160" w:line="240" w:lineRule="auto"/>
        <w:jc w:val="center"/>
      </w:pPr>
    </w:p>
    <w:p w14:paraId="41EBAE82" w14:textId="77777777" w:rsidR="0001119B" w:rsidRDefault="0001119B" w:rsidP="0001119B">
      <w:pPr>
        <w:spacing w:after="600" w:line="240" w:lineRule="auto"/>
        <w:jc w:val="center"/>
      </w:pPr>
      <w:r>
        <w:rPr>
          <w:b/>
          <w:sz w:val="28"/>
        </w:rPr>
        <w:t>Dr. Richard Kohl, Strategy and Scale LLC</w:t>
      </w:r>
    </w:p>
    <w:p w14:paraId="09928B12" w14:textId="77777777" w:rsidR="0001119B" w:rsidRDefault="0001119B" w:rsidP="0001119B">
      <w:pPr>
        <w:spacing w:after="0" w:line="240" w:lineRule="auto"/>
        <w:jc w:val="center"/>
      </w:pPr>
      <w:r>
        <w:rPr>
          <w:b/>
          <w:i/>
        </w:rPr>
        <w:t>6 August 2026</w:t>
      </w:r>
    </w:p>
    <w:p w14:paraId="03270ED5" w14:textId="77777777" w:rsidR="00893825" w:rsidRDefault="00893825"/>
    <w:p w14:paraId="66C310D2" w14:textId="77777777" w:rsidR="000D47A6" w:rsidRDefault="000D47A6">
      <w:pPr>
        <w:sectPr w:rsidR="000D47A6">
          <w:footerReference w:type="default" r:id="rId7"/>
          <w:pgSz w:w="11906" w:h="16838"/>
          <w:pgMar w:top="1440" w:right="1440" w:bottom="1440" w:left="1440" w:header="720" w:footer="720" w:gutter="0"/>
          <w:cols w:space="720"/>
          <w:docGrid w:linePitch="360"/>
        </w:sectPr>
      </w:pPr>
    </w:p>
    <w:p w14:paraId="646948F0" w14:textId="77777777" w:rsidR="000D47A6" w:rsidRDefault="00497C84" w:rsidP="00EE42B2">
      <w:pPr>
        <w:pStyle w:val="Heading1"/>
      </w:pPr>
      <w:r>
        <w:lastRenderedPageBreak/>
        <w:t>Executive Summary</w:t>
      </w:r>
    </w:p>
    <w:p w14:paraId="36201AAC" w14:textId="77777777" w:rsidR="000D47A6" w:rsidRDefault="00497C84">
      <w:r>
        <w:rPr>
          <w:b/>
        </w:rPr>
        <w:t xml:space="preserve">Bottom-line judgment. </w:t>
      </w:r>
      <w:r>
        <w:t>The Alliance DCAS PPP Scaling Solution is one of the stronger and more genuinely systemic investments in the current S4I portfolio. Its distinctive innovation is not another digital advisory application and not primarily the production of better weather forecasts. Kenya already has unusually capable institutions, a national farmer registry exceeding six million people, an established KALRO advisory platform, a comparatively strong meteorological service, multiple private digital providers, and large governm</w:t>
      </w:r>
      <w:r>
        <w:t>ent and donor programs. The Scaling Solution is attempting to repair the institutional break between these assets and turn them into a durable national advisory pipeline. In practical terms, it is strengthening the pathway through which KMSA forecasts become usable data products, are translated by KALRO and other technical actors into crop- and livestock-specific advice, and reach farmers through public, commercial and development-partner channels.</w:t>
      </w:r>
    </w:p>
    <w:p w14:paraId="08ABF927" w14:textId="77777777" w:rsidR="000D47A6" w:rsidRDefault="00497C84">
      <w:r>
        <w:rPr>
          <w:b/>
        </w:rPr>
        <w:t xml:space="preserve">What changed during coaching. </w:t>
      </w:r>
      <w:r>
        <w:t>The discussion confirmed that the team has moved beyond the original linear theory of change—KMSA sends forecasts to KALRO, which sends messages to the registry—toward a more realistic ecosystem strategy. The project is developing a data-access charter and API rather than relying on slow bilateral MOUs; embedding the API in KMSA and WMO-supported infrastructure; using FAO farmer-field-school digital hubs, KALRO's KAOP, IFAD-linked private partners and Shamba Shape Up as distinct delivery pathways; and testi</w:t>
      </w:r>
      <w:r>
        <w:t xml:space="preserve">ng AI-assisted translation from a curated Kenyan knowledge base. This adaptation is sensible. </w:t>
      </w:r>
      <w:r w:rsidRPr="006654DB">
        <w:rPr>
          <w:u w:val="single"/>
        </w:rPr>
        <w:t>It also creates the main strategic risk: a small project can become a systems integrator for too many crops, partners, platforms and financing ideas without securing the permanent owner, recurrent budget and accountability needed for the core pipeline.</w:t>
      </w:r>
    </w:p>
    <w:p w14:paraId="4881F747" w14:textId="77777777" w:rsidR="000D47A6" w:rsidRDefault="00497C84">
      <w:r>
        <w:rPr>
          <w:b/>
        </w:rPr>
        <w:t xml:space="preserve">Funding recommendation. </w:t>
      </w:r>
      <w:r>
        <w:t>S4I should continue and modestly increase support in 2027. The current annual allocation of roughly US$350,000-370,000, of which approximately US$110,000 is committed to IFPRI and ILRI, leaves the Alliance team with less than US$250,000 to perform technical integration, institutional repair, partner coordination and learning. An allocation of about US$500,000 is justified if the additional resources are ring-fenced for a small impact-and-adoption study, two or three concrete private-sector financing pilots,</w:t>
      </w:r>
      <w:r>
        <w:t xml:space="preserve"> county differentiation, and the institutional handoff between KMSA, KALRO, MOALD and counties. S4I should not finance another broad messaging campaign, a new stand-alone app, or additional partners and value chains without demonstrated contribution to this core pathway.</w:t>
      </w:r>
    </w:p>
    <w:p w14:paraId="3CF83BC8" w14:textId="77777777" w:rsidR="000D47A6" w:rsidRPr="006E7972" w:rsidRDefault="00497C84" w:rsidP="006E7972">
      <w:pPr>
        <w:pStyle w:val="RKHeading2"/>
        <w:spacing w:before="120" w:after="120"/>
        <w:rPr>
          <w:u w:val="single"/>
        </w:rPr>
      </w:pPr>
      <w:r w:rsidRPr="006E7972">
        <w:rPr>
          <w:u w:val="single"/>
        </w:rPr>
        <w:t>Principal strengths</w:t>
      </w:r>
    </w:p>
    <w:p w14:paraId="1A1A2B18" w14:textId="77777777" w:rsidR="000D47A6" w:rsidRDefault="00497C84">
      <w:pPr>
        <w:pStyle w:val="RKBullet"/>
      </w:pPr>
      <w:r>
        <w:t xml:space="preserve">• </w:t>
      </w:r>
      <w:r>
        <w:rPr>
          <w:b/>
        </w:rPr>
        <w:t xml:space="preserve">Institutional additionality. </w:t>
      </w:r>
      <w:r>
        <w:t>The track is repairing the KMSA-KALRO forecast-to-advisory relationship rather than creating another project-owned application.</w:t>
      </w:r>
    </w:p>
    <w:p w14:paraId="78F3FD79" w14:textId="77777777" w:rsidR="000D47A6" w:rsidRDefault="00497C84">
      <w:pPr>
        <w:pStyle w:val="RKBullet"/>
      </w:pPr>
      <w:r>
        <w:t xml:space="preserve">• </w:t>
      </w:r>
      <w:r>
        <w:rPr>
          <w:b/>
        </w:rPr>
        <w:t xml:space="preserve">Exceptional national assets. </w:t>
      </w:r>
      <w:r>
        <w:t>Kenya already has a strong meteorological service, KALRO, KAOP, a registry exceeding six million farmers, county extension and capable private actors.</w:t>
      </w:r>
    </w:p>
    <w:p w14:paraId="43500F48" w14:textId="77777777" w:rsidR="000D47A6" w:rsidRDefault="00497C84">
      <w:pPr>
        <w:pStyle w:val="RKBullet"/>
      </w:pPr>
      <w:r>
        <w:t xml:space="preserve">• </w:t>
      </w:r>
      <w:r>
        <w:rPr>
          <w:b/>
        </w:rPr>
        <w:t xml:space="preserve">Credible leverage. </w:t>
      </w:r>
      <w:r>
        <w:t>FAO, IFAD, World Bank programs, WMO infrastructure and media channels provide delivery and investment far beyond the S4I grant.</w:t>
      </w:r>
    </w:p>
    <w:p w14:paraId="71670E9A" w14:textId="77777777" w:rsidR="000D47A6" w:rsidRDefault="00497C84">
      <w:pPr>
        <w:pStyle w:val="RKBullet"/>
      </w:pPr>
      <w:r>
        <w:lastRenderedPageBreak/>
        <w:t xml:space="preserve">• </w:t>
      </w:r>
      <w:r>
        <w:rPr>
          <w:b/>
        </w:rPr>
        <w:t xml:space="preserve">Inclusive delivery. </w:t>
      </w:r>
      <w:r>
        <w:t>The design combines digital channels with farmer field schools, extension, media, local languages and human interpretation.</w:t>
      </w:r>
    </w:p>
    <w:p w14:paraId="19A814CC" w14:textId="77777777" w:rsidR="000D47A6" w:rsidRDefault="00497C84">
      <w:pPr>
        <w:pStyle w:val="RKBullet"/>
      </w:pPr>
      <w:r>
        <w:t xml:space="preserve">• </w:t>
      </w:r>
      <w:r>
        <w:rPr>
          <w:b/>
        </w:rPr>
        <w:t xml:space="preserve">Realistic public-private logic. </w:t>
      </w:r>
      <w:r>
        <w:t>The team treats basic advice as a public good while exploring paid products for high-value value chains, insurers, lenders and agribusinesses.</w:t>
      </w:r>
    </w:p>
    <w:p w14:paraId="60328A7C" w14:textId="77777777" w:rsidR="000D47A6" w:rsidRPr="006E7972" w:rsidRDefault="00497C84" w:rsidP="006E7972">
      <w:pPr>
        <w:pStyle w:val="RKHeading2"/>
        <w:spacing w:before="240" w:after="120"/>
        <w:rPr>
          <w:u w:val="single"/>
        </w:rPr>
      </w:pPr>
      <w:r w:rsidRPr="006E7972">
        <w:rPr>
          <w:u w:val="single"/>
        </w:rPr>
        <w:t>Principal weaknesses</w:t>
      </w:r>
    </w:p>
    <w:p w14:paraId="0DF78F9E" w14:textId="77777777" w:rsidR="000D47A6" w:rsidRDefault="00497C84">
      <w:pPr>
        <w:pStyle w:val="RKBullet"/>
      </w:pPr>
      <w:r>
        <w:t xml:space="preserve">• </w:t>
      </w:r>
      <w:r>
        <w:rPr>
          <w:b/>
        </w:rPr>
        <w:t xml:space="preserve">No accountable end-to-end operator. </w:t>
      </w:r>
      <w:r>
        <w:t>Institutional roles are plausible, but the permanent owner of service performance, budget and problem resolution is not yet settled.</w:t>
      </w:r>
    </w:p>
    <w:p w14:paraId="6D4D4855" w14:textId="77777777" w:rsidR="000D47A6" w:rsidRDefault="00497C84">
      <w:pPr>
        <w:pStyle w:val="RKBullet"/>
      </w:pPr>
      <w:r>
        <w:t xml:space="preserve">• </w:t>
      </w:r>
      <w:r>
        <w:rPr>
          <w:b/>
        </w:rPr>
        <w:t xml:space="preserve">Financing is not yet secured. </w:t>
      </w:r>
      <w:r>
        <w:t>The 30 percent domestic-financing target sits uneasily beside public budget and staffing pressure and continued dependence on external programs.</w:t>
      </w:r>
    </w:p>
    <w:p w14:paraId="48DCDDF6" w14:textId="77777777" w:rsidR="000D47A6" w:rsidRDefault="00497C84">
      <w:pPr>
        <w:pStyle w:val="RKBullet"/>
      </w:pPr>
      <w:r>
        <w:t xml:space="preserve">• </w:t>
      </w:r>
      <w:r>
        <w:rPr>
          <w:b/>
        </w:rPr>
        <w:t xml:space="preserve">Reach is not meaningful use. </w:t>
      </w:r>
      <w:r>
        <w:t>The six-million target follows naturally from the registry but does not distinguish message delivery, action, repeated use and benefit.</w:t>
      </w:r>
    </w:p>
    <w:p w14:paraId="5C3C1496" w14:textId="77777777" w:rsidR="000D47A6" w:rsidRDefault="00497C84">
      <w:pPr>
        <w:pStyle w:val="RKBullet"/>
      </w:pPr>
      <w:r>
        <w:t xml:space="preserve">• </w:t>
      </w:r>
      <w:r>
        <w:rPr>
          <w:b/>
        </w:rPr>
        <w:t xml:space="preserve">Scope and partnership risk. </w:t>
      </w:r>
      <w:r>
        <w:t>A small team is managing many partners, crops, channels and AI functions, while some cross-center contributions have been uneven.</w:t>
      </w:r>
    </w:p>
    <w:p w14:paraId="07EE9FC1" w14:textId="77777777" w:rsidR="000D47A6" w:rsidRDefault="00497C84">
      <w:pPr>
        <w:pStyle w:val="RKBullet"/>
      </w:pPr>
      <w:r>
        <w:t xml:space="preserve">• </w:t>
      </w:r>
      <w:r>
        <w:rPr>
          <w:b/>
        </w:rPr>
        <w:t xml:space="preserve">County and actionability gaps. </w:t>
      </w:r>
      <w:r>
        <w:t>County capability varies, and some recommendations cannot be implemented because information on local input and service availability is missing.</w:t>
      </w:r>
    </w:p>
    <w:p w14:paraId="687359BF" w14:textId="77777777" w:rsidR="000D47A6" w:rsidRPr="005564D2" w:rsidRDefault="00497C84" w:rsidP="005564D2">
      <w:pPr>
        <w:pStyle w:val="Heading2"/>
      </w:pPr>
      <w:r w:rsidRPr="005564D2">
        <w:t>Recommendations to the Alliance team</w:t>
      </w:r>
    </w:p>
    <w:p w14:paraId="2C46DBCA" w14:textId="77777777" w:rsidR="000D47A6" w:rsidRDefault="00497C84">
      <w:pPr>
        <w:pStyle w:val="RKBullet"/>
      </w:pPr>
      <w:r>
        <w:t>•</w:t>
      </w:r>
      <w:r>
        <w:t xml:space="preserve"> </w:t>
      </w:r>
      <w:r>
        <w:rPr>
          <w:b/>
        </w:rPr>
        <w:t xml:space="preserve">Secure the operating compact. </w:t>
      </w:r>
      <w:r>
        <w:t>Assign the KMSA, KALRO, MOALD, registry and county functions, budgets, service standards and accountability for the full pipeline.</w:t>
      </w:r>
    </w:p>
    <w:p w14:paraId="356AA156" w14:textId="77777777" w:rsidR="000D47A6" w:rsidRDefault="00497C84">
      <w:pPr>
        <w:pStyle w:val="RKBullet"/>
      </w:pPr>
      <w:r>
        <w:t xml:space="preserve">• </w:t>
      </w:r>
      <w:r>
        <w:rPr>
          <w:b/>
        </w:rPr>
        <w:t xml:space="preserve">Measure a light adoption funnel. </w:t>
      </w:r>
      <w:r>
        <w:t>Use partner data and a modest sample to estimate meaningful use, repeated adoption, impact and indirect sharing without funding an extensive new evaluation.</w:t>
      </w:r>
    </w:p>
    <w:p w14:paraId="56BC289F" w14:textId="77777777" w:rsidR="000D47A6" w:rsidRDefault="00497C84">
      <w:pPr>
        <w:pStyle w:val="RKBullet"/>
      </w:pPr>
      <w:r>
        <w:t xml:space="preserve">• </w:t>
      </w:r>
      <w:r>
        <w:rPr>
          <w:b/>
        </w:rPr>
        <w:t xml:space="preserve">Pilot real private transactions. </w:t>
      </w:r>
      <w:r>
        <w:t>Complete two or three named pilots in high-value crops, finance or input/service referral with actual payment or co-investment.</w:t>
      </w:r>
    </w:p>
    <w:p w14:paraId="0B6F4770" w14:textId="77777777" w:rsidR="000D47A6" w:rsidRDefault="00497C84">
      <w:pPr>
        <w:pStyle w:val="RKBullet"/>
      </w:pPr>
      <w:r>
        <w:t xml:space="preserve">• </w:t>
      </w:r>
      <w:r>
        <w:rPr>
          <w:b/>
        </w:rPr>
        <w:t xml:space="preserve">Differentiate counties and focus decisions. </w:t>
      </w:r>
      <w:r>
        <w:t>Prioritize a small number of high-value farmer decisions and tailor delivery to county capacity, value chains and digital access.</w:t>
      </w:r>
    </w:p>
    <w:p w14:paraId="471447D6" w14:textId="77777777" w:rsidR="000D47A6" w:rsidRDefault="00497C84">
      <w:pPr>
        <w:pStyle w:val="RKBullet"/>
      </w:pPr>
      <w:r>
        <w:t xml:space="preserve">• </w:t>
      </w:r>
      <w:r>
        <w:rPr>
          <w:b/>
        </w:rPr>
        <w:t xml:space="preserve">Institutionalize quality and exit. </w:t>
      </w:r>
      <w:r>
        <w:t>Create Kenya-owned AI/content governance and transfer routine integration from Alliance to public and commercial actors.</w:t>
      </w:r>
    </w:p>
    <w:p w14:paraId="7014C6C3" w14:textId="77777777" w:rsidR="000D47A6" w:rsidRDefault="00497C84">
      <w:pPr>
        <w:pStyle w:val="RKHeading2"/>
      </w:pPr>
      <w:r>
        <w:t>Recommendations for S4I</w:t>
      </w:r>
    </w:p>
    <w:p w14:paraId="681A27DD" w14:textId="77777777" w:rsidR="000D47A6" w:rsidRDefault="00497C84">
      <w:pPr>
        <w:pStyle w:val="RKBullet"/>
      </w:pPr>
      <w:r>
        <w:t xml:space="preserve">• </w:t>
      </w:r>
      <w:r>
        <w:rPr>
          <w:b/>
        </w:rPr>
        <w:t xml:space="preserve">Fund 2027 at about US$500,000. </w:t>
      </w:r>
      <w:r>
        <w:t>Use the increment for institutional handoff, private pilots, county analysis and limited adoption-impact evidence.</w:t>
      </w:r>
    </w:p>
    <w:p w14:paraId="4E784165" w14:textId="77777777" w:rsidR="000D47A6" w:rsidRDefault="00497C84">
      <w:pPr>
        <w:pStyle w:val="RKBullet"/>
      </w:pPr>
      <w:r>
        <w:t xml:space="preserve">• </w:t>
      </w:r>
      <w:r>
        <w:rPr>
          <w:b/>
        </w:rPr>
        <w:t xml:space="preserve">Apply stage gates. </w:t>
      </w:r>
      <w:r>
        <w:t>Condition support on an operational compact and API, actual budget commitments, private co-investment and a season of evidence on meaningful use.</w:t>
      </w:r>
    </w:p>
    <w:p w14:paraId="7671A00C" w14:textId="77777777" w:rsidR="000D47A6" w:rsidRDefault="00497C84">
      <w:pPr>
        <w:pStyle w:val="RKBullet"/>
      </w:pPr>
      <w:r>
        <w:t xml:space="preserve">• </w:t>
      </w:r>
      <w:r>
        <w:rPr>
          <w:b/>
        </w:rPr>
        <w:t xml:space="preserve">Do not fund sideways expansion. </w:t>
      </w:r>
      <w:r>
        <w:t>Avoid new apps, additional generic training, more partners or more content without a defined user decision, payer and accountable operator.</w:t>
      </w:r>
    </w:p>
    <w:p w14:paraId="0015DCD5" w14:textId="77777777" w:rsidR="000D47A6" w:rsidRDefault="00497C84" w:rsidP="00A349A6">
      <w:pPr>
        <w:pStyle w:val="Heading1"/>
      </w:pPr>
      <w:r>
        <w:t>The Scaling Solution and Innovation Bundle</w:t>
      </w:r>
    </w:p>
    <w:p w14:paraId="61C57D37" w14:textId="77777777" w:rsidR="000D47A6" w:rsidRDefault="00497C84">
      <w:r>
        <w:rPr>
          <w:b/>
        </w:rPr>
        <w:t xml:space="preserve">The core innovation. </w:t>
      </w:r>
      <w:r>
        <w:t xml:space="preserve">The Scaling Solution is best understood as institutional repair and digital public infrastructure for climate-informed agricultural decisions. KMSA increasingly produces improved daily, seven-day, subseasonal and seasonal forecast products, including downscaled outputs derived from new AI-enabled global models. KALRO possesses agronomic knowledge, the KAOP advisory platform and access to a national farmer registry. Historically, however, the forecast-to-advisory relationship has been unreliable. A private </w:t>
      </w:r>
      <w:r>
        <w:lastRenderedPageBreak/>
        <w:t>d</w:t>
      </w:r>
      <w:r>
        <w:t>ata provider closed, replacement arrangements were temporary, and bilateral MOUs took so long that projects could end before access was formalized. The project is therefore building a simpler charter, product-request process and API so forecast data can move routinely from KMSA to KALRO and other authorized users.</w:t>
      </w:r>
    </w:p>
    <w:p w14:paraId="70619CC4" w14:textId="77777777" w:rsidR="000D47A6" w:rsidRDefault="00497C84">
      <w:r>
        <w:rPr>
          <w:b/>
        </w:rPr>
        <w:t xml:space="preserve">Translation and quality assurance. </w:t>
      </w:r>
      <w:r>
        <w:t xml:space="preserve">The second component is translation of climate information into location-, season- and value-chain-specific advice. The project is preparing KALRO's internal knowledge base for AI-assisted use, with responses restricted to validated Kenyan content rather than an open general model. Timing is adjusted according to season and place, while human review remains necessary. </w:t>
      </w:r>
      <w:r w:rsidRPr="00B96985">
        <w:rPr>
          <w:u w:val="single"/>
        </w:rPr>
        <w:t>Livestock advisories are a genuine gap, which explains the proposed ILRI role</w:t>
      </w:r>
      <w:r>
        <w:t>, and other CGIAR programs may supply fertilizer and cultivar recommendations. The bundle is therefore a governed content pipeline, not merely an algorithm.</w:t>
      </w:r>
    </w:p>
    <w:p w14:paraId="6BC8075B" w14:textId="77777777" w:rsidR="000D47A6" w:rsidRDefault="00497C84">
      <w:r>
        <w:rPr>
          <w:b/>
        </w:rPr>
        <w:t xml:space="preserve">Multiple delivery pathways. </w:t>
      </w:r>
      <w:r>
        <w:t>The third component is a portfolio of delivery systems rather than one national channel. KAOP can reach registered farmers directly. FAO's Green Climate Fund program in 14 counties is adding digital hubs to farmer field schools and using biweekly climate-informed bulletins and WhatsApp groups. IFAD's program offers infrastructure, private-sector networks and six seasons of stress testing. Shamba Shape Up provides mass media reach, while financial institutions are interested in forecast products for underwri</w:t>
      </w:r>
      <w:r>
        <w:t xml:space="preserve">ting and weather-index products. </w:t>
      </w:r>
      <w:r w:rsidRPr="005564D2">
        <w:rPr>
          <w:u w:val="single"/>
        </w:rPr>
        <w:t>This diversified pathway reduces dependence on one platform, but it must remain coherent enough that farmers receive consistent advice</w:t>
      </w:r>
      <w:r>
        <w:t>.</w:t>
      </w:r>
    </w:p>
    <w:p w14:paraId="73CF2D82" w14:textId="77777777" w:rsidR="000D47A6" w:rsidRDefault="00497C84">
      <w:r>
        <w:rPr>
          <w:b/>
        </w:rPr>
        <w:t xml:space="preserve">The PPP component. </w:t>
      </w:r>
      <w:r>
        <w:t xml:space="preserve">The proposed public-private partnership is not a single contractual entity. The public sector produces the foundational forecast, agronomic knowledge, registry and basic advisory service. Commercial actors may use APIs and validated content to build products for high-value farmers, insurance clients, borrowers, input customers or buyers. Development partners finance extension and infrastructure during the transition. Alliance temporarily convenes and integrates the system. </w:t>
      </w:r>
      <w:r w:rsidRPr="005564D2">
        <w:rPr>
          <w:u w:val="single"/>
        </w:rPr>
        <w:t>The scaling question is whether these complementary roles become routine and financed, not how many organizations attend the coalition</w:t>
      </w:r>
      <w:r>
        <w:t>.</w:t>
      </w:r>
    </w:p>
    <w:p w14:paraId="6E11D361" w14:textId="77777777" w:rsidR="000D47A6" w:rsidRDefault="00497C84" w:rsidP="005564D2">
      <w:pPr>
        <w:pStyle w:val="Heading2"/>
      </w:pPr>
      <w:r>
        <w:t>Implementation, Evidence and Value Propositions</w:t>
      </w:r>
    </w:p>
    <w:p w14:paraId="3CE71385" w14:textId="77777777" w:rsidR="000D47A6" w:rsidRDefault="00497C84">
      <w:r>
        <w:rPr>
          <w:b/>
        </w:rPr>
        <w:t xml:space="preserve">Implementation progress. </w:t>
      </w:r>
      <w:r>
        <w:t>The project has made credible early progress on the functions that S4I is uniquely positioned to support. The charter for accessing KMSA products is under consultation; the API is being linked to WMO-supported infrastructure so it can ultimately be hosted by KMSA; both KMSA and KALRO leadership are engaging more directly; IFAD has agreed to address server and computing infrastructure that the S4I grant cannot finance; and 70 master trainers have been prepared for FAO's farmer-field-school pathway. These are</w:t>
      </w:r>
      <w:r>
        <w:t xml:space="preserve"> enabling results rather than farmer outcomes, but that is appropriate for a track whose additionality lies in repairing the system.</w:t>
      </w:r>
    </w:p>
    <w:p w14:paraId="07E4A2B9" w14:textId="77777777" w:rsidR="000D47A6" w:rsidRDefault="00497C84">
      <w:r>
        <w:rPr>
          <w:b/>
        </w:rPr>
        <w:t xml:space="preserve">Evidence of use and impact. </w:t>
      </w:r>
      <w:r>
        <w:t xml:space="preserve">The evidence base is sufficient to justify continued scaling but not precise enough to support all headline claims. Kenya has previously reached more than </w:t>
      </w:r>
      <w:r>
        <w:lastRenderedPageBreak/>
        <w:t>one million farmers with agro-weather messages, and the coaching discussion cited a 60 Decibels study suggesting that about one quarter of recipients were meaningful users who acted on information. A Precision Development evaluation of subseasonal planting-window advice is underway and reportedly encouraging. Broader studies find favorable cost-benefit ra</w:t>
      </w:r>
      <w:r>
        <w:t xml:space="preserve">tios and modest average productivity gains. </w:t>
      </w:r>
      <w:r w:rsidRPr="000812CA">
        <w:rPr>
          <w:u w:val="single"/>
        </w:rPr>
        <w:t>These findings support the proposition that useful advisories can generate aggregate benefits at very low marginal cost. They do not yet establish the conversion rate or impact of every DCAS delivery pathway</w:t>
      </w:r>
      <w:r>
        <w:t>.</w:t>
      </w:r>
    </w:p>
    <w:p w14:paraId="694338AB" w14:textId="708FAB76" w:rsidR="000D47A6" w:rsidRDefault="00497C84">
      <w:r>
        <w:rPr>
          <w:b/>
        </w:rPr>
        <w:t xml:space="preserve">Farmer value proposition. </w:t>
      </w:r>
      <w:r>
        <w:t xml:space="preserve">The farmer receives value when information changes a consequential decision early enough to reduce risk or improve returns. Planting windows, rainfall-dependent fertilizer application, cultivar choice, heat stress and harvest timing are plausible examples. </w:t>
      </w:r>
      <w:r>
        <w:t>Farmers are therefore not simply message recipients. Their adoption depends on forecast credibility, the messenger, practical feasibility and the cost of acting.</w:t>
      </w:r>
    </w:p>
    <w:p w14:paraId="52E1F16E" w14:textId="77777777" w:rsidR="000D47A6" w:rsidRDefault="00497C84">
      <w:r>
        <w:rPr>
          <w:b/>
        </w:rPr>
        <w:t xml:space="preserve">Public and private value propositions. </w:t>
      </w:r>
      <w:r>
        <w:t xml:space="preserve">KMSA gains a standardized route through which its products are used and can potentially recover costs from specialized users. KALRO gains reliable forecast inputs and a stronger national extension platform. MOALD and counties gain low-cost reach and planning data. FAO and IFAD improve the quality of programs they already finance. Insurers and lenders can improve risk classification and client behavior; agribusinesses can bundle advice with products and procurement; telecoms gain traffic or customer value. </w:t>
      </w:r>
      <w:r w:rsidRPr="000812CA">
        <w:rPr>
          <w:u w:val="single"/>
        </w:rPr>
        <w:t>These benefits are plausible, but most private propositions remain hypotheses until a partner contributes money, data, distribution or continuing staff</w:t>
      </w:r>
      <w:r>
        <w:t>.</w:t>
      </w:r>
    </w:p>
    <w:p w14:paraId="40F7E5B9" w14:textId="77777777" w:rsidR="000D47A6" w:rsidRDefault="00497C84" w:rsidP="000812CA">
      <w:pPr>
        <w:pStyle w:val="Heading2"/>
      </w:pPr>
      <w:r>
        <w:t>Scaling Ambition and the Actor-Driven Pathway</w:t>
      </w:r>
    </w:p>
    <w:p w14:paraId="0134BF1B" w14:textId="53C9A226" w:rsidR="000D47A6" w:rsidRDefault="00497C84">
      <w:r>
        <w:rPr>
          <w:b/>
        </w:rPr>
        <w:t xml:space="preserve">A technically achievable ambition. </w:t>
      </w:r>
      <w:r>
        <w:t xml:space="preserve">The proposal aims to reach one million farmers in 2026, three million in 2027 and six million by 2028, with 3,000 extension agents and agripreneurs and advisory content spanning 20 crops, livestock and rangelands. Because more than six million farmers are already registered, these are </w:t>
      </w:r>
      <w:r w:rsidR="000812CA">
        <w:t xml:space="preserve">highly likely to be realized and </w:t>
      </w:r>
      <w:r>
        <w:t xml:space="preserve">not fantasy numbers. </w:t>
      </w:r>
      <w:r w:rsidRPr="000812CA">
        <w:rPr>
          <w:u w:val="single"/>
        </w:rPr>
        <w:t>The danger is circularity: the registry makes the reach target easy to state, while meaningful use, practice adoption and benefit remain uncertain. The ambition should therefore report both scale of contact and depth of use</w:t>
      </w:r>
      <w:r>
        <w:t>.</w:t>
      </w:r>
    </w:p>
    <w:p w14:paraId="5F941A91" w14:textId="77777777" w:rsidR="000D47A6" w:rsidRDefault="00497C84">
      <w:r>
        <w:rPr>
          <w:b/>
        </w:rPr>
        <w:t xml:space="preserve">The pathway has several drivers, but no accountable operator. </w:t>
      </w:r>
      <w:r>
        <w:t xml:space="preserve">KMSA should drive forecast production and data access; KALRO should drive agronomic translation and the national advisory platform; counties should drive human extension and local adaptation; private companies should drive paid value-added products; and Alliance should drive temporary systems change. This division is sensible. </w:t>
      </w:r>
      <w:r w:rsidRPr="006946CC">
        <w:rPr>
          <w:u w:val="single"/>
        </w:rPr>
        <w:t>The unresolved issue is who is accountable for the pipeline as a whole.</w:t>
      </w:r>
      <w:r>
        <w:t xml:space="preserve"> A federated system does not require one institution to own every component, but it does require an operator that tracks service levels, resolves failures and reports performance.</w:t>
      </w:r>
    </w:p>
    <w:p w14:paraId="4FCC0983" w14:textId="1208CC77" w:rsidR="000D47A6" w:rsidRDefault="00497C84">
      <w:r>
        <w:rPr>
          <w:b/>
        </w:rPr>
        <w:t xml:space="preserve">Sustainability is the binding constraint. </w:t>
      </w:r>
      <w:r>
        <w:t xml:space="preserve">The team correctly treats basic climate and agronomic advice as a public good and does not expect poor farmers to finance the system. Yet public ownership is not the same as public financing. Kenya's fiscal pressure makes a rapid </w:t>
      </w:r>
      <w:r>
        <w:lastRenderedPageBreak/>
        <w:t xml:space="preserve">shift from external project funds to recurrent government budgets </w:t>
      </w:r>
      <w:proofErr w:type="gramStart"/>
      <w:r>
        <w:t>uncertain</w:t>
      </w:r>
      <w:r w:rsidR="006946CC">
        <w:t>;  while</w:t>
      </w:r>
      <w:proofErr w:type="gramEnd"/>
      <w:r w:rsidR="006946CC">
        <w:t xml:space="preserve"> World Bank or other donor financing could ease this constraint for several years, it is not a long-term solution</w:t>
      </w:r>
      <w:r>
        <w:t xml:space="preserve">. </w:t>
      </w:r>
      <w:r w:rsidRPr="006946CC">
        <w:rPr>
          <w:u w:val="single"/>
        </w:rPr>
        <w:t>The most credible pathway is mixed: government and development programs fund the core; specialized commercial users pay for higher-value products and dissemination; AI and APIs reduce unit costs; and counties choose delivery models they can sustain. The project should test this model rather than claim it is already secured</w:t>
      </w:r>
      <w:r>
        <w:t>.</w:t>
      </w:r>
    </w:p>
    <w:p w14:paraId="6195CDEA" w14:textId="77777777" w:rsidR="000D47A6" w:rsidRDefault="00497C84" w:rsidP="006946CC">
      <w:pPr>
        <w:pStyle w:val="Heading2"/>
      </w:pPr>
      <w:r>
        <w:t>Institutions, Incentives and Key Bottlenecks</w:t>
      </w:r>
    </w:p>
    <w:p w14:paraId="4B09765B" w14:textId="77777777" w:rsidR="000D47A6" w:rsidRDefault="00497C84">
      <w:r>
        <w:rPr>
          <w:b/>
        </w:rPr>
        <w:t xml:space="preserve">The KMSA-KALRO relationship. </w:t>
      </w:r>
      <w:r>
        <w:t>The central bottleneck is not an abstract need for coordination. The two institutions possess different mandates, incentives and bureaucratic processes. KMSA wants control over its products, recognition and an efficient way to serve users; KALRO needs timely, usable data and wants to retain authority over agricultural advice. The charter and API can lower transaction costs, but only recurrent staff, service standards and leadership accountability will prevent the relationship from breaking again when a proj</w:t>
      </w:r>
      <w:r>
        <w:t>ect or champion leaves.</w:t>
      </w:r>
    </w:p>
    <w:p w14:paraId="450E4D8F" w14:textId="77777777" w:rsidR="000D47A6" w:rsidRDefault="00497C84">
      <w:r>
        <w:rPr>
          <w:b/>
        </w:rPr>
        <w:t xml:space="preserve">Data governance and access. </w:t>
      </w:r>
      <w:r>
        <w:t xml:space="preserve">The farmer registry and public datasets create enormous value but also institutional power. Governance of the registry has shifted, private firms have been reluctant to share data when public agencies do not reciprocate, and farmers' consent and privacy must be protected. </w:t>
      </w:r>
      <w:r w:rsidRPr="00587C90">
        <w:rPr>
          <w:u w:val="single"/>
        </w:rPr>
        <w:t>The project needs clear rules for which data are public, licensed, restricted or commercial; what a private user receives; whether derived products can be resold; and how use is audited</w:t>
      </w:r>
      <w:r>
        <w:t>. The API is a technical doorway, not a governance settlement.</w:t>
      </w:r>
    </w:p>
    <w:p w14:paraId="50C2523F" w14:textId="77777777" w:rsidR="000D47A6" w:rsidRDefault="00497C84">
      <w:r>
        <w:rPr>
          <w:b/>
        </w:rPr>
        <w:t xml:space="preserve">County implementation capacity. </w:t>
      </w:r>
      <w:r>
        <w:t xml:space="preserve">Counties employ much of the extension workforce and determine whether a digital message is reinforced by an adviser, farmer group or service provider. Their capacities and incentives vary. Some have strong horticulture value chains and private actors willing to pay; others depend on public extension and radio. Some can integrate DCAS into existing plans, while others may register farmers without maintaining service quality. </w:t>
      </w:r>
      <w:r w:rsidRPr="00587C90">
        <w:rPr>
          <w:u w:val="single"/>
        </w:rPr>
        <w:t>The national strategy therefore needs county segmentation and explicit local co-financing or implementation commitments</w:t>
      </w:r>
      <w:r>
        <w:t>.</w:t>
      </w:r>
    </w:p>
    <w:p w14:paraId="49DA18EC" w14:textId="77777777" w:rsidR="000D47A6" w:rsidRDefault="00497C84">
      <w:r>
        <w:rPr>
          <w:b/>
        </w:rPr>
        <w:t xml:space="preserve">Cross-center and partner accountability. </w:t>
      </w:r>
      <w:r>
        <w:t xml:space="preserve">The project has allocated scarce resources to IFPRI and ILRI because AI advisory translation and livestock content are relevant. The lead nevertheless reported staff turnover, competing workloads and uneven delivery. CGIAR's institutional incentive to demonstrate cross-center collaboration can conflict with project performance when partners are funded but not accountable to the lead. S4I should retain collaboration that adds unique capability while allowing funds to move when agreed products and staff time </w:t>
      </w:r>
      <w:r>
        <w:t>do not materialize.</w:t>
      </w:r>
    </w:p>
    <w:p w14:paraId="4EFAEE00" w14:textId="77777777" w:rsidR="000D47A6" w:rsidRDefault="00497C84">
      <w:r>
        <w:rPr>
          <w:b/>
        </w:rPr>
        <w:t xml:space="preserve">Focus versus expansion. </w:t>
      </w:r>
      <w:r>
        <w:t xml:space="preserve">The team has been more selective than its presentation initially suggested, concentrating on FAO, IFAD and the public pipeline while taking advantage of low-cost opportunities such as Shamba Shape Up. Even so, 20 crops, livestock, rangelands, multiple languages, FFS hubs, financial products and AI content can exceed the management </w:t>
      </w:r>
      <w:r>
        <w:lastRenderedPageBreak/>
        <w:t>and quality-assurance capacity of a small team. The correct test for adding a module is whether it strengthens a validated user decision, a durable payer or the institutional hand</w:t>
      </w:r>
      <w:r>
        <w:t>off.</w:t>
      </w:r>
    </w:p>
    <w:p w14:paraId="0B894ECB" w14:textId="77777777" w:rsidR="000D47A6" w:rsidRDefault="00497C84" w:rsidP="00DA247E">
      <w:pPr>
        <w:pStyle w:val="Heading2"/>
      </w:pPr>
      <w:r>
        <w:t>Recommendations to the Alliance DCAS PPP Team</w:t>
      </w:r>
    </w:p>
    <w:p w14:paraId="2DA07E97" w14:textId="77777777" w:rsidR="000D47A6" w:rsidRDefault="00497C84">
      <w:r>
        <w:rPr>
          <w:b/>
        </w:rPr>
        <w:t xml:space="preserve">1. Establish the permanent operating compact. </w:t>
      </w:r>
      <w:r>
        <w:t>Alliance should use the charter and API work to secure an end-to-end operating agreement among KMSA, KALRO, the relevant national digital-data entity, MOALD and participating counties. The agreement should assign forecast production, API uptime, agronomic approval, registry access, dissemination, complaints, privacy and performance reporting; identify the staff and budget for each function; and specify escalation when one institution fails. The 2027 stage gate should be an operating compact with named accou</w:t>
      </w:r>
      <w:r>
        <w:t>ntable officers and at least one season of measured performance, not simply another MOU or coordination workshop.</w:t>
      </w:r>
    </w:p>
    <w:p w14:paraId="01252D38" w14:textId="77777777" w:rsidR="000D47A6" w:rsidRDefault="00497C84">
      <w:r>
        <w:rPr>
          <w:b/>
        </w:rPr>
        <w:t xml:space="preserve">2. Convert reach into a short adoption-and-impact funnel. </w:t>
      </w:r>
      <w:r>
        <w:t>The project should not build an expensive independent evaluation system. It should use partner data and a modest sample survey to distinguish valid contacts, messages received, understanding, intended action, actual action, repeat use and a small set of outcomes. The analysis should also test sharing within households, WhatsApp groups and neighboring farms because spontaneous diffusion may multiply direct reach. The additional funding should support this limited work; S4I should not require a full RCT or di</w:t>
      </w:r>
      <w:r>
        <w:t>vert the implementation budget into MELIA.</w:t>
      </w:r>
    </w:p>
    <w:p w14:paraId="0A445FF7" w14:textId="364E88F6" w:rsidR="000D47A6" w:rsidRDefault="00497C84">
      <w:r>
        <w:rPr>
          <w:b/>
        </w:rPr>
        <w:t xml:space="preserve">3. Identify the three to five </w:t>
      </w:r>
      <w:r w:rsidR="00DA247E">
        <w:rPr>
          <w:b/>
        </w:rPr>
        <w:t>advisories/</w:t>
      </w:r>
      <w:r>
        <w:rPr>
          <w:b/>
        </w:rPr>
        <w:t xml:space="preserve">decisions that create the most value. </w:t>
      </w:r>
      <w:r>
        <w:t>KALRO, KMSA and delivery partners should examine which advisories most often change behavior and generate economic value—such as planting-window choice, fertilizer timing, cultivar choice, livestock heat response or harvest timing. These decisions should receive priority for localization, quality assurance and referral linkages. The result should be a small portfolio of proven decisions before the team expands further across crops and modules.</w:t>
      </w:r>
    </w:p>
    <w:p w14:paraId="7C22370F" w14:textId="315A156B" w:rsidR="000D47A6" w:rsidRDefault="00497C84">
      <w:r>
        <w:rPr>
          <w:b/>
        </w:rPr>
        <w:t xml:space="preserve">4. Pilot two or three private </w:t>
      </w:r>
      <w:r w:rsidR="00DA247E">
        <w:rPr>
          <w:b/>
        </w:rPr>
        <w:t xml:space="preserve">sector </w:t>
      </w:r>
      <w:r>
        <w:rPr>
          <w:b/>
        </w:rPr>
        <w:t xml:space="preserve">value propositions, not a generic PPP. </w:t>
      </w:r>
      <w:r>
        <w:t>In 2027 the team should select a small number of named partners and transact. One pilot might sell or license a tailored climate-advisory package to an avocado, tea or coffee organization; a second could provide forecast products to an insurer or lender for underwriting and client messaging; a third could test a thin marketplace or referral layer linking an advisory to available inputs and services. Each pilot should state the customer's value, payment or co-investment, data rights, costs and continuation d</w:t>
      </w:r>
      <w:r>
        <w:t>ecision. Expressions of interest, sponsored meetings and lists of potential partners should not count as PPP results.</w:t>
      </w:r>
    </w:p>
    <w:p w14:paraId="47A725DC" w14:textId="77777777" w:rsidR="000D47A6" w:rsidRDefault="00497C84">
      <w:r>
        <w:rPr>
          <w:b/>
        </w:rPr>
        <w:t xml:space="preserve">5. Separate the public-good core from commercial modules. </w:t>
      </w:r>
      <w:r>
        <w:t>KMSA, KALRO and MOALD should define which forecast and advisory functions must remain free and publicly financed and which can be packaged commercially. Alliance should then produce a recurrent-cost map under realistic budget scenarios, including a scenario of declining government staffing. The 2027 milestone should be actual public budget lines or program commitments for the core and documented private payments or in-kind investment for at least one value-added module.</w:t>
      </w:r>
    </w:p>
    <w:p w14:paraId="72643E43" w14:textId="77777777" w:rsidR="000D47A6" w:rsidRDefault="00497C84">
      <w:r>
        <w:rPr>
          <w:b/>
        </w:rPr>
        <w:lastRenderedPageBreak/>
        <w:t xml:space="preserve">6. Differentiate the county pathway. </w:t>
      </w:r>
      <w:r>
        <w:t>The project should classify counties by institutional capacity, extension reach, digital access, dominant value chains, climate risk, private-sector density and ability to co-finance. In stronger counties the emphasis can shift toward commercial partnerships, API use and automated delivery; in weaker counties human intermediaries, radio, farmer groups and public finance will remain more important. S4I should fund a typology and comparative learning rather than assume one national adoption curve.</w:t>
      </w:r>
    </w:p>
    <w:p w14:paraId="0AB58C46" w14:textId="77777777" w:rsidR="000D47A6" w:rsidRDefault="00497C84">
      <w:r>
        <w:rPr>
          <w:b/>
        </w:rPr>
        <w:t xml:space="preserve">7. Keep the innovation bundle disciplined. </w:t>
      </w:r>
      <w:r>
        <w:t>Livestock and pastoral advisories are important in Kenya and collaboration with ILRI remains substantively justified, but only if the partner provides the agreed technical content and staff on time. The same test should apply to IFPRI and every additional module. Alliance should retain FAO, IFAD and KALRO/KMSA as core pathways, use opportunistic channels such as Shamba Shape Up when transaction costs are low, and postpone additions that do not strengthen ownership, adoption or financing.</w:t>
      </w:r>
    </w:p>
    <w:p w14:paraId="71D31DB0" w14:textId="77777777" w:rsidR="000D47A6" w:rsidRDefault="00497C84">
      <w:r>
        <w:rPr>
          <w:b/>
        </w:rPr>
        <w:t xml:space="preserve">8. Institutionalize AI quality assurance before national expansion. </w:t>
      </w:r>
      <w:r>
        <w:t>KALRO should own the approved knowledge base and advisory versions; KMSA should own forecast provenance; delivery partners should record the message received; and farmers and extension agents should have a simple error and feedback mechanism. The team should test turnaround time and human-review workload across a limited number of high-value advisories. S4I should not fund a rapid expansion to 20 crops and multiple languages if quality review cannot keep pace.</w:t>
      </w:r>
    </w:p>
    <w:p w14:paraId="4B26D4FC" w14:textId="77777777" w:rsidR="000D47A6" w:rsidRDefault="00497C84">
      <w:r>
        <w:rPr>
          <w:b/>
        </w:rPr>
        <w:t xml:space="preserve">9. Plan Alliance's exit from system integration. </w:t>
      </w:r>
      <w:r>
        <w:t>Alliance's current coordination is additional because the public institutions have not solved the problem alone. It should nevertheless decline as KMSA and KALRO perform the routine work. The team should list every function it now performs, identify the successor and set a transfer date or trigger. By the end of 2027, Alliance should be providing technical assistance and learning support, not manually holding together routine data exchange and advisory production.</w:t>
      </w:r>
    </w:p>
    <w:p w14:paraId="2BC59EB1" w14:textId="77777777" w:rsidR="000D47A6" w:rsidRDefault="00497C84" w:rsidP="00A205AC">
      <w:pPr>
        <w:pStyle w:val="Heading2"/>
      </w:pPr>
      <w:r>
        <w:t>Assessment of the IPSR</w:t>
      </w:r>
    </w:p>
    <w:p w14:paraId="5765A94B" w14:textId="77777777" w:rsidR="000D47A6" w:rsidRDefault="00497C84">
      <w:r>
        <w:rPr>
          <w:b/>
        </w:rPr>
        <w:t xml:space="preserve">Useful alignment, limited diagnosis. </w:t>
      </w:r>
      <w:r>
        <w:t>The IPSR workshop reached several conclusions that align with the coaching evidence: scaling is not the same as numerical reach; KMSA, KALRO and other actors need stronger governance and interoperability; inconsistent advisories can undermine farmer trust; and capacity should be embedded in institutions rather than recreated by projects. The emphasis on harmonized messages is a useful perspective because the coaching focused more heavily on ownership, finance and use.</w:t>
      </w:r>
    </w:p>
    <w:p w14:paraId="48FC733C" w14:textId="77777777" w:rsidR="000D47A6" w:rsidRDefault="00497C84">
      <w:r>
        <w:rPr>
          <w:b/>
        </w:rPr>
        <w:t xml:space="preserve">Implication for IPSR improvement. </w:t>
      </w:r>
      <w:r>
        <w:t>Future IPSR work should use workshop judgments as hypotheses and require evidence of actor behavior. For DCAS, readiness indicators should include API uptime, time to approve an advisory, registry-access rules, actual budget commitments, private payments, county delivery performance, meaningful-use rates and the percentage of routine functions performed without Alliance intervention. That would turn a general ecosystem discussion into an operational scaling assessment.</w:t>
      </w:r>
    </w:p>
    <w:p w14:paraId="17DD9C3E" w14:textId="77777777" w:rsidR="000D47A6" w:rsidRDefault="00497C84" w:rsidP="00A205AC">
      <w:pPr>
        <w:pStyle w:val="Heading2"/>
      </w:pPr>
      <w:r>
        <w:lastRenderedPageBreak/>
        <w:t>Recommendation for S4I Funding in 2027</w:t>
      </w:r>
    </w:p>
    <w:p w14:paraId="2BBFA907" w14:textId="77777777" w:rsidR="000D47A6" w:rsidRDefault="00497C84">
      <w:r>
        <w:rPr>
          <w:b/>
        </w:rPr>
        <w:t xml:space="preserve">Fund a second year at approximately US$500,000. </w:t>
      </w:r>
      <w:r>
        <w:t>The track merits continued and somewhat greater support because it is repairing an existing national system rather than constructing another temporary platform, and because modest S4I resources can leverage much larger FAO, IFAD, World Bank and government investments. The funding increase should not primarily buy more messages. It should pay for the evidence, private transactions and institutional agreements that determine whether the system remains after external support declines.</w:t>
      </w:r>
    </w:p>
    <w:p w14:paraId="43AC9BCD" w14:textId="77777777" w:rsidR="00834A76" w:rsidRDefault="00497C84">
      <w:r>
        <w:rPr>
          <w:b/>
        </w:rPr>
        <w:t xml:space="preserve">Expected 2027 results. </w:t>
      </w:r>
      <w:r>
        <w:t>By the end of 2027, the project should be able to demonstrate</w:t>
      </w:r>
      <w:r w:rsidR="00834A76">
        <w:t>:</w:t>
      </w:r>
    </w:p>
    <w:p w14:paraId="45ED1155" w14:textId="77777777" w:rsidR="00834A76" w:rsidRDefault="00497C84" w:rsidP="00834A76">
      <w:pPr>
        <w:pStyle w:val="ListParagraph"/>
        <w:numPr>
          <w:ilvl w:val="0"/>
          <w:numId w:val="14"/>
        </w:numPr>
      </w:pPr>
      <w:r>
        <w:t xml:space="preserve">an operational forecast-to-advisory pipeline with assigned institutional responsibilities; </w:t>
      </w:r>
    </w:p>
    <w:p w14:paraId="596A7268" w14:textId="77777777" w:rsidR="00834A76" w:rsidRDefault="00497C84" w:rsidP="00834A76">
      <w:pPr>
        <w:pStyle w:val="ListParagraph"/>
        <w:numPr>
          <w:ilvl w:val="0"/>
          <w:numId w:val="14"/>
        </w:numPr>
      </w:pPr>
      <w:r>
        <w:t xml:space="preserve">a recurrent cost and financing plan grounded in actual budgets; </w:t>
      </w:r>
    </w:p>
    <w:p w14:paraId="05B35A4F" w14:textId="77777777" w:rsidR="00834A76" w:rsidRDefault="00497C84" w:rsidP="00834A76">
      <w:pPr>
        <w:pStyle w:val="ListParagraph"/>
        <w:numPr>
          <w:ilvl w:val="0"/>
          <w:numId w:val="14"/>
        </w:numPr>
      </w:pPr>
      <w:r>
        <w:t xml:space="preserve">differentiated county pathways; evidence on meaningful use, selected farmer decisions and indirect diffusion; </w:t>
      </w:r>
    </w:p>
    <w:p w14:paraId="200E03E9" w14:textId="77777777" w:rsidR="00834A76" w:rsidRDefault="00497C84" w:rsidP="00834A76">
      <w:pPr>
        <w:pStyle w:val="ListParagraph"/>
        <w:numPr>
          <w:ilvl w:val="0"/>
          <w:numId w:val="14"/>
        </w:numPr>
      </w:pPr>
      <w:r>
        <w:t xml:space="preserve">at least two private products with real co-investment or payment; and </w:t>
      </w:r>
    </w:p>
    <w:p w14:paraId="64B325E8" w14:textId="77777777" w:rsidR="00834A76" w:rsidRDefault="00497C84" w:rsidP="00834A76">
      <w:pPr>
        <w:pStyle w:val="ListParagraph"/>
        <w:numPr>
          <w:ilvl w:val="0"/>
          <w:numId w:val="14"/>
        </w:numPr>
      </w:pPr>
      <w:r>
        <w:t>a credible reduction in Alliance's routine coordinating role</w:t>
      </w:r>
      <w:r w:rsidR="00834A76">
        <w:t>, or at least a pathway to achieving it in the next 2-3 years</w:t>
      </w:r>
      <w:r>
        <w:t xml:space="preserve">. </w:t>
      </w:r>
    </w:p>
    <w:p w14:paraId="72C4355A" w14:textId="2F1079D9" w:rsidR="000D47A6" w:rsidRDefault="00497C84" w:rsidP="00834A76">
      <w:pPr>
        <w:ind w:left="55"/>
      </w:pPr>
      <w:r>
        <w:t xml:space="preserve">These are </w:t>
      </w:r>
      <w:r w:rsidR="00834A76">
        <w:t>at least equally</w:t>
      </w:r>
      <w:r>
        <w:t xml:space="preserve"> important </w:t>
      </w:r>
      <w:r w:rsidR="00834A76">
        <w:t>as</w:t>
      </w:r>
      <w:r>
        <w:t xml:space="preserve"> expanding from three million to six million </w:t>
      </w:r>
      <w:proofErr w:type="gramStart"/>
      <w:r>
        <w:t>contacts</w:t>
      </w:r>
      <w:proofErr w:type="gramEnd"/>
      <w:r>
        <w:t xml:space="preserve"> one year </w:t>
      </w:r>
      <w:proofErr w:type="gramStart"/>
      <w:r>
        <w:t>early</w:t>
      </w:r>
      <w:proofErr w:type="gramEnd"/>
      <w:r>
        <w:t>.</w:t>
      </w:r>
    </w:p>
    <w:p w14:paraId="6C3FA64B" w14:textId="77777777" w:rsidR="000D47A6" w:rsidRDefault="00497C84">
      <w:r>
        <w:rPr>
          <w:b/>
        </w:rPr>
        <w:t>F</w:t>
      </w:r>
      <w:r>
        <w:rPr>
          <w:b/>
        </w:rPr>
        <w:t xml:space="preserve">unding conditions. </w:t>
      </w:r>
      <w:r>
        <w:t>The incremental budget should be conditional on concrete deliverables from IFPRI, ILRI and other paid partners, with authority to reallocate underperformance. S4I should require midyear evidence that the charter, API, quality-assurance process and pilot agreements are functioning. It should not support new apps, broad e-commerce infrastructure, generalized convening, or additional content whose delivery and financing have not been defined.</w:t>
      </w:r>
    </w:p>
    <w:p w14:paraId="60DB7AF6" w14:textId="77777777" w:rsidR="000D47A6" w:rsidRDefault="00497C84" w:rsidP="004F7CD0">
      <w:pPr>
        <w:pStyle w:val="Heading2"/>
      </w:pPr>
      <w:r>
        <w:t>Lessons for S4I and CGIAR</w:t>
      </w:r>
    </w:p>
    <w:p w14:paraId="5F0928F9" w14:textId="77777777" w:rsidR="000D47A6" w:rsidRDefault="00497C84">
      <w:r>
        <w:rPr>
          <w:b/>
        </w:rPr>
        <w:t xml:space="preserve">Invest in institutional repair around existing assets. </w:t>
      </w:r>
      <w:r>
        <w:t>This case shows the potential return from fixing a few bottlenecks around systems that already have momentum. KALRO, KMSA, the registry and partner programs offer a more credible route than a new project-owned application. S4I should favor similar opportunities where its additionality is interoperability, governance, evidence and handoff.</w:t>
      </w:r>
    </w:p>
    <w:p w14:paraId="7D75D117" w14:textId="77777777" w:rsidR="000D47A6" w:rsidRDefault="00497C84">
      <w:r>
        <w:rPr>
          <w:b/>
        </w:rPr>
        <w:t xml:space="preserve">Measure depth as well as digital reach. </w:t>
      </w:r>
      <w:r>
        <w:t>Registrations and delivered messages are useful operational indicators but not adoption. S4I should require a light, consistent funnel from contact to meaningful use and benefit, using samples and partner evidence rather than expensive bespoke evaluations.</w:t>
      </w:r>
    </w:p>
    <w:p w14:paraId="2BE34A21" w14:textId="77777777" w:rsidR="000D47A6" w:rsidRDefault="00497C84">
      <w:r>
        <w:rPr>
          <w:b/>
        </w:rPr>
        <w:t xml:space="preserve">Public goods and partnerships still require accountability. </w:t>
      </w:r>
      <w:r>
        <w:t xml:space="preserve">Calling advice a public good explains why farmer fees are insufficient; it does not identify the recurrent payer or operator. </w:t>
      </w:r>
      <w:r>
        <w:lastRenderedPageBreak/>
        <w:t>Likewise, partner leverage is real only when organizations contribute staff, money, data, infrastructure or implementation. Cross-center funding should follow comparative advantage and delivery.</w:t>
      </w:r>
    </w:p>
    <w:p w14:paraId="499FA7AF" w14:textId="77777777" w:rsidR="000D47A6" w:rsidRDefault="00497C84">
      <w:r>
        <w:rPr>
          <w:b/>
        </w:rPr>
        <w:t xml:space="preserve">Do not overgeneralize from Kenya. </w:t>
      </w:r>
      <w:r>
        <w:t>Kenya's institutional and market conditions are exceptional. The transferable innovation is not the exact platform but the method of diagnosing the public-data pipeline, repairing institutional relationships, distinguishing public from commercial functions and building delivery channels suited to local capacity.</w:t>
      </w:r>
    </w:p>
    <w:sectPr w:rsidR="000D47A6">
      <w:headerReference w:type="default" r:id="rId8"/>
      <w:footerReference w:type="default" r:id="rId9"/>
      <w:pgSz w:w="11906" w:h="16838"/>
      <w:pgMar w:top="1440" w:right="1440" w:bottom="1440"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D837" w14:textId="77777777" w:rsidR="00497C84" w:rsidRDefault="00497C84">
      <w:pPr>
        <w:spacing w:after="0" w:line="240" w:lineRule="auto"/>
      </w:pPr>
      <w:r>
        <w:separator/>
      </w:r>
    </w:p>
  </w:endnote>
  <w:endnote w:type="continuationSeparator" w:id="0">
    <w:p w14:paraId="33670816" w14:textId="77777777" w:rsidR="00497C84" w:rsidRDefault="0049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Narrow">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55C3" w14:textId="77777777" w:rsidR="000D47A6" w:rsidRDefault="000D47A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0"/>
      <w:gridCol w:w="3960"/>
      <w:gridCol w:w="2520"/>
    </w:tblGrid>
    <w:tr w:rsidR="000D47A6" w14:paraId="162D6687" w14:textId="77777777">
      <w:trPr>
        <w:jc w:val="center"/>
      </w:trPr>
      <w:tc>
        <w:tcPr>
          <w:tcW w:w="2520" w:type="dxa"/>
          <w:vAlign w:val="center"/>
        </w:tcPr>
        <w:p w14:paraId="60E004E9" w14:textId="77777777" w:rsidR="000D47A6" w:rsidRDefault="000D47A6"/>
      </w:tc>
      <w:tc>
        <w:tcPr>
          <w:tcW w:w="3960" w:type="dxa"/>
          <w:vAlign w:val="center"/>
        </w:tcPr>
        <w:p w14:paraId="0D294E37" w14:textId="5DBA9A6F" w:rsidR="000D47A6" w:rsidRDefault="00497C84">
          <w:pPr>
            <w:jc w:val="center"/>
          </w:pPr>
          <w:r>
            <w:rPr>
              <w:sz w:val="18"/>
            </w:rPr>
            <w:t xml:space="preserve">Page </w:t>
          </w:r>
          <w:r>
            <w:rPr>
              <w:sz w:val="18"/>
            </w:rPr>
            <w:fldChar w:fldCharType="begin"/>
          </w:r>
          <w:r>
            <w:rPr>
              <w:sz w:val="18"/>
            </w:rPr>
            <w:instrText>PAGE</w:instrText>
          </w:r>
          <w:r>
            <w:rPr>
              <w:sz w:val="18"/>
            </w:rPr>
            <w:fldChar w:fldCharType="separate"/>
          </w:r>
          <w:r w:rsidR="00EE42B2">
            <w:rPr>
              <w:noProof/>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EE42B2">
            <w:rPr>
              <w:noProof/>
              <w:sz w:val="18"/>
            </w:rPr>
            <w:t>2</w:t>
          </w:r>
          <w:r>
            <w:rPr>
              <w:sz w:val="18"/>
            </w:rPr>
            <w:fldChar w:fldCharType="end"/>
          </w:r>
        </w:p>
      </w:tc>
      <w:tc>
        <w:tcPr>
          <w:tcW w:w="2520" w:type="dxa"/>
          <w:vAlign w:val="center"/>
        </w:tcPr>
        <w:p w14:paraId="04AA5938" w14:textId="77777777" w:rsidR="000D47A6" w:rsidRDefault="00497C84">
          <w:pPr>
            <w:jc w:val="right"/>
          </w:pPr>
          <w:r>
            <w:rPr>
              <w:sz w:val="18"/>
            </w:rPr>
            <w:t>6 August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23F2" w14:textId="77777777" w:rsidR="000D47A6" w:rsidRDefault="000D47A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0"/>
      <w:gridCol w:w="3960"/>
      <w:gridCol w:w="2520"/>
    </w:tblGrid>
    <w:tr w:rsidR="000D47A6" w14:paraId="7F065605" w14:textId="77777777">
      <w:trPr>
        <w:jc w:val="center"/>
      </w:trPr>
      <w:tc>
        <w:tcPr>
          <w:tcW w:w="2520" w:type="dxa"/>
          <w:vAlign w:val="center"/>
        </w:tcPr>
        <w:p w14:paraId="6C25B548" w14:textId="1283D50B" w:rsidR="000D47A6" w:rsidRDefault="00A349A6" w:rsidP="00A349A6">
          <w:pPr>
            <w:jc w:val="left"/>
          </w:pPr>
          <w:r w:rsidRPr="00A349A6">
            <w:rPr>
              <w:sz w:val="18"/>
            </w:rPr>
            <w:t>Author</w:t>
          </w:r>
          <w:proofErr w:type="gramStart"/>
          <w:r w:rsidRPr="00A349A6">
            <w:rPr>
              <w:sz w:val="18"/>
            </w:rPr>
            <w:t>:  Dr</w:t>
          </w:r>
          <w:proofErr w:type="gramEnd"/>
          <w:r w:rsidRPr="00A349A6">
            <w:rPr>
              <w:sz w:val="18"/>
            </w:rPr>
            <w:t>. Richard Kohl</w:t>
          </w:r>
        </w:p>
      </w:tc>
      <w:tc>
        <w:tcPr>
          <w:tcW w:w="3960" w:type="dxa"/>
          <w:vAlign w:val="center"/>
        </w:tcPr>
        <w:p w14:paraId="7DA87819" w14:textId="415030A5" w:rsidR="000D47A6" w:rsidRDefault="00497C84">
          <w:pPr>
            <w:jc w:val="center"/>
          </w:pPr>
          <w:r>
            <w:rPr>
              <w:sz w:val="18"/>
            </w:rPr>
            <w:t xml:space="preserve">Page </w:t>
          </w:r>
          <w:r>
            <w:rPr>
              <w:sz w:val="18"/>
            </w:rPr>
            <w:fldChar w:fldCharType="begin"/>
          </w:r>
          <w:r>
            <w:rPr>
              <w:sz w:val="18"/>
            </w:rPr>
            <w:instrText>PAGE</w:instrText>
          </w:r>
          <w:r>
            <w:rPr>
              <w:sz w:val="18"/>
            </w:rPr>
            <w:fldChar w:fldCharType="separate"/>
          </w:r>
          <w:r w:rsidR="00EE42B2">
            <w:rPr>
              <w:noProof/>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EE42B2">
            <w:rPr>
              <w:noProof/>
              <w:sz w:val="18"/>
            </w:rPr>
            <w:t>3</w:t>
          </w:r>
          <w:r>
            <w:rPr>
              <w:sz w:val="18"/>
            </w:rPr>
            <w:fldChar w:fldCharType="end"/>
          </w:r>
        </w:p>
      </w:tc>
      <w:tc>
        <w:tcPr>
          <w:tcW w:w="2520" w:type="dxa"/>
          <w:vAlign w:val="center"/>
        </w:tcPr>
        <w:p w14:paraId="43145B7B" w14:textId="77777777" w:rsidR="000D47A6" w:rsidRDefault="00497C84">
          <w:pPr>
            <w:jc w:val="right"/>
          </w:pPr>
          <w:r>
            <w:rPr>
              <w:sz w:val="18"/>
            </w:rPr>
            <w:t>6 August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D97EC" w14:textId="77777777" w:rsidR="00497C84" w:rsidRDefault="00497C84">
      <w:pPr>
        <w:spacing w:after="0" w:line="240" w:lineRule="auto"/>
      </w:pPr>
      <w:r>
        <w:separator/>
      </w:r>
    </w:p>
  </w:footnote>
  <w:footnote w:type="continuationSeparator" w:id="0">
    <w:p w14:paraId="78EE7297" w14:textId="77777777" w:rsidR="00497C84" w:rsidRDefault="00497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901E" w14:textId="024F952E" w:rsidR="000D47A6" w:rsidRPr="00A349A6" w:rsidRDefault="00A349A6" w:rsidP="00A349A6">
    <w:pPr>
      <w:jc w:val="right"/>
      <w:rPr>
        <w:sz w:val="20"/>
        <w:szCs w:val="18"/>
      </w:rPr>
    </w:pPr>
    <w:r>
      <w:rPr>
        <w:sz w:val="20"/>
        <w:szCs w:val="18"/>
      </w:rPr>
      <w:t>Scaling Assessment and Recommendations:  Kenya DCAS PPP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49B"/>
    <w:multiLevelType w:val="hybridMultilevel"/>
    <w:tmpl w:val="9A1A4E3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 w15:restartNumberingAfterBreak="0">
    <w:nsid w:val="1F2C05EC"/>
    <w:multiLevelType w:val="hybridMultilevel"/>
    <w:tmpl w:val="1B26F99C"/>
    <w:lvl w:ilvl="0" w:tplc="DCA08C5C">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F2977AA"/>
    <w:multiLevelType w:val="multilevel"/>
    <w:tmpl w:val="0C7EA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0A32295"/>
    <w:multiLevelType w:val="hybridMultilevel"/>
    <w:tmpl w:val="FEDCF1B0"/>
    <w:lvl w:ilvl="0" w:tplc="B172DF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593149"/>
    <w:multiLevelType w:val="hybridMultilevel"/>
    <w:tmpl w:val="53BE376A"/>
    <w:lvl w:ilvl="0" w:tplc="E29650CA">
      <w:start w:val="1"/>
      <w:numFmt w:val="upperRoman"/>
      <w:pStyle w:val="Heading1"/>
      <w:lvlText w:val="%1."/>
      <w:lvlJc w:val="right"/>
      <w:pPr>
        <w:ind w:left="720" w:hanging="360"/>
      </w:pPr>
    </w:lvl>
    <w:lvl w:ilvl="1" w:tplc="9E8280D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407AC"/>
    <w:multiLevelType w:val="multilevel"/>
    <w:tmpl w:val="D2C6B5E4"/>
    <w:lvl w:ilvl="0">
      <w:start w:val="1"/>
      <w:numFmt w:val="upperLetter"/>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1EA646F"/>
    <w:multiLevelType w:val="hybridMultilevel"/>
    <w:tmpl w:val="9A8A0D32"/>
    <w:lvl w:ilvl="0" w:tplc="31749D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149766">
    <w:abstractNumId w:val="3"/>
  </w:num>
  <w:num w:numId="2" w16cid:durableId="1114864947">
    <w:abstractNumId w:val="4"/>
  </w:num>
  <w:num w:numId="3" w16cid:durableId="715201231">
    <w:abstractNumId w:val="2"/>
  </w:num>
  <w:num w:numId="4" w16cid:durableId="2092390018">
    <w:abstractNumId w:val="1"/>
  </w:num>
  <w:num w:numId="5" w16cid:durableId="1097167924">
    <w:abstractNumId w:val="4"/>
  </w:num>
  <w:num w:numId="6" w16cid:durableId="762340547">
    <w:abstractNumId w:val="6"/>
  </w:num>
  <w:num w:numId="7" w16cid:durableId="550771691">
    <w:abstractNumId w:val="6"/>
  </w:num>
  <w:num w:numId="8" w16cid:durableId="545946371">
    <w:abstractNumId w:val="6"/>
  </w:num>
  <w:num w:numId="9" w16cid:durableId="2074694757">
    <w:abstractNumId w:val="5"/>
  </w:num>
  <w:num w:numId="10" w16cid:durableId="782070565">
    <w:abstractNumId w:val="5"/>
  </w:num>
  <w:num w:numId="11" w16cid:durableId="1648511129">
    <w:abstractNumId w:val="5"/>
  </w:num>
  <w:num w:numId="12" w16cid:durableId="704410757">
    <w:abstractNumId w:val="5"/>
  </w:num>
  <w:num w:numId="13" w16cid:durableId="675038787">
    <w:abstractNumId w:val="4"/>
  </w:num>
  <w:num w:numId="14" w16cid:durableId="103018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9B"/>
    <w:rsid w:val="0001119B"/>
    <w:rsid w:val="000812CA"/>
    <w:rsid w:val="000A3C9D"/>
    <w:rsid w:val="000D47A6"/>
    <w:rsid w:val="001D39DD"/>
    <w:rsid w:val="00233605"/>
    <w:rsid w:val="00497C84"/>
    <w:rsid w:val="004F7CD0"/>
    <w:rsid w:val="005564D2"/>
    <w:rsid w:val="00587C90"/>
    <w:rsid w:val="006654DB"/>
    <w:rsid w:val="006946CC"/>
    <w:rsid w:val="00697AB1"/>
    <w:rsid w:val="006D01B5"/>
    <w:rsid w:val="006E7972"/>
    <w:rsid w:val="00834A76"/>
    <w:rsid w:val="00893825"/>
    <w:rsid w:val="0092774E"/>
    <w:rsid w:val="0093609F"/>
    <w:rsid w:val="00953FED"/>
    <w:rsid w:val="009B729C"/>
    <w:rsid w:val="00A205AC"/>
    <w:rsid w:val="00A349A6"/>
    <w:rsid w:val="00A573E5"/>
    <w:rsid w:val="00AD50FD"/>
    <w:rsid w:val="00AD6A33"/>
    <w:rsid w:val="00B96985"/>
    <w:rsid w:val="00C440B3"/>
    <w:rsid w:val="00CA70CE"/>
    <w:rsid w:val="00D419CE"/>
    <w:rsid w:val="00DA247E"/>
    <w:rsid w:val="00DB010E"/>
    <w:rsid w:val="00EA6E5F"/>
    <w:rsid w:val="00EE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0524"/>
  <w15:chartTrackingRefBased/>
  <w15:docId w15:val="{B4F855CB-3693-4ABA-A432-41B1E40C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Liberation Sans Narrow"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A6"/>
    <w:pPr>
      <w:spacing w:after="240" w:line="259" w:lineRule="auto"/>
      <w:jc w:val="both"/>
    </w:pPr>
    <w:rPr>
      <w:rFonts w:ascii="Calibri" w:eastAsia="Calibri" w:hAnsi="Calibri"/>
      <w:color w:val="000000"/>
      <w:kern w:val="0"/>
      <w:szCs w:val="22"/>
      <w14:ligatures w14:val="none"/>
    </w:rPr>
  </w:style>
  <w:style w:type="paragraph" w:styleId="Heading1">
    <w:name w:val="heading 1"/>
    <w:basedOn w:val="Normal"/>
    <w:next w:val="Normal"/>
    <w:link w:val="Heading1Char"/>
    <w:uiPriority w:val="9"/>
    <w:qFormat/>
    <w:rsid w:val="006D01B5"/>
    <w:pPr>
      <w:keepNext/>
      <w:keepLines/>
      <w:numPr>
        <w:numId w:val="5"/>
      </w:numPr>
      <w:spacing w:before="120" w:after="120"/>
      <w:ind w:left="446"/>
      <w:outlineLvl w:val="0"/>
    </w:pPr>
    <w:rPr>
      <w:rFonts w:ascii="Arial" w:eastAsiaTheme="majorEastAsia" w:hAnsi="Arial" w:cstheme="majorBidi"/>
      <w:b/>
      <w:i/>
      <w:color w:val="000000" w:themeColor="text1"/>
      <w:sz w:val="28"/>
      <w:szCs w:val="40"/>
    </w:rPr>
  </w:style>
  <w:style w:type="paragraph" w:styleId="Heading2">
    <w:name w:val="heading 2"/>
    <w:basedOn w:val="RKHeading2"/>
    <w:next w:val="Normal"/>
    <w:link w:val="Heading2Char"/>
    <w:uiPriority w:val="9"/>
    <w:unhideWhenUsed/>
    <w:qFormat/>
    <w:rsid w:val="005564D2"/>
    <w:pPr>
      <w:spacing w:before="240" w:after="120"/>
      <w:outlineLvl w:val="1"/>
    </w:pPr>
    <w:rPr>
      <w:u w:val="single"/>
    </w:rPr>
  </w:style>
  <w:style w:type="paragraph" w:styleId="Heading3">
    <w:name w:val="heading 3"/>
    <w:basedOn w:val="Normal"/>
    <w:next w:val="Normal"/>
    <w:link w:val="Heading3Char"/>
    <w:uiPriority w:val="9"/>
    <w:semiHidden/>
    <w:unhideWhenUsed/>
    <w:qFormat/>
    <w:rsid w:val="000111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1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729C"/>
    <w:pPr>
      <w:spacing w:line="240" w:lineRule="auto"/>
      <w:contextualSpacing/>
      <w:jc w:val="center"/>
    </w:pPr>
    <w:rPr>
      <w:rFonts w:asciiTheme="majorHAnsi" w:eastAsiaTheme="majorEastAsia" w:hAnsiTheme="majorHAnsi" w:cstheme="majorBidi"/>
      <w:b/>
      <w:bCs/>
      <w:color w:val="000000" w:themeColor="text1"/>
      <w:spacing w:val="-10"/>
      <w:kern w:val="28"/>
      <w:sz w:val="36"/>
      <w:szCs w:val="36"/>
      <w:u w:val="single"/>
    </w:rPr>
  </w:style>
  <w:style w:type="character" w:customStyle="1" w:styleId="TitleChar">
    <w:name w:val="Title Char"/>
    <w:basedOn w:val="DefaultParagraphFont"/>
    <w:link w:val="Title"/>
    <w:uiPriority w:val="10"/>
    <w:rsid w:val="009B729C"/>
    <w:rPr>
      <w:rFonts w:asciiTheme="majorHAnsi" w:eastAsiaTheme="majorEastAsia" w:hAnsiTheme="majorHAnsi" w:cstheme="majorBidi"/>
      <w:b/>
      <w:bCs/>
      <w:color w:val="000000" w:themeColor="text1"/>
      <w:spacing w:val="-10"/>
      <w:kern w:val="28"/>
      <w:sz w:val="36"/>
      <w:szCs w:val="36"/>
      <w:u w:val="single"/>
    </w:rPr>
  </w:style>
  <w:style w:type="character" w:customStyle="1" w:styleId="Heading2Char">
    <w:name w:val="Heading 2 Char"/>
    <w:basedOn w:val="DefaultParagraphFont"/>
    <w:link w:val="Heading2"/>
    <w:uiPriority w:val="9"/>
    <w:rsid w:val="005564D2"/>
    <w:rPr>
      <w:rFonts w:ascii="Calibri" w:eastAsia="Calibri" w:hAnsi="Calibri"/>
      <w:b/>
      <w:color w:val="000000"/>
      <w:kern w:val="0"/>
      <w:szCs w:val="22"/>
      <w:u w:val="single"/>
      <w14:ligatures w14:val="none"/>
    </w:rPr>
  </w:style>
  <w:style w:type="character" w:customStyle="1" w:styleId="Heading1Char">
    <w:name w:val="Heading 1 Char"/>
    <w:basedOn w:val="DefaultParagraphFont"/>
    <w:link w:val="Heading1"/>
    <w:uiPriority w:val="9"/>
    <w:rsid w:val="006D01B5"/>
    <w:rPr>
      <w:rFonts w:ascii="Arial" w:eastAsiaTheme="majorEastAsia" w:hAnsi="Arial" w:cstheme="majorBidi"/>
      <w:b/>
      <w:i/>
      <w:color w:val="000000" w:themeColor="text1"/>
      <w:kern w:val="0"/>
      <w:sz w:val="28"/>
      <w:szCs w:val="40"/>
      <w14:ligatures w14:val="none"/>
    </w:rPr>
  </w:style>
  <w:style w:type="character" w:customStyle="1" w:styleId="Heading3Char">
    <w:name w:val="Heading 3 Char"/>
    <w:basedOn w:val="DefaultParagraphFont"/>
    <w:link w:val="Heading3"/>
    <w:uiPriority w:val="9"/>
    <w:semiHidden/>
    <w:rsid w:val="0001119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1119B"/>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01119B"/>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1119B"/>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01119B"/>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01119B"/>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01119B"/>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0111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9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1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19B"/>
    <w:rPr>
      <w:rFonts w:ascii="Liberation Sans Narrow" w:hAnsi="Liberation Sans Narrow"/>
      <w:i/>
      <w:iCs/>
      <w:color w:val="404040" w:themeColor="text1" w:themeTint="BF"/>
      <w:kern w:val="0"/>
      <w:szCs w:val="22"/>
      <w14:ligatures w14:val="none"/>
    </w:rPr>
  </w:style>
  <w:style w:type="paragraph" w:styleId="ListParagraph">
    <w:name w:val="List Paragraph"/>
    <w:basedOn w:val="Normal"/>
    <w:uiPriority w:val="34"/>
    <w:qFormat/>
    <w:rsid w:val="0001119B"/>
    <w:pPr>
      <w:ind w:left="720"/>
      <w:contextualSpacing/>
    </w:pPr>
  </w:style>
  <w:style w:type="character" w:styleId="IntenseEmphasis">
    <w:name w:val="Intense Emphasis"/>
    <w:basedOn w:val="DefaultParagraphFont"/>
    <w:uiPriority w:val="21"/>
    <w:qFormat/>
    <w:rsid w:val="0001119B"/>
    <w:rPr>
      <w:i/>
      <w:iCs/>
      <w:color w:val="0F4761" w:themeColor="accent1" w:themeShade="BF"/>
    </w:rPr>
  </w:style>
  <w:style w:type="paragraph" w:styleId="IntenseQuote">
    <w:name w:val="Intense Quote"/>
    <w:basedOn w:val="Normal"/>
    <w:next w:val="Normal"/>
    <w:link w:val="IntenseQuoteChar"/>
    <w:uiPriority w:val="30"/>
    <w:qFormat/>
    <w:rsid w:val="00011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9B"/>
    <w:rPr>
      <w:rFonts w:ascii="Liberation Sans Narrow" w:hAnsi="Liberation Sans Narrow"/>
      <w:i/>
      <w:iCs/>
      <w:color w:val="0F4761" w:themeColor="accent1" w:themeShade="BF"/>
      <w:kern w:val="0"/>
      <w:szCs w:val="22"/>
      <w14:ligatures w14:val="none"/>
    </w:rPr>
  </w:style>
  <w:style w:type="character" w:styleId="IntenseReference">
    <w:name w:val="Intense Reference"/>
    <w:basedOn w:val="DefaultParagraphFont"/>
    <w:uiPriority w:val="32"/>
    <w:qFormat/>
    <w:rsid w:val="0001119B"/>
    <w:rPr>
      <w:b/>
      <w:bCs/>
      <w:smallCaps/>
      <w:color w:val="0F4761" w:themeColor="accent1" w:themeShade="BF"/>
      <w:spacing w:val="5"/>
    </w:rPr>
  </w:style>
  <w:style w:type="paragraph" w:customStyle="1" w:styleId="RKHeading1">
    <w:name w:val="RK Heading 1"/>
    <w:basedOn w:val="Normal"/>
    <w:pPr>
      <w:keepNext/>
      <w:spacing w:before="100" w:after="20" w:line="240" w:lineRule="auto"/>
    </w:pPr>
    <w:rPr>
      <w:b/>
    </w:rPr>
  </w:style>
  <w:style w:type="paragraph" w:customStyle="1" w:styleId="RKHeading2">
    <w:name w:val="RK Heading 2"/>
    <w:basedOn w:val="Normal"/>
    <w:pPr>
      <w:keepNext/>
      <w:spacing w:before="60" w:after="0" w:line="240" w:lineRule="auto"/>
    </w:pPr>
    <w:rPr>
      <w:b/>
    </w:rPr>
  </w:style>
  <w:style w:type="paragraph" w:customStyle="1" w:styleId="RKBullet">
    <w:name w:val="RK Bullet"/>
    <w:basedOn w:val="Normal"/>
    <w:pPr>
      <w:spacing w:after="0" w:line="240" w:lineRule="auto"/>
      <w:ind w:left="317" w:hanging="259"/>
    </w:pPr>
  </w:style>
  <w:style w:type="paragraph" w:styleId="Header">
    <w:name w:val="header"/>
    <w:basedOn w:val="Normal"/>
    <w:link w:val="HeaderChar"/>
    <w:uiPriority w:val="99"/>
    <w:unhideWhenUsed/>
    <w:rsid w:val="00A34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9A6"/>
    <w:rPr>
      <w:rFonts w:ascii="Calibri" w:eastAsia="Calibri" w:hAnsi="Calibri"/>
      <w:color w:val="000000"/>
      <w:kern w:val="0"/>
      <w:szCs w:val="22"/>
      <w14:ligatures w14:val="none"/>
    </w:rPr>
  </w:style>
  <w:style w:type="paragraph" w:styleId="Footer">
    <w:name w:val="footer"/>
    <w:basedOn w:val="Normal"/>
    <w:link w:val="FooterChar"/>
    <w:uiPriority w:val="99"/>
    <w:unhideWhenUsed/>
    <w:rsid w:val="00A34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9A6"/>
    <w:rPr>
      <w:rFonts w:ascii="Calibri" w:eastAsia="Calibri" w:hAnsi="Calibri"/>
      <w:color w:val="00000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Alliance DCAS PPP Kenya Scaling Coaching Assessment and Recommendations</dc:title>
  <dc:subject>CGIAR Scaling for Impact assessment</dc:subject>
  <dc:creator>Dr. Richard Kohl, Strategy and Scale LLC</dc:creator>
  <cp:keywords/>
  <dc:description/>
  <cp:lastModifiedBy>Richard Kohl</cp:lastModifiedBy>
  <cp:revision>16</cp:revision>
  <dcterms:created xsi:type="dcterms:W3CDTF">2026-07-30T14:10:00Z</dcterms:created>
  <dcterms:modified xsi:type="dcterms:W3CDTF">2026-08-06T11:35:00Z</dcterms:modified>
</cp:coreProperties>
</file>