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4D813" w14:textId="77777777" w:rsidR="00DB3D6A" w:rsidRDefault="00DB3D6A">
      <w:pPr>
        <w:spacing w:after="1760"/>
      </w:pPr>
    </w:p>
    <w:p w14:paraId="0F72420C" w14:textId="77777777" w:rsidR="00DB3D6A" w:rsidRDefault="00000000">
      <w:pPr>
        <w:spacing w:after="600"/>
        <w:jc w:val="center"/>
      </w:pPr>
      <w:r>
        <w:rPr>
          <w:rFonts w:ascii="Arial" w:hAnsi="Arial"/>
          <w:b/>
          <w:sz w:val="34"/>
        </w:rPr>
        <w:t>CGIAR Scaling for Impact</w:t>
      </w:r>
    </w:p>
    <w:p w14:paraId="2D5C847A" w14:textId="77777777" w:rsidR="00DB3D6A" w:rsidRDefault="00000000">
      <w:pPr>
        <w:spacing w:after="560"/>
        <w:jc w:val="center"/>
        <w:rPr>
          <w:b/>
          <w:sz w:val="30"/>
          <w:u w:val="single"/>
        </w:rPr>
      </w:pPr>
      <w:r>
        <w:rPr>
          <w:rFonts w:ascii="Arial" w:hAnsi="Arial"/>
          <w:b/>
          <w:sz w:val="30"/>
          <w:u w:val="single"/>
        </w:rPr>
        <w:t>Scaling Assessment Analysis and Coaching Recommendations</w:t>
      </w:r>
    </w:p>
    <w:p w14:paraId="2E478E8F" w14:textId="77777777" w:rsidR="00066723" w:rsidRDefault="00066723">
      <w:pPr>
        <w:spacing w:after="560"/>
        <w:jc w:val="center"/>
      </w:pPr>
    </w:p>
    <w:p w14:paraId="5153060D" w14:textId="77777777" w:rsidR="00DB3D6A" w:rsidRDefault="00000000">
      <w:pPr>
        <w:spacing w:after="560"/>
        <w:jc w:val="center"/>
        <w:rPr>
          <w:b/>
          <w:i/>
          <w:sz w:val="28"/>
        </w:rPr>
      </w:pPr>
      <w:r>
        <w:rPr>
          <w:rFonts w:ascii="Arial" w:hAnsi="Arial"/>
          <w:b/>
          <w:i/>
          <w:sz w:val="28"/>
        </w:rPr>
        <w:t>Precision Nutrient Management at Scale: Supporting Vietnam’s One-Million-Hectare High-Quality and Low-Emission Rice Program</w:t>
      </w:r>
    </w:p>
    <w:p w14:paraId="2886A78F" w14:textId="77777777" w:rsidR="00066723" w:rsidRDefault="00066723">
      <w:pPr>
        <w:spacing w:after="560"/>
        <w:jc w:val="center"/>
        <w:rPr>
          <w:b/>
          <w:i/>
          <w:sz w:val="28"/>
        </w:rPr>
      </w:pPr>
    </w:p>
    <w:p w14:paraId="5CAF34C9" w14:textId="77777777" w:rsidR="00066723" w:rsidRDefault="00066723">
      <w:pPr>
        <w:spacing w:after="560"/>
        <w:jc w:val="center"/>
      </w:pPr>
    </w:p>
    <w:p w14:paraId="791BF05E" w14:textId="77777777" w:rsidR="00DB3D6A" w:rsidRDefault="00000000">
      <w:pPr>
        <w:spacing w:after="560"/>
        <w:jc w:val="center"/>
      </w:pPr>
      <w:r>
        <w:rPr>
          <w:rFonts w:ascii="Arial" w:hAnsi="Arial"/>
          <w:b/>
          <w:i/>
        </w:rPr>
        <w:t>Submitted to the CGIAR Scaling for Impact Team</w:t>
      </w:r>
    </w:p>
    <w:p w14:paraId="3FE14993" w14:textId="77777777" w:rsidR="00DB3D6A" w:rsidRDefault="00000000">
      <w:pPr>
        <w:spacing w:after="140"/>
        <w:jc w:val="center"/>
      </w:pPr>
      <w:r>
        <w:rPr>
          <w:rFonts w:ascii="Arial" w:hAnsi="Arial"/>
        </w:rPr>
        <w:t>By</w:t>
      </w:r>
    </w:p>
    <w:p w14:paraId="454E7870" w14:textId="77777777" w:rsidR="00066723" w:rsidRDefault="00066723">
      <w:pPr>
        <w:spacing w:after="140"/>
        <w:jc w:val="center"/>
      </w:pPr>
    </w:p>
    <w:p w14:paraId="3E2A8770" w14:textId="77777777" w:rsidR="00066723" w:rsidRDefault="00066723">
      <w:pPr>
        <w:spacing w:after="140"/>
        <w:jc w:val="center"/>
      </w:pPr>
    </w:p>
    <w:p w14:paraId="40D056F5" w14:textId="77777777" w:rsidR="00DB3D6A" w:rsidRDefault="00000000">
      <w:pPr>
        <w:spacing w:after="560"/>
        <w:jc w:val="center"/>
      </w:pPr>
      <w:r>
        <w:rPr>
          <w:rFonts w:ascii="Arial" w:hAnsi="Arial"/>
          <w:b/>
          <w:sz w:val="26"/>
        </w:rPr>
        <w:t>Dr. Richard Kohl, Strategy and Scale LLC</w:t>
      </w:r>
    </w:p>
    <w:p w14:paraId="13A4C495" w14:textId="0BC36EC0" w:rsidR="00DB3D6A" w:rsidRDefault="00000000">
      <w:pPr>
        <w:jc w:val="center"/>
      </w:pPr>
      <w:r>
        <w:rPr>
          <w:rFonts w:ascii="Arial" w:hAnsi="Arial"/>
          <w:b/>
          <w:i/>
        </w:rPr>
        <w:t>1</w:t>
      </w:r>
      <w:r w:rsidR="000A11C8">
        <w:rPr>
          <w:rFonts w:ascii="Arial" w:hAnsi="Arial"/>
          <w:b/>
          <w:i/>
        </w:rPr>
        <w:t>4</w:t>
      </w:r>
      <w:r>
        <w:rPr>
          <w:rFonts w:ascii="Arial" w:hAnsi="Arial"/>
          <w:b/>
          <w:i/>
        </w:rPr>
        <w:t xml:space="preserve"> August 2026</w:t>
      </w:r>
    </w:p>
    <w:p w14:paraId="331637DC" w14:textId="77777777" w:rsidR="00DB3D6A" w:rsidRDefault="00000000">
      <w:r>
        <w:br w:type="page"/>
      </w:r>
    </w:p>
    <w:p w14:paraId="7669C172" w14:textId="77777777" w:rsidR="00DB3D6A" w:rsidRDefault="00000000" w:rsidP="00083A95">
      <w:pPr>
        <w:pStyle w:val="Heading1"/>
      </w:pPr>
      <w:r>
        <w:lastRenderedPageBreak/>
        <w:t>Executive Summary</w:t>
      </w:r>
    </w:p>
    <w:p w14:paraId="522F1A0A" w14:textId="77777777" w:rsidR="00DB3D6A" w:rsidRDefault="00000000" w:rsidP="000064CF">
      <w:r>
        <w:rPr>
          <w:b/>
        </w:rPr>
        <w:t xml:space="preserve">Overall judgment. </w:t>
      </w:r>
      <w:r>
        <w:t>Vietnam’s Precision Nutrient Management (PNM) Scaling Solution has an unusually favorable policy platform but a substantially less mature scaling pathway than the headline “one million hectares” ambition suggests. The core technical proposition is credible: Rice Crop Manager (RCM) and the underlying site-specific nutrient management principles are mature, the agronomic evidence is strong enough to justify transition-to-scale work, and the Government of Vietnam’s One-Million-Hectare High-Quality and Low-Emission Rice Program creates policy legitimacy, an extension architecture, geographic concentration, and potential public financing that most CGIAR Scaling Solutions do not have. The post-coaching materials also provide more convincing evidence that the national program is real: 1,013 community agricultural extension groups with 10,361 members have reportedly been established; more than 175,000 rice-producing households in the Mekong River Delta were enrolled by June 2026; VIETRISA reports green-rice exports corresponding to roughly 30,000 hectares; and provincial agencies are assigning communes and cooperatives to the program. These are meaningful assets.</w:t>
      </w:r>
    </w:p>
    <w:p w14:paraId="7406D390" w14:textId="48B73834" w:rsidR="00DB3D6A" w:rsidRPr="000064CF" w:rsidRDefault="00000000" w:rsidP="000064CF">
      <w:r w:rsidRPr="000064CF">
        <w:t>The central weakness is that the project often treats these assets as though they are already a scaling mechanism. They are not</w:t>
      </w:r>
      <w:r w:rsidR="00CB7126">
        <w:t>, or at least that remains to be seen</w:t>
      </w:r>
      <w:r w:rsidRPr="000064CF">
        <w:t>. A government target, a cooperative’s enrollment, distribution of a technical guideline, a fertilizer calendar placed at a dealer, an RCM website visit, or a hectare reported under the broader One-Million-Hectare program are all different things from a farmer changing fertilizer quantity and timing and repeating that behavior in subsequent seasons. The coaching discussion exposed this distinction repeatedly. It also exposed how difficult it was to establish what “adoption” means in the team’s current reporting. The subsequent written response corrected one important misunderstanding: the approximately 18 percent figure discussed during coaching was a baseline estimate of mechanized direct seeding adoption in selected Can Tho areas, not a conversion rate from PNM exposure to adoption. That correction should be accepted</w:t>
      </w:r>
      <w:r w:rsidR="009C629E">
        <w:t xml:space="preserve">, though noting that the Can Tho area is particularly favorable </w:t>
      </w:r>
      <w:r w:rsidR="000F2241">
        <w:t>to adoption</w:t>
      </w:r>
      <w:r w:rsidRPr="000064CF">
        <w:t>. But it leaves a more basic problem: the project does not yet have a credible conversion ratio from exposure, enrollment or advice to trial, actual practice, repeat use and hectares under PNM.</w:t>
      </w:r>
    </w:p>
    <w:p w14:paraId="44EF24A9" w14:textId="4B71984C" w:rsidR="00DB3D6A" w:rsidRDefault="00000000" w:rsidP="000064CF">
      <w:r>
        <w:t>The strongest positive update after coaching is that the government pathway is more concrete than it sounded during the call</w:t>
      </w:r>
      <w:r w:rsidR="00A73F80">
        <w:t xml:space="preserve">; the fact that AoW3 is measuring impact </w:t>
      </w:r>
      <w:r w:rsidR="0068742D">
        <w:t xml:space="preserve">and the government is more rigorous about fertilizer practice certification </w:t>
      </w:r>
      <w:r w:rsidR="00A73F80">
        <w:t xml:space="preserve">suggests that </w:t>
      </w:r>
      <w:r w:rsidR="0068742D">
        <w:t>the target numbers are more credible</w:t>
      </w:r>
      <w:r>
        <w:t>. The post-coaching roadmap identifies a substantial community extension structure, formal enrollment of cooperatives and enterprises, and a state-backed green-rice certification/export mechanism. Vietnam’s state capacity is also stronger than in many countries where CGIAR relies on an underfunded extension mandate. Nevertheless, the virtual session created unusual uncertainty. Language was a serious constraint, and it is difficult to know how much apparent disagreement reflected translation, different definitions, or a genuinely different administrative logic in which enrollment in a government program is treated as evidence that prescribed practices will occur.</w:t>
      </w:r>
      <w:r w:rsidR="003612C5">
        <w:t xml:space="preserve"> </w:t>
      </w:r>
      <w:r>
        <w:t xml:space="preserve"> Vietnam’s centralized one-party system may make administrative directives more consequential than </w:t>
      </w:r>
      <w:r>
        <w:lastRenderedPageBreak/>
        <w:t>in many comparator countries, but it cannot be assumed that formal enrollment eliminates variation in implementation, farmer behavior or provincial capacity. The right response is not to impose a strong negative judgment from a difficult virtual conversation. It is to verify the pathway in the field.</w:t>
      </w:r>
      <w:r w:rsidR="003612C5" w:rsidRPr="003612C5">
        <w:rPr>
          <w:rStyle w:val="FootnoteReference"/>
        </w:rPr>
        <w:t xml:space="preserve"> </w:t>
      </w:r>
      <w:r w:rsidR="003612C5">
        <w:rPr>
          <w:rStyle w:val="FootnoteReference"/>
        </w:rPr>
        <w:footnoteReference w:id="1"/>
      </w:r>
    </w:p>
    <w:p w14:paraId="255E5039" w14:textId="6068DA7F" w:rsidR="00DB3D6A" w:rsidRDefault="00000000" w:rsidP="000064CF">
      <w:r>
        <w:rPr>
          <w:b/>
        </w:rPr>
        <w:t xml:space="preserve">Funding recommendation. </w:t>
      </w:r>
      <w:r>
        <w:t>S4I should continue the track in 2027, but at a reduced and explicitly conditional level—approximately US$250</w:t>
      </w:r>
      <w:r w:rsidR="003612C5">
        <w:t>-300</w:t>
      </w:r>
      <w:r>
        <w:t xml:space="preserve">,000 rather than treating it as a full active-scaling flagship. There are three reasons to continue. First, the technical core is credible and the national platform is unusually large. Second, S4I and CGIAR need evidence and credible numbers from a politically important national scaling opportunity. Third, this track is already supported by the Sustainable Farming Science Program and by substantial bilateral and government-linked investments; project documents cite roughly US$3 million to US$7 million in aligned resources for 2026–2028. S4I therefore does not need to finance generic rollout. Its money should buy what the larger programs are least likely to buy: </w:t>
      </w:r>
      <w:r w:rsidRPr="00F70EE7">
        <w:rPr>
          <w:u w:val="single"/>
        </w:rPr>
        <w:t xml:space="preserve">independent field verification, simplification of the adoption unit, evidence on conversion and repeat use, </w:t>
      </w:r>
      <w:r w:rsidR="00F70EE7">
        <w:t xml:space="preserve">and </w:t>
      </w:r>
      <w:r w:rsidRPr="00F70EE7">
        <w:rPr>
          <w:u w:val="single"/>
        </w:rPr>
        <w:t>actor-specific business cases</w:t>
      </w:r>
      <w:r>
        <w:t>.</w:t>
      </w:r>
    </w:p>
    <w:p w14:paraId="2E38529B" w14:textId="58FE22E6" w:rsidR="00DB3D6A" w:rsidRDefault="00000000" w:rsidP="00083A95">
      <w:pPr>
        <w:pStyle w:val="Heading1"/>
      </w:pPr>
      <w:r>
        <w:t>What is actually being scaled</w:t>
      </w:r>
    </w:p>
    <w:p w14:paraId="41C5CB1E" w14:textId="77777777" w:rsidR="00DB3D6A" w:rsidRDefault="00000000" w:rsidP="000064CF">
      <w:r>
        <w:rPr>
          <w:b/>
        </w:rPr>
        <w:t xml:space="preserve">A mature technical core inside an overextended bundle. </w:t>
      </w:r>
      <w:r>
        <w:t>The Scaling Solution is formally called Precision Nutrient Management at Scale and is designed to support Vietnam’s One-Million-Hectare High-Quality and Low-Emission Rice Program, initially in the Mekong River Delta. Its strongest and most coherent technical element is RCM, a digital decision-support system derived from decades of IRRI work on site-specific nutrient management. RCM uses a limited set of field characteristics to generate recommendations on fertilizer formulation, amount and timing. During coaching, Dr. Hung explained that the original RCM questionnaire had roughly 30 questions and had been simplified to five core inputs—season, soil, crop-establishment method, variety and straw management—to reduce user burden. This is a useful example of adaptation for scale: the team has already recognized that scientific precision has little value if the interaction is too cumbersome for farmers or intermediaries to use.</w:t>
      </w:r>
    </w:p>
    <w:p w14:paraId="5C0E0A53" w14:textId="5E16C4B4" w:rsidR="00DB3D6A" w:rsidRDefault="00000000" w:rsidP="000064CF">
      <w:r>
        <w:t xml:space="preserve">The coaching therefore changed the most important strategic question from “how do we get this whole package to one million hectares?” to “what is the minimum PNM behavior that S4I is trying to cause?” The team’s answer during the latter part of the session moved in the right direction: focus on precision nutrient management recommendations, with RCM, simplified calendars and the national technical guideline as different ways of conveying the same core agronomic logic. For 2027, this should become an operational definition. A hectare should count as PNM adoption only when there is evidence that the farmer or cooperative changed fertilizer type, rate and/or timing in accordance with a locally appropriate PNM recommendation. Enrollment in the national program, attendance at training, </w:t>
      </w:r>
      <w:r w:rsidR="00083A95">
        <w:t xml:space="preserve">receiving commands or a circular from the Ministry, </w:t>
      </w:r>
      <w:r>
        <w:t xml:space="preserve">receipt of a calendar and </w:t>
      </w:r>
      <w:r>
        <w:lastRenderedPageBreak/>
        <w:t>website access should be reported separately as upstream steps in the pathway. mDSR, drones, straw management and certification should be separately reported modules.</w:t>
      </w:r>
    </w:p>
    <w:p w14:paraId="21AEF67C" w14:textId="6A49E234" w:rsidR="00DB3D6A" w:rsidRDefault="00000000" w:rsidP="00083A95">
      <w:pPr>
        <w:pStyle w:val="Heading1"/>
      </w:pPr>
      <w:r>
        <w:t>Implementation, evidence and value propositions</w:t>
      </w:r>
    </w:p>
    <w:p w14:paraId="5032AED7" w14:textId="017AC5BE" w:rsidR="00DB3D6A" w:rsidRDefault="00000000" w:rsidP="000064CF">
      <w:r>
        <w:rPr>
          <w:b/>
        </w:rPr>
        <w:t xml:space="preserve">Agronomic evidence is adequate; scaling evidence is not. </w:t>
      </w:r>
      <w:r>
        <w:t xml:space="preserve">The technical case for lower and more precise nutrient use is </w:t>
      </w:r>
      <w:r w:rsidR="003B29EA">
        <w:t>sound and does not</w:t>
      </w:r>
      <w:r>
        <w:t xml:space="preserve"> require additional research. The pre-coaching materials report reductions of roughly 30–60 percent in seed rates, 20–30 percent in nitrogen use and 10–30 percent in pesticide use in various pilots while maintaining or sometimes increasing yield. Reported profit gains vary widely, from approximately VND 1.5–5 million per hectare in some provincial pilots to VND 8–15 million in others. The post-coaching roadmap offers a more modest figure for PNM combined with mDSR in Can Tho: a surplus of VND 1.8 million per hectare, equivalent to about 6.1 percent of crop profit per season. The variation is more informative than a single flagship number. It suggests that the farmer value proposition is probably positive in appropriate settings but </w:t>
      </w:r>
      <w:r w:rsidR="00601829">
        <w:t xml:space="preserve">likely much more modest than in the pilots and </w:t>
      </w:r>
      <w:r>
        <w:t xml:space="preserve">is </w:t>
      </w:r>
      <w:r w:rsidR="00601829">
        <w:t xml:space="preserve">probably </w:t>
      </w:r>
      <w:r>
        <w:t>sensitive to baseline input use, season, technology configuration and implementation quality.</w:t>
      </w:r>
    </w:p>
    <w:p w14:paraId="436A45FF" w14:textId="77777777" w:rsidR="00DB3D6A" w:rsidRDefault="00000000" w:rsidP="000064CF">
      <w:r>
        <w:t xml:space="preserve">The current scale of direct implementation is much smaller than the national ambition. The earlier materials describe around 1,000 pilot hectares in 2024–2025, eight farm pilots of approximately 50 hectares, eleven cooperative models of roughly 50 hectares, four showcase sites, and a 300-hectare Go Gon cooperative example involving two mDSR machines. By June 2026 the post-coaching roadmap reports 25 training sessions and field demonstrations reaching 2,148 stakeholders, of whom 1,056 were reached through field demonstrations and 1,092 through PNM/component training. Online access to RCM and e-extension was about 7,500. </w:t>
      </w:r>
      <w:r w:rsidRPr="009E0446">
        <w:rPr>
          <w:u w:val="single"/>
        </w:rPr>
        <w:t>These are credible early project activities, but they do not remotely resemble direct project delivery to 100,000 or 200,000 hectares</w:t>
      </w:r>
      <w:r>
        <w:t>.</w:t>
      </w:r>
    </w:p>
    <w:p w14:paraId="5F0C23F2" w14:textId="3033ADF3" w:rsidR="00DB3D6A" w:rsidRDefault="00000000" w:rsidP="000064CF">
      <w:r>
        <w:rPr>
          <w:b/>
        </w:rPr>
        <w:t xml:space="preserve">The team’s response is that direct delivery is not the model. </w:t>
      </w:r>
      <w:r>
        <w:t xml:space="preserve">It reports 175,000 rice-producing households </w:t>
      </w:r>
      <w:r w:rsidRPr="009E0446">
        <w:rPr>
          <w:b/>
          <w:bCs/>
          <w:u w:val="single"/>
        </w:rPr>
        <w:t>enrolled</w:t>
      </w:r>
      <w:r>
        <w:t xml:space="preserve"> in the government program by June 2026, 1,013 community agricultural extension groups with 10,361 members, and 458 cooperatives/farmer organizations plus 50 enterprises registered in Can Tho alone. It also reports 75,000 hectares in Dong Thap implementing the One-Million-Hectare technical guideline “including PNM” and approximately 30,000 hectares associated with VIETRISA’s Green and Low-Emission Rice brand, producing a reported total of 106,000 hectares. </w:t>
      </w:r>
      <w:r w:rsidRPr="00DF10B9">
        <w:rPr>
          <w:u w:val="single"/>
        </w:rPr>
        <w:t>This is potentially important evidence of a government multiplier. It is also exactly where attribution becomes problematic.</w:t>
      </w:r>
      <w:r>
        <w:t xml:space="preserve"> A guideline that includes PNM </w:t>
      </w:r>
      <w:r w:rsidR="00DF10B9">
        <w:t xml:space="preserve">or the fact that a household is enrolled, whatever that means, </w:t>
      </w:r>
      <w:r>
        <w:t>is not evidence that a farmer followed an RCM-equivalent nutrient recommendation; green-rice certification may require multiple practices but does not prove that RCM caused them; and the documents do not establish whether the 75,000 and 30,000 hectare categories are mutually exclusive.</w:t>
      </w:r>
    </w:p>
    <w:p w14:paraId="6FCBF2B9" w14:textId="77777777" w:rsidR="00DB3D6A" w:rsidRDefault="00000000" w:rsidP="000064CF">
      <w:r>
        <w:rPr>
          <w:b/>
        </w:rPr>
        <w:t xml:space="preserve">The internal consistency of the current numbers needs attention. </w:t>
      </w:r>
      <w:r>
        <w:t xml:space="preserve">The roadmap separately reports only 10,000 people as “using PNM.” If 10,000 farmers were actually responsible for </w:t>
      </w:r>
      <w:r>
        <w:lastRenderedPageBreak/>
        <w:t xml:space="preserve">106,000 PNM hectares, the implied average would exceed ten hectares per farmer, while another project survey reports an average Mekong Delta farm size of about 1.3 hectares. There may be a perfectly reasonable explanation—different dates, partial reporting, cooperative-level counts, different definitions, or the 106,000 hectares representing the wider guideline rather than verified PNM use—but that is precisely the point. </w:t>
      </w:r>
      <w:r w:rsidRPr="00D744E2">
        <w:rPr>
          <w:u w:val="single"/>
        </w:rPr>
        <w:t>The numbers currently cannot be used as a clean adoption funnel</w:t>
      </w:r>
      <w:r>
        <w:t>.</w:t>
      </w:r>
    </w:p>
    <w:p w14:paraId="7E2B8E0D" w14:textId="4A83A0D8" w:rsidR="00DB3D6A" w:rsidRDefault="00000000" w:rsidP="000064CF">
      <w:r>
        <w:rPr>
          <w:b/>
        </w:rPr>
        <w:t xml:space="preserve">Farmer value proposition. </w:t>
      </w:r>
      <w:r>
        <w:t xml:space="preserve">The most defensible farmer proposition is not “low-emission rice” in the abstract. It is spending less on unnecessary fertilizer and seed, sometimes saving labor, while maintaining yield and reducing production risk where operations are better timed. </w:t>
      </w:r>
      <w:r w:rsidRPr="00D744E2">
        <w:rPr>
          <w:u w:val="single"/>
        </w:rPr>
        <w:t>A 5–6 percent improvement in profit can matter, but it is not so large that adoption can be assumed</w:t>
      </w:r>
      <w:r>
        <w:t xml:space="preserve">. Farmers who have learned to use extra fertilizer as insurance against poor yields may view a lower recommendation as riskier. The IPSR workshop itself recorded concerns about yield, profitability and high input costs, including the possibility that more sophisticated fertilizers cost enough that lower application rates do not reduce total expenditure. </w:t>
      </w:r>
      <w:r w:rsidRPr="009F4F76">
        <w:rPr>
          <w:u w:val="single"/>
        </w:rPr>
        <w:t>The virtual session never established how current farmer application distributions compare with RCM recommendations</w:t>
      </w:r>
      <w:r>
        <w:t xml:space="preserve">. The team’s response focused mainly on fertilizer companies optimizing formulations and reducing quantity per hectare; it did not produce field evidence showing what share of farmers currently overapply, apply near the recommendation, or underapply. That question should be directly observed during </w:t>
      </w:r>
      <w:r w:rsidR="009F4F76">
        <w:t>a future</w:t>
      </w:r>
      <w:r>
        <w:t xml:space="preserve"> field visit because the value proposition changes across those segments.</w:t>
      </w:r>
    </w:p>
    <w:p w14:paraId="67F589D2" w14:textId="77777777" w:rsidR="00DB3D6A" w:rsidRDefault="00000000" w:rsidP="000064CF">
      <w:r>
        <w:rPr>
          <w:b/>
        </w:rPr>
        <w:t xml:space="preserve">Cooperative value proposition. </w:t>
      </w:r>
      <w:r>
        <w:t xml:space="preserve">Cooperatives are probably the most important operational intermediary in the current pathway because the One-Million-Hectare program enrolls them and because synchronized water, field calendars, mechanization, contracting and certification are easier to coordinate at block level than farm by farm. Their value proposition can include lower transaction costs, easier access to services, market contracts and possibly public support. </w:t>
      </w:r>
      <w:r w:rsidRPr="007E477C">
        <w:rPr>
          <w:u w:val="single"/>
        </w:rPr>
        <w:t>But the project needs to distinguish what it means for a cooperative to “adopt.”</w:t>
      </w:r>
      <w:r>
        <w:t xml:space="preserve"> Is the cooperative board trained? Does it formally agree to the technical guideline? Does a demonstration occur on a common field? Do some members trial PNM? Do all participating members change their fertilizer practice? The current reporting blurs those states. Cooperative enrollment is a potentially powerful institutional step; it should not be promoted to farmer adoption without evidence.</w:t>
      </w:r>
    </w:p>
    <w:p w14:paraId="51B53C4B" w14:textId="474439F6" w:rsidR="00DB3D6A" w:rsidRDefault="00000000" w:rsidP="000064CF">
      <w:r>
        <w:rPr>
          <w:b/>
        </w:rPr>
        <w:t xml:space="preserve">Fertilizer-company value proposition. </w:t>
      </w:r>
      <w:r w:rsidRPr="007E477C">
        <w:rPr>
          <w:u w:val="single"/>
        </w:rPr>
        <w:t>This is the least convincing of the core private-sector propositions and deserves priority attention</w:t>
      </w:r>
      <w:r>
        <w:t xml:space="preserve">. The project’s written response says five companies and a 50-person dealer network have been trained, and MTK has trained four retailers and reached 600 farmers, with an intended 2026 expansion to 25 retailers, 5,000 farmers and 4,875 hectares. The theory is that companies can sell lower quantities per hectare but retain customers, differentiate products, gain market share and sell more advanced or slow-release formulations. That can work if the contribution margin per hectare rises, the company wins enough customers from competitors, or PNM strengthens dealer loyalty. But none of those mechanisms </w:t>
      </w:r>
      <w:r w:rsidR="007E477C">
        <w:t>were</w:t>
      </w:r>
      <w:r>
        <w:t xml:space="preserve"> quantified. The coaching session could not establish whether dealers will invest in demonstrations, advisory support or farmer </w:t>
      </w:r>
      <w:r>
        <w:lastRenderedPageBreak/>
        <w:t xml:space="preserve">acquisition, or simply display crop calendars. </w:t>
      </w:r>
      <w:r w:rsidRPr="00405655">
        <w:rPr>
          <w:u w:val="single"/>
        </w:rPr>
        <w:t>A calendar at the point of sale is a communications product, not a business model</w:t>
      </w:r>
      <w:r>
        <w:t xml:space="preserve">. S4I should require </w:t>
      </w:r>
      <w:r w:rsidR="00405655">
        <w:t>2-3</w:t>
      </w:r>
      <w:r>
        <w:t xml:space="preserve"> named fertilizer compan</w:t>
      </w:r>
      <w:r w:rsidR="00405655">
        <w:t>ies</w:t>
      </w:r>
      <w:r>
        <w:t xml:space="preserve"> to show what </w:t>
      </w:r>
      <w:r w:rsidR="00405655">
        <w:t>they</w:t>
      </w:r>
      <w:r>
        <w:t xml:space="preserve"> contribute, what dealers do, what the compan</w:t>
      </w:r>
      <w:r w:rsidR="00405655">
        <w:t xml:space="preserve">ies </w:t>
      </w:r>
      <w:r>
        <w:t xml:space="preserve">earn or expect to earn, and whether </w:t>
      </w:r>
      <w:r w:rsidR="00405655">
        <w:t>they</w:t>
      </w:r>
      <w:r>
        <w:t xml:space="preserve"> would continue without project subsidy.</w:t>
      </w:r>
    </w:p>
    <w:p w14:paraId="30D6DE84" w14:textId="78FD6122" w:rsidR="00DB3D6A" w:rsidRDefault="00000000" w:rsidP="000064CF">
      <w:r>
        <w:rPr>
          <w:b/>
        </w:rPr>
        <w:t xml:space="preserve">Market and exporter value proposition. </w:t>
      </w:r>
      <w:r w:rsidRPr="00FC5FFC">
        <w:rPr>
          <w:u w:val="single"/>
        </w:rPr>
        <w:t>VIETRISA and its member traders provide a more plausible downstream pull mechanism.</w:t>
      </w:r>
      <w:r>
        <w:t xml:space="preserve"> The post-coaching materials report roughly 70,000 tons of Green and Low-Emission Rice exported to Japan, Europe and Oceania, corresponding to about 30,000 hectares, and seven member traders with cooperative contracts. If verified low-emission production increases market access, supply reliability, brand value or prices, that can create incentives stronger than training alone. </w:t>
      </w:r>
      <w:r w:rsidRPr="00FC5FFC">
        <w:rPr>
          <w:u w:val="single"/>
        </w:rPr>
        <w:t>Yet the workshop also reported that farmers often do not see a price difference between conventional and low-emission rice</w:t>
      </w:r>
      <w:r>
        <w:t xml:space="preserve">. </w:t>
      </w:r>
      <w:r w:rsidR="00FC5FFC">
        <w:t xml:space="preserve"> </w:t>
      </w:r>
      <w:r w:rsidR="00FC5FFC" w:rsidRPr="00FC5FFC">
        <w:rPr>
          <w:b/>
          <w:bCs/>
          <w:u w:val="single"/>
        </w:rPr>
        <w:t>This is critical and puzzling</w:t>
      </w:r>
      <w:r w:rsidR="00FC5FFC">
        <w:t xml:space="preserve">. </w:t>
      </w:r>
      <w:r>
        <w:t>The existence of branded exports therefore demonstrates a market channel, not necessarily a farmer premium sufficient to finance compliance. The project should separate the value captured by exporters and the national brand from the value reaching cooperatives and farmers.</w:t>
      </w:r>
    </w:p>
    <w:p w14:paraId="3E233C8E" w14:textId="36952954" w:rsidR="00DB3D6A" w:rsidRDefault="00000000" w:rsidP="00FC5FFC">
      <w:pPr>
        <w:pStyle w:val="Heading1"/>
      </w:pPr>
      <w:r>
        <w:t>Scaling ambition: a national target is not a project pathway</w:t>
      </w:r>
    </w:p>
    <w:p w14:paraId="68D6DBD1" w14:textId="529D066E" w:rsidR="00DB3D6A" w:rsidRDefault="00000000" w:rsidP="000064CF">
      <w:r>
        <w:t xml:space="preserve">The headline ambition derives from the Government of Vietnam, not from a bottom-up calculation of the project’s delivery capacity. That is both the project’s greatest opportunity and its largest analytical trap. Earlier documents used 100,000 hectares in 2026, 200,000 in 2027, 600,000 in 2028 and one million hectares or farmers by 2030. The post-coaching roadmap now frames Phase 1 as 200,000 hectares and 100,000 farmers in 2026–2027, Phase 2 as 600,000 hectares and 300,000 farmers in 2027–2028, and Phase 3 as one million hectares and 500,000 farmers by 2030. </w:t>
      </w:r>
      <w:r w:rsidRPr="007D0F60">
        <w:rPr>
          <w:u w:val="single"/>
        </w:rPr>
        <w:t>The changes may be reasonable</w:t>
      </w:r>
      <w:r w:rsidR="007D0F60">
        <w:rPr>
          <w:u w:val="single"/>
        </w:rPr>
        <w:t xml:space="preserve"> and no doubt reflect government targets</w:t>
      </w:r>
      <w:r w:rsidRPr="007D0F60">
        <w:rPr>
          <w:u w:val="single"/>
        </w:rPr>
        <w:t>, but the underlying acceleration is still not derived from conversion rates, number of active cooperatives, hectares per extension group, dealer productivity, or repeat adoption</w:t>
      </w:r>
      <w:r>
        <w:t>.</w:t>
      </w:r>
    </w:p>
    <w:p w14:paraId="5E8E3C26" w14:textId="77777777" w:rsidR="00DB3D6A" w:rsidRDefault="00000000" w:rsidP="000064CF">
      <w:r>
        <w:rPr>
          <w:b/>
        </w:rPr>
        <w:t xml:space="preserve">A credible 2027 ambition should therefore have two layers. </w:t>
      </w:r>
      <w:r>
        <w:t>The first is the government program denominator: communes, cooperatives, households and hectares enrolled under the national program. The second is the PNM conversion funnel within that denominator: farmers receiving a usable recommendation; farmers trying it on a known area; farmers changing the relevant fertilizer practice; repeat use in the next season; and, where relevant, compliance with a broader low-emission standard. S4I should judge the Scaling Solution on the second layer and on whether it improves the conversion of the first layer into real behavior. The national one-million-hectare target can remain the strategic ceiling, but it should not be reported as though it were the expected direct result of S4I.</w:t>
      </w:r>
    </w:p>
    <w:p w14:paraId="11A66715" w14:textId="6F8AED1B" w:rsidR="00DB3D6A" w:rsidRDefault="00000000" w:rsidP="00796FB5">
      <w:pPr>
        <w:pStyle w:val="Heading1"/>
      </w:pPr>
      <w:r>
        <w:t>Actors, roles and the missing accountability link</w:t>
      </w:r>
    </w:p>
    <w:p w14:paraId="37CD4BF9" w14:textId="77777777" w:rsidR="00DB3D6A" w:rsidRDefault="00000000" w:rsidP="000064CF">
      <w:r>
        <w:rPr>
          <w:b/>
        </w:rPr>
        <w:t xml:space="preserve">An unusually strong architecture on paper. </w:t>
      </w:r>
      <w:r>
        <w:t xml:space="preserve">Vietnam has more credible public-sector infrastructure than many comparable CGIAR cases. MAE provides policy authority; the national extension system and provincial Departments of Agriculture and Environment can </w:t>
      </w:r>
      <w:r>
        <w:lastRenderedPageBreak/>
        <w:t>embed PNM in seasonal programs; community extension groups provide a potentially large local network; VIETRISA links certification and market actors; cooperatives aggregate farmers; fertilizer and machinery companies provide commercial channels; and IRRI supplies agronomic logic, calibration, evidence and technical support. The government’s export and emissions objectives create genuine political incentives, and provincial authorities have reasons to demonstrate implementation. This is not a collection of actors invented by a donor workshop. Many already have formal roles in the national rice program.</w:t>
      </w:r>
    </w:p>
    <w:p w14:paraId="59E863E6" w14:textId="6F7C0E22" w:rsidR="00DB3D6A" w:rsidRDefault="00000000" w:rsidP="000064CF">
      <w:r>
        <w:rPr>
          <w:b/>
        </w:rPr>
        <w:t xml:space="preserve">The unresolved question is accountability for the specific PNM pathway. </w:t>
      </w:r>
      <w:r>
        <w:t xml:space="preserve">The team’s post-coaching response calls the government program the “primary driver of adoption.” That is more concrete than saying there is a PPP, but “government” is still too broad to be an accountable scaling actor. MAE can set rules; NAEC can train; provincial DAEs can enroll cooperatives and supervise extension; VIETRISA can certify and organize buyers. If the number of farmers actually changing fertilizer practice is far below the area reported under the national guideline, which institution is responsible for noticing and fixing that problem? Who owns the RCM recommendation logic and updates it? </w:t>
      </w:r>
      <w:r w:rsidRPr="009C44FC">
        <w:rPr>
          <w:u w:val="single"/>
        </w:rPr>
        <w:t xml:space="preserve">Who verifies </w:t>
      </w:r>
      <w:r w:rsidR="009C44FC" w:rsidRPr="009C44FC">
        <w:rPr>
          <w:u w:val="single"/>
        </w:rPr>
        <w:t xml:space="preserve">adoption and </w:t>
      </w:r>
      <w:r w:rsidRPr="009C44FC">
        <w:rPr>
          <w:u w:val="single"/>
        </w:rPr>
        <w:t>implementation?</w:t>
      </w:r>
      <w:r>
        <w:t xml:space="preserve"> </w:t>
      </w:r>
      <w:r w:rsidRPr="009C44FC">
        <w:rPr>
          <w:u w:val="single"/>
        </w:rPr>
        <w:t>Who has a budget and performance obligation to follow up with cooperatives?</w:t>
      </w:r>
    </w:p>
    <w:p w14:paraId="434D6398" w14:textId="17A4E3F8" w:rsidR="00DB3D6A" w:rsidRDefault="00000000" w:rsidP="009C44FC">
      <w:pPr>
        <w:pStyle w:val="Heading1"/>
      </w:pPr>
      <w:r>
        <w:t>The weakest links in the scaling pathway</w:t>
      </w:r>
    </w:p>
    <w:p w14:paraId="0AF28D6C" w14:textId="6489FC8C" w:rsidR="00DB3D6A" w:rsidRDefault="00000000" w:rsidP="000064CF">
      <w:r>
        <w:rPr>
          <w:b/>
        </w:rPr>
        <w:t xml:space="preserve">First weakest link: adoption is inferred from institutional compliance. </w:t>
      </w:r>
      <w:r>
        <w:t xml:space="preserve">The project’s theory is that provincial authorities enroll cooperatives into the One-Million-Hectare program, cooperatives are required to follow technical guidelines, and therefore reported hectares can be treated as implementing PNM. In a relatively capable state </w:t>
      </w:r>
      <w:r w:rsidR="009C44FC">
        <w:t xml:space="preserve">like Vietnam </w:t>
      </w:r>
      <w:r>
        <w:t xml:space="preserve">this may be a better proxy than it would be elsewhere, but it remains a proxy. The coaching discussion made clear that the team often relies on cooperative registration, provincial reports and fertilizer sales rather than farmer-level evidence of nutrient practice. </w:t>
      </w:r>
      <w:r w:rsidRPr="004F53BC">
        <w:rPr>
          <w:b/>
          <w:bCs/>
          <w:u w:val="single"/>
        </w:rPr>
        <w:t>The risk is not fraudulent reporting; it is category error.</w:t>
      </w:r>
      <w:r w:rsidRPr="004F53BC">
        <w:rPr>
          <w:u w:val="single"/>
        </w:rPr>
        <w:t xml:space="preserve"> Administrative compliance can be high while practice fidelity varies within and between cooperatives. A modest verification sample would resolve more uncertainty than another large awareness event</w:t>
      </w:r>
      <w:r>
        <w:t>.</w:t>
      </w:r>
    </w:p>
    <w:p w14:paraId="16281B7D" w14:textId="77777777" w:rsidR="00DB3D6A" w:rsidRDefault="00000000" w:rsidP="000064CF">
      <w:r>
        <w:rPr>
          <w:b/>
        </w:rPr>
        <w:t xml:space="preserve">Second weakest link: delivery channels are treated as additive rather than comparative. </w:t>
      </w:r>
      <w:r>
        <w:t xml:space="preserve">Extension, cooperatives, fertilizer dealers, demonstrations, crop calendars, RCM, e-extension, media and exporters are all listed as channels. The key management question is which actually converts behavior at an acceptable cost. The 7,500 digital accesses are too small to justify treating the app as the current mass channel. Printed calendars may be useful job aids for extension agents or farmers who have already decided to change, but simply distributing them at dealers is unlikely to overcome mistrust, risk perceptions or uncertainty about field conditions. Demonstrations probably have more persuasive power but are expensive. Cooperatives may offer better conversion because they aggregate trusted relationships and can coordinate operations. </w:t>
      </w:r>
      <w:r w:rsidRPr="002A287C">
        <w:rPr>
          <w:u w:val="single"/>
        </w:rPr>
        <w:t>The project should test these alternatives rather than calling all of them “scaling.”</w:t>
      </w:r>
    </w:p>
    <w:p w14:paraId="1BB3472E" w14:textId="2BBE7F21" w:rsidR="00DB3D6A" w:rsidRDefault="00000000" w:rsidP="000064CF">
      <w:r>
        <w:rPr>
          <w:b/>
        </w:rPr>
        <w:lastRenderedPageBreak/>
        <w:t xml:space="preserve">Third weakest link: cooperative capacity is both central and insufficiently segmented. </w:t>
      </w:r>
      <w:r>
        <w:t xml:space="preserve">The full low-emission package requires synchronized water management, timing, machinery scheduling, input use and possibly certification. The </w:t>
      </w:r>
      <w:r w:rsidRPr="002A287C">
        <w:rPr>
          <w:u w:val="single"/>
        </w:rPr>
        <w:t>team’s follow-up correctly acknowledges that not every cooperative can execute the full package and that some should begin with SSNM/RCM and seed quality before adding timing-sensitive elements</w:t>
      </w:r>
      <w:r>
        <w:t xml:space="preserve">. That is an important </w:t>
      </w:r>
      <w:r w:rsidR="002A287C">
        <w:t>qualification</w:t>
      </w:r>
      <w:r>
        <w:t>. It should become a formal segmentation model: strong cooperatives capable of integrated production and market contracts; middle-tier cooperatives capable of PNM but not complex service coordination; and weaker groups for which a simple farmer-level recommendation is more realistic. A national average “cooperative adoption” number obscures these differences.</w:t>
      </w:r>
    </w:p>
    <w:p w14:paraId="47BE6F1A" w14:textId="7F8A737E" w:rsidR="00DB3D6A" w:rsidRDefault="00000000" w:rsidP="009905ED">
      <w:pPr>
        <w:pStyle w:val="Heading1"/>
      </w:pPr>
      <w:r>
        <w:t>Mechanized direct seeding: promising module, not the 2027 scaling core</w:t>
      </w:r>
    </w:p>
    <w:p w14:paraId="6FB9058B" w14:textId="77777777" w:rsidR="00DB3D6A" w:rsidRDefault="00000000" w:rsidP="000064CF">
      <w:r>
        <w:t xml:space="preserve">The Can Tho evidence improves the case for mDSR but does not make it the route to one million hectares. A separate assessment of the Can Tho results concludes that nearly 20 percent adoption </w:t>
      </w:r>
      <w:r w:rsidRPr="009905ED">
        <w:rPr>
          <w:u w:val="single"/>
        </w:rPr>
        <w:t>occurred in four intensively supported treatment communes, not across Can Tho as a whole. Those communes benefit from an unusually dense combination of IRRI and national research presence, demonstrations, extension, cooperative organization, machinery companies, relatively level irrigated land and familiarity with mechanized services. The result therefore validates the technology and an intensive local delivery package more clearly than it validates national replication</w:t>
      </w:r>
      <w:r>
        <w:t>.</w:t>
      </w:r>
    </w:p>
    <w:p w14:paraId="2816A22E" w14:textId="515BE8D3" w:rsidR="00DB3D6A" w:rsidRDefault="00000000" w:rsidP="009905ED">
      <w:pPr>
        <w:pStyle w:val="Heading1"/>
      </w:pPr>
      <w:r>
        <w:t>IPSR: useful diagnosis, insufficient scaling logic</w:t>
      </w:r>
    </w:p>
    <w:p w14:paraId="10E2FF0B" w14:textId="77777777" w:rsidR="00D35580" w:rsidRDefault="00000000" w:rsidP="000064CF">
      <w:r>
        <w:t xml:space="preserve">The IPSR workshop was more useful than the project’s subsequent language sometimes suggests. Sixty-five stakeholders identified several of the same problems that surfaced in coaching: </w:t>
      </w:r>
    </w:p>
    <w:p w14:paraId="35A2699A" w14:textId="77777777" w:rsidR="00D35580" w:rsidRPr="00D35580" w:rsidRDefault="00000000" w:rsidP="00D35580">
      <w:pPr>
        <w:pStyle w:val="ListParagraph"/>
        <w:numPr>
          <w:ilvl w:val="0"/>
          <w:numId w:val="11"/>
        </w:numPr>
        <w:spacing w:line="240" w:lineRule="auto"/>
        <w:rPr>
          <w:sz w:val="22"/>
          <w:szCs w:val="20"/>
        </w:rPr>
      </w:pPr>
      <w:r w:rsidRPr="00D35580">
        <w:rPr>
          <w:sz w:val="22"/>
          <w:szCs w:val="20"/>
        </w:rPr>
        <w:t xml:space="preserve">farmers’ concern about yield and profitability; </w:t>
      </w:r>
    </w:p>
    <w:p w14:paraId="25925029" w14:textId="77777777" w:rsidR="00D35580" w:rsidRPr="00D35580" w:rsidRDefault="00000000" w:rsidP="00D35580">
      <w:pPr>
        <w:pStyle w:val="ListParagraph"/>
        <w:numPr>
          <w:ilvl w:val="0"/>
          <w:numId w:val="11"/>
        </w:numPr>
        <w:spacing w:line="240" w:lineRule="auto"/>
        <w:rPr>
          <w:sz w:val="22"/>
          <w:szCs w:val="20"/>
        </w:rPr>
      </w:pPr>
      <w:r w:rsidRPr="00D35580">
        <w:rPr>
          <w:sz w:val="22"/>
          <w:szCs w:val="20"/>
        </w:rPr>
        <w:t xml:space="preserve">high prices of innovative fertilizers; </w:t>
      </w:r>
    </w:p>
    <w:p w14:paraId="76AB9FDD" w14:textId="77777777" w:rsidR="00D35580" w:rsidRPr="00D35580" w:rsidRDefault="00000000" w:rsidP="00D35580">
      <w:pPr>
        <w:pStyle w:val="ListParagraph"/>
        <w:numPr>
          <w:ilvl w:val="0"/>
          <w:numId w:val="11"/>
        </w:numPr>
        <w:spacing w:line="240" w:lineRule="auto"/>
        <w:rPr>
          <w:sz w:val="22"/>
          <w:szCs w:val="20"/>
        </w:rPr>
      </w:pPr>
      <w:r w:rsidRPr="00D35580">
        <w:rPr>
          <w:sz w:val="22"/>
          <w:szCs w:val="20"/>
        </w:rPr>
        <w:t xml:space="preserve">limited machinery availability; </w:t>
      </w:r>
    </w:p>
    <w:p w14:paraId="54BF526F" w14:textId="77777777" w:rsidR="00D35580" w:rsidRPr="00D35580" w:rsidRDefault="00000000" w:rsidP="00D35580">
      <w:pPr>
        <w:pStyle w:val="ListParagraph"/>
        <w:numPr>
          <w:ilvl w:val="0"/>
          <w:numId w:val="11"/>
        </w:numPr>
        <w:spacing w:line="240" w:lineRule="auto"/>
        <w:rPr>
          <w:sz w:val="22"/>
          <w:szCs w:val="20"/>
        </w:rPr>
      </w:pPr>
      <w:r w:rsidRPr="00D35580">
        <w:rPr>
          <w:sz w:val="22"/>
          <w:szCs w:val="20"/>
        </w:rPr>
        <w:t xml:space="preserve">weak digital skills; </w:t>
      </w:r>
    </w:p>
    <w:p w14:paraId="4D34A7F4" w14:textId="77777777" w:rsidR="00D35580" w:rsidRPr="00D35580" w:rsidRDefault="00000000" w:rsidP="00D35580">
      <w:pPr>
        <w:pStyle w:val="ListParagraph"/>
        <w:numPr>
          <w:ilvl w:val="0"/>
          <w:numId w:val="11"/>
        </w:numPr>
        <w:spacing w:line="240" w:lineRule="auto"/>
        <w:rPr>
          <w:sz w:val="22"/>
          <w:szCs w:val="20"/>
        </w:rPr>
      </w:pPr>
      <w:r w:rsidRPr="00D35580">
        <w:rPr>
          <w:sz w:val="22"/>
          <w:szCs w:val="20"/>
        </w:rPr>
        <w:t xml:space="preserve">fragmented fields and irrigation constraints; </w:t>
      </w:r>
    </w:p>
    <w:p w14:paraId="6B6A9F15" w14:textId="77777777" w:rsidR="00D35580" w:rsidRPr="00D35580" w:rsidRDefault="00000000" w:rsidP="00D35580">
      <w:pPr>
        <w:pStyle w:val="ListParagraph"/>
        <w:numPr>
          <w:ilvl w:val="0"/>
          <w:numId w:val="11"/>
        </w:numPr>
        <w:spacing w:line="240" w:lineRule="auto"/>
        <w:rPr>
          <w:sz w:val="22"/>
          <w:szCs w:val="20"/>
        </w:rPr>
      </w:pPr>
      <w:r w:rsidRPr="00D35580">
        <w:rPr>
          <w:sz w:val="22"/>
          <w:szCs w:val="20"/>
        </w:rPr>
        <w:t xml:space="preserve">weak cooperative capacity; </w:t>
      </w:r>
    </w:p>
    <w:p w14:paraId="01E4A4AF" w14:textId="77777777" w:rsidR="00D35580" w:rsidRPr="00D35580" w:rsidRDefault="00000000" w:rsidP="00D35580">
      <w:pPr>
        <w:pStyle w:val="ListParagraph"/>
        <w:numPr>
          <w:ilvl w:val="0"/>
          <w:numId w:val="11"/>
        </w:numPr>
        <w:spacing w:line="240" w:lineRule="auto"/>
        <w:rPr>
          <w:sz w:val="22"/>
          <w:szCs w:val="20"/>
        </w:rPr>
      </w:pPr>
      <w:r w:rsidRPr="00D35580">
        <w:rPr>
          <w:sz w:val="22"/>
          <w:szCs w:val="20"/>
        </w:rPr>
        <w:t xml:space="preserve">inadequate market linkages; </w:t>
      </w:r>
    </w:p>
    <w:p w14:paraId="672D080C" w14:textId="77777777" w:rsidR="00D35580" w:rsidRPr="00D35580" w:rsidRDefault="00000000" w:rsidP="00D35580">
      <w:pPr>
        <w:pStyle w:val="ListParagraph"/>
        <w:numPr>
          <w:ilvl w:val="0"/>
          <w:numId w:val="11"/>
        </w:numPr>
        <w:spacing w:line="240" w:lineRule="auto"/>
        <w:rPr>
          <w:sz w:val="22"/>
          <w:szCs w:val="20"/>
        </w:rPr>
      </w:pPr>
      <w:r w:rsidRPr="00D35580">
        <w:rPr>
          <w:sz w:val="22"/>
          <w:szCs w:val="20"/>
        </w:rPr>
        <w:t xml:space="preserve">lack of clear price incentives for low-emission rice; and </w:t>
      </w:r>
    </w:p>
    <w:p w14:paraId="585EC8E4" w14:textId="77777777" w:rsidR="00D35580" w:rsidRPr="00D35580" w:rsidRDefault="00000000" w:rsidP="00D35580">
      <w:pPr>
        <w:pStyle w:val="ListParagraph"/>
        <w:numPr>
          <w:ilvl w:val="0"/>
          <w:numId w:val="11"/>
        </w:numPr>
        <w:spacing w:line="240" w:lineRule="auto"/>
        <w:rPr>
          <w:sz w:val="22"/>
          <w:szCs w:val="20"/>
        </w:rPr>
      </w:pPr>
      <w:r w:rsidRPr="00D35580">
        <w:rPr>
          <w:sz w:val="22"/>
          <w:szCs w:val="20"/>
        </w:rPr>
        <w:t xml:space="preserve">weak coordination across the value chain. </w:t>
      </w:r>
    </w:p>
    <w:p w14:paraId="07587BC8" w14:textId="459AA2A7" w:rsidR="00DB3D6A" w:rsidRPr="009E1F60" w:rsidRDefault="00000000" w:rsidP="00D35580">
      <w:pPr>
        <w:rPr>
          <w:u w:val="single"/>
        </w:rPr>
      </w:pPr>
      <w:r>
        <w:t xml:space="preserve">These are not trivial findings. </w:t>
      </w:r>
      <w:r w:rsidRPr="009E1F60">
        <w:rPr>
          <w:u w:val="single"/>
        </w:rPr>
        <w:t>The workshop also correctly judged PNM technically mature but not widely used, and it recognized that market and governance problems cannot be solved by technology alone.</w:t>
      </w:r>
    </w:p>
    <w:p w14:paraId="68915C8E" w14:textId="77777777" w:rsidR="00DB3D6A" w:rsidRDefault="00000000" w:rsidP="000064CF">
      <w:r>
        <w:rPr>
          <w:b/>
        </w:rPr>
        <w:t xml:space="preserve">The limitation is what the IPSR process does with those findings. </w:t>
      </w:r>
      <w:r>
        <w:t xml:space="preserve">The proposed responses frequently revert to more awareness, training, demonstrations, coordination, task forces and policy support. </w:t>
      </w:r>
      <w:r w:rsidRPr="009E1F60">
        <w:rPr>
          <w:u w:val="single"/>
        </w:rPr>
        <w:t>Those may address knowledge gaps, but they do not test whether the underlying business proposition is strong enough</w:t>
      </w:r>
      <w:r>
        <w:t xml:space="preserve">. If farmers are worried that costs are high </w:t>
      </w:r>
      <w:r>
        <w:lastRenderedPageBreak/>
        <w:t>and yields may fall, “more awareness” is only the right answer if the concern is based on misinformation. If their net economics are weak, the solution is different. If fertilizer companies lose margin when farmers apply less product, training dealers is not a scaling model. If cooperatives are nominally enrolled but cannot enforce or verify member practices, another coordination workshop does not solve the problem.</w:t>
      </w:r>
    </w:p>
    <w:p w14:paraId="2B989691" w14:textId="29BFB25E" w:rsidR="00DB3D6A" w:rsidRDefault="00000000" w:rsidP="009E1F60">
      <w:pPr>
        <w:pStyle w:val="Heading1"/>
      </w:pPr>
      <w:r>
        <w:t>Coaching recommendations for the project team</w:t>
      </w:r>
    </w:p>
    <w:p w14:paraId="17D5107F" w14:textId="77777777" w:rsidR="00DB3D6A" w:rsidRDefault="00000000" w:rsidP="000064CF">
      <w:r>
        <w:rPr>
          <w:b/>
        </w:rPr>
        <w:t xml:space="preserve">Make PNM the minimum viable innovation. </w:t>
      </w:r>
      <w:r>
        <w:t>IRRI and the government partners should formally define the 2027 core as field-specific nutrient management—fertilizer product/formulation, rate and timing derived from RCM/SSNM logic—and report it separately from mDSR, drones, straw, certification and other modules. The bottleneck this addresses is bundle ambiguity and attribution. The incentive is managerial: a simpler product is easier for extension, cooperatives, farmers and S4I to understand and measure. SFP and bilateral programs can continue financing broader technical modules. The stage gate should be a one-page adoption definition and reporting protocol accepted by S4I and the relevant government owner before 2027 scaling claims are counted. S4I should not finance expansion of optional modules merely to increase the apparent reach of the bundle.</w:t>
      </w:r>
    </w:p>
    <w:p w14:paraId="63E6871D" w14:textId="77777777" w:rsidR="00DB3D6A" w:rsidRDefault="00000000" w:rsidP="000064CF">
      <w:r>
        <w:rPr>
          <w:b/>
        </w:rPr>
        <w:t xml:space="preserve">Verify the pathway in the field before making stronger claims. </w:t>
      </w:r>
      <w:r>
        <w:t>S4I, IRRI and the relevant Vietnamese partners should conduct a focused field review in the first half of 2027. It should include at least one intensively supported Can Tho cooperative, ordinary enrolled cooperatives outside the strongest demonstration environment, provincial extension staff, adopters and non-adopters, fertilizer dealers, MTK or another company, and a VIETRISA-linked buyer. The review should observe actual fertilizer practice, compare RCM recommendations with farmer baseline use, and trace how a calendar, extension visit or cooperative instruction becomes a field decision. S4I should finance the diagnostic because independent scaling verification is the public-good gap in the larger program. The stage gate is a short field memo that either validates the public/cooperative pathway or identifies the changes needed. Until then, S4I should not present reported national-program hectares as verified RCM/PNM adoption.</w:t>
      </w:r>
    </w:p>
    <w:p w14:paraId="1DDA5F78" w14:textId="77777777" w:rsidR="00DB3D6A" w:rsidRDefault="00000000" w:rsidP="000064CF">
      <w:r>
        <w:rPr>
          <w:b/>
        </w:rPr>
        <w:t xml:space="preserve">Build an auditable adoption funnel. </w:t>
      </w:r>
      <w:r>
        <w:t>The responsible government implementation unit, with IRRI technical support, should report separate seasonal numbers for program enrollment, PNM exposure, receipt of a usable recommendation, trial, verified change in fertilizer practice, repeat adoption and hectares. A small stratified verification sample is sufficient; a large impact evaluation is not required. This addresses the current contradiction between 106,000 reported hectares, 10,000 reported PNM users, 175,000 enrolled households and 7,500 digital accesses. The expected result is a conversion rate that can actually support 2028 planning. The stage gate is one complete season in which reported PNM hectares can be reconciled to farmer/cooperative records within an agreed tolerance. S4I should not fund a large RCT or generic MEL system disconnected from management decisions.</w:t>
      </w:r>
    </w:p>
    <w:p w14:paraId="5D8D42B4" w14:textId="77777777" w:rsidR="00DB3D6A" w:rsidRDefault="00000000" w:rsidP="000064CF">
      <w:r>
        <w:rPr>
          <w:b/>
        </w:rPr>
        <w:lastRenderedPageBreak/>
        <w:t xml:space="preserve">Test two delivery channels rather than list seven. </w:t>
      </w:r>
      <w:r>
        <w:t xml:space="preserve">The team should choose, at minimum, one public/cooperative channel and one private fertilizer-dealer channel and measure their conversion, cost and repeat use. The public test might use community extension groups working through cooperatives; the private test should use a named company with a defined dealer protocol. Digital access and calendars can be supporting tools inside those channels, not standalone “reach” claims. </w:t>
      </w:r>
      <w:r w:rsidRPr="0015670F">
        <w:rPr>
          <w:u w:val="single"/>
        </w:rPr>
        <w:t>The bottleneck is customer acquisition and behavior change</w:t>
      </w:r>
      <w:r>
        <w:t>. The incentive for the public channel is delivery of a mandated program; the private channel must demonstrate customer or margin value. The stage gate should be a credible cost per verified first-season adopter and an initial repeat-adoption measure for each channel. S4I should not pay for mass calendar printing or dealer distribution unless it is embedded in and evaluated as part of a conversion pathway.</w:t>
      </w:r>
    </w:p>
    <w:p w14:paraId="0F44D181" w14:textId="5BDC25B0" w:rsidR="00DB3D6A" w:rsidRDefault="00000000" w:rsidP="000064CF">
      <w:r>
        <w:rPr>
          <w:b/>
        </w:rPr>
        <w:t xml:space="preserve">Resolve the fertilizer-company contradiction. </w:t>
      </w:r>
      <w:r>
        <w:t xml:space="preserve">IRRI should work with two </w:t>
      </w:r>
      <w:r w:rsidR="006D29CE">
        <w:t xml:space="preserve">or more </w:t>
      </w:r>
      <w:r>
        <w:t>companies to develop a transparent hectare-level business case: recommended product and quantity, dealer and company margin, acquisition/support cost, expected retention or market-share gain, and the company’s own cash or in-kind contribution. At the farmer level, the same exercise should compare current practice with RCM recommendations for at least three baseline-use segments rather than assume everyone overapplies fertilizer. This addresses the most important private-sector incentive gap. The stage gate should be evidence that at least one company invests its own resources and intends to continue the model because it improves its economics or strategic market position. S4I should not treat a letter of interest, retailer training or product branding as proof of commercial commitment.</w:t>
      </w:r>
    </w:p>
    <w:p w14:paraId="5E25FABB" w14:textId="08E78E79" w:rsidR="00DB3D6A" w:rsidRDefault="00000000" w:rsidP="000064CF">
      <w:r>
        <w:rPr>
          <w:b/>
        </w:rPr>
        <w:t xml:space="preserve">Name the operational scaling driver. </w:t>
      </w:r>
      <w:r>
        <w:t>MAE/NAEC/PPPD and the provincial DAEs should agree which unit is accountable for PNM performance, not merely for the broader One-Million-Hectare program. It needs authority over definitions, seasonal targets, extension instructions, quality assurance and data, with a clear interface to VIETRISA and private partners. IRRI should specify which integrator functions it will stop performing and when. The bottleneck is diffuse accountability; the incentive for government is credible delivery of its national program. Public resources should finance routine extension and supervision; S4I may finance the transitional management design. The stage gate is a named owner with a written seasonal workplan, staff responsibility and budget. S4I should not fund indefinite CGIAR coordination meetings that substitute for local ownership.</w:t>
      </w:r>
      <w:r w:rsidR="006D29CE">
        <w:t xml:space="preserve">  </w:t>
      </w:r>
      <w:r w:rsidR="006D29CE" w:rsidRPr="006D29CE">
        <w:rPr>
          <w:u w:val="single"/>
        </w:rPr>
        <w:t>If in fact there is not and cannot be, politically, a single accountable unit, this needs to be acknowledged and greater information provided about collaboration, coordination, decision-making and alignment of incentives, goals and objectives across the various actors.</w:t>
      </w:r>
    </w:p>
    <w:p w14:paraId="7210D2F7" w14:textId="77777777" w:rsidR="00DB3D6A" w:rsidRDefault="00000000" w:rsidP="000064CF">
      <w:r>
        <w:rPr>
          <w:b/>
        </w:rPr>
        <w:t xml:space="preserve">Make GESI behavioral rather than generic. </w:t>
      </w:r>
      <w:r>
        <w:t xml:space="preserve">The post-coaching response improves the initial picture: ongoing work suggests women are involved in input purchasing and interested in the program but underrepresented in training. The 2027 work should therefore focus on concrete decision points—who chooses fertilizer, who pays for it, who applies it, who controls savings, who can attend training, and whether cooperative membership or land arrangements exclude women from program benefits. The responsible actors are the project’s gender team, cooperatives and extension partners. The stage gate should be </w:t>
      </w:r>
      <w:r>
        <w:lastRenderedPageBreak/>
        <w:t>evidence that at least one delivery protocol changes access or decision-making for women in a measurable way, not simply that gender content was added to a curriculum. S4I should not fund stand-alone women’s enterprises without a real economic role.</w:t>
      </w:r>
    </w:p>
    <w:p w14:paraId="0A7A3150" w14:textId="322905B0" w:rsidR="00DB3D6A" w:rsidRDefault="00000000" w:rsidP="00372EB2">
      <w:pPr>
        <w:pStyle w:val="Heading1"/>
      </w:pPr>
      <w:r>
        <w:t>2027 S4I funding recommendation</w:t>
      </w:r>
    </w:p>
    <w:p w14:paraId="0CC28CFA" w14:textId="7D93E156" w:rsidR="00DB3D6A" w:rsidRDefault="00000000" w:rsidP="000064CF">
      <w:r>
        <w:rPr>
          <w:b/>
        </w:rPr>
        <w:t xml:space="preserve">Fund, but reduce and stage-gate. </w:t>
      </w:r>
      <w:r>
        <w:t>I recommend approximately US$250</w:t>
      </w:r>
      <w:r w:rsidR="00372EB2">
        <w:t>-300</w:t>
      </w:r>
      <w:r>
        <w:t>,000 of S4I funding for 2027, subject to portfolio constraints, with the explicit classification “transition to scale / pathway verification,” not “active scaling.” The amount is intentionally modest because larger government, Sustainable Farming and bilateral resources already finance implementation, while the evidence needed from S4I is comparatively narrow</w:t>
      </w:r>
      <w:r w:rsidRPr="00050303">
        <w:rPr>
          <w:u w:val="single"/>
        </w:rPr>
        <w:t>. The purpose is not to help the project report the largest possible number. It is to determine whether the reported national numbers correspond to a real, repeatable PNM pathway and to improve that pathway where S4I has genuine additionality.</w:t>
      </w:r>
    </w:p>
    <w:p w14:paraId="1EA70E2A" w14:textId="52ADED1E" w:rsidR="00DB3D6A" w:rsidRDefault="00000000" w:rsidP="000064CF">
      <w:r>
        <w:t>The funding should be released against stage gates rather than as a generic annual workplan</w:t>
      </w:r>
      <w:r w:rsidR="00050303">
        <w:t xml:space="preserve"> if possible, perhaps with an initial allocation of $150,000 that could be “topped up” using an internal S4I Innovation Fund</w:t>
      </w:r>
      <w:r>
        <w:t>. By mid-2027 the team should have completed the field validation and resolved the adoption definition. By the end of one production season it should be able to show, for at least two channels, how many farmers were contacted, how many received a recommendation, how many changed fertilizer practice, hectares involved, cost, and the private/public contribution. By year-end, at least one named public institution should own the PNM performance process and at least one private actor should have invested resources on the basis of a plausible return. Failure to reach the national hectare target should not by itself trigger a funding cut; failure to learn what the real pathway is should.</w:t>
      </w:r>
    </w:p>
    <w:p w14:paraId="1E6FA81F" w14:textId="77777777" w:rsidR="00BD21E2" w:rsidRDefault="00000000" w:rsidP="000064CF">
      <w:r>
        <w:t xml:space="preserve">S4I should explicitly not fund the following in 2027: </w:t>
      </w:r>
    </w:p>
    <w:p w14:paraId="5E7FA9BB" w14:textId="77777777" w:rsidR="00BD21E2" w:rsidRPr="00BD21E2" w:rsidRDefault="00000000" w:rsidP="00BD21E2">
      <w:pPr>
        <w:pStyle w:val="ListParagraph"/>
        <w:numPr>
          <w:ilvl w:val="0"/>
          <w:numId w:val="12"/>
        </w:numPr>
        <w:spacing w:line="240" w:lineRule="auto"/>
        <w:rPr>
          <w:sz w:val="22"/>
          <w:szCs w:val="20"/>
        </w:rPr>
      </w:pPr>
      <w:r w:rsidRPr="00BD21E2">
        <w:rPr>
          <w:sz w:val="22"/>
          <w:szCs w:val="20"/>
        </w:rPr>
        <w:t xml:space="preserve">generic training and stakeholder workshops that the national and bilateral programs can finance; </w:t>
      </w:r>
    </w:p>
    <w:p w14:paraId="16A1E920" w14:textId="77777777" w:rsidR="00BD21E2" w:rsidRPr="00BD21E2" w:rsidRDefault="00000000" w:rsidP="00BD21E2">
      <w:pPr>
        <w:pStyle w:val="ListParagraph"/>
        <w:numPr>
          <w:ilvl w:val="0"/>
          <w:numId w:val="12"/>
        </w:numPr>
        <w:spacing w:line="240" w:lineRule="auto"/>
        <w:rPr>
          <w:sz w:val="22"/>
          <w:szCs w:val="20"/>
        </w:rPr>
      </w:pPr>
      <w:r w:rsidRPr="00BD21E2">
        <w:rPr>
          <w:sz w:val="22"/>
          <w:szCs w:val="20"/>
        </w:rPr>
        <w:t xml:space="preserve">additional showcase demonstrations unless designed to test a specific conversion or business-model hypothesis; </w:t>
      </w:r>
    </w:p>
    <w:p w14:paraId="308452EF" w14:textId="77777777" w:rsidR="00BD21E2" w:rsidRPr="00BD21E2" w:rsidRDefault="00000000" w:rsidP="00BD21E2">
      <w:pPr>
        <w:pStyle w:val="ListParagraph"/>
        <w:numPr>
          <w:ilvl w:val="0"/>
          <w:numId w:val="12"/>
        </w:numPr>
        <w:spacing w:line="240" w:lineRule="auto"/>
        <w:rPr>
          <w:sz w:val="22"/>
          <w:szCs w:val="20"/>
        </w:rPr>
      </w:pPr>
      <w:r w:rsidRPr="00BD21E2">
        <w:rPr>
          <w:sz w:val="22"/>
          <w:szCs w:val="20"/>
        </w:rPr>
        <w:t xml:space="preserve">mass distribution of calendars or communication products counted as scaling; </w:t>
      </w:r>
    </w:p>
    <w:p w14:paraId="2AEBD607" w14:textId="77777777" w:rsidR="00BD21E2" w:rsidRPr="00BD21E2" w:rsidRDefault="00000000" w:rsidP="00BD21E2">
      <w:pPr>
        <w:pStyle w:val="ListParagraph"/>
        <w:numPr>
          <w:ilvl w:val="0"/>
          <w:numId w:val="12"/>
        </w:numPr>
        <w:spacing w:line="240" w:lineRule="auto"/>
        <w:rPr>
          <w:sz w:val="22"/>
          <w:szCs w:val="20"/>
        </w:rPr>
      </w:pPr>
      <w:r w:rsidRPr="00BD21E2">
        <w:rPr>
          <w:sz w:val="22"/>
          <w:szCs w:val="20"/>
        </w:rPr>
        <w:t xml:space="preserve">expansion of mDSR, drones, straw and other modules as part of the headline PNM number; </w:t>
      </w:r>
    </w:p>
    <w:p w14:paraId="76645894" w14:textId="77777777" w:rsidR="00BD21E2" w:rsidRPr="00BD21E2" w:rsidRDefault="00000000" w:rsidP="00BD21E2">
      <w:pPr>
        <w:pStyle w:val="ListParagraph"/>
        <w:numPr>
          <w:ilvl w:val="0"/>
          <w:numId w:val="12"/>
        </w:numPr>
        <w:spacing w:line="240" w:lineRule="auto"/>
        <w:rPr>
          <w:sz w:val="22"/>
          <w:szCs w:val="20"/>
        </w:rPr>
      </w:pPr>
      <w:r w:rsidRPr="00BD21E2">
        <w:rPr>
          <w:sz w:val="22"/>
          <w:szCs w:val="20"/>
        </w:rPr>
        <w:t>carbon-finance development before basic adoption economics are established; or</w:t>
      </w:r>
    </w:p>
    <w:p w14:paraId="5D777A28" w14:textId="77777777" w:rsidR="00BD21E2" w:rsidRPr="00BD21E2" w:rsidRDefault="00000000" w:rsidP="00BD21E2">
      <w:pPr>
        <w:pStyle w:val="ListParagraph"/>
        <w:numPr>
          <w:ilvl w:val="0"/>
          <w:numId w:val="12"/>
        </w:numPr>
        <w:spacing w:line="240" w:lineRule="auto"/>
        <w:rPr>
          <w:sz w:val="22"/>
          <w:szCs w:val="20"/>
        </w:rPr>
      </w:pPr>
      <w:r w:rsidRPr="00BD21E2">
        <w:rPr>
          <w:sz w:val="22"/>
          <w:szCs w:val="20"/>
        </w:rPr>
        <w:t xml:space="preserve"> CGIAR “facilitation” roles with no defined handoff. </w:t>
      </w:r>
    </w:p>
    <w:p w14:paraId="09D735B5" w14:textId="02A70BAC" w:rsidR="00DB3D6A" w:rsidRDefault="00000000" w:rsidP="00BD21E2">
      <w:r>
        <w:t>The project will still be able to report legitimate numbers from the government program, but S4I should insist on distinguishing those program numbers from attributable and verified PNM use.</w:t>
      </w:r>
    </w:p>
    <w:p w14:paraId="20340911" w14:textId="4E4A54D0" w:rsidR="00DB3D6A" w:rsidRDefault="00000000" w:rsidP="00BD21E2">
      <w:pPr>
        <w:pStyle w:val="Heading1"/>
      </w:pPr>
      <w:r>
        <w:t>Lessons for S4I and CGIAR</w:t>
      </w:r>
    </w:p>
    <w:p w14:paraId="074CA061" w14:textId="77777777" w:rsidR="00DB3D6A" w:rsidRDefault="00000000" w:rsidP="000064CF">
      <w:r>
        <w:rPr>
          <w:b/>
        </w:rPr>
        <w:t xml:space="preserve">Portfolio funding should follow uncertainty and additionality, not headline ambition. </w:t>
      </w:r>
      <w:r>
        <w:t xml:space="preserve">The One-Million-Hectare label makes this track attractive because S4I needs large numbers. That </w:t>
      </w:r>
      <w:r>
        <w:lastRenderedPageBreak/>
        <w:t>is a legitimate portfolio consideration, but it should not drive full funding before the pathway is verified. A reduced grant is appropriate precisely because the opportunity is large, the technical risk is relatively low, other resources are substantial, and the remaining uncertainties are about scaling behavior and institutions. If the field evidence confirms that Vietnam’s administrative system really converts enrollment into high-fidelity PNM use at substantial scale, this could become one of S4I’s strongest government-institutionalization cases and merit increased support. If it does not, S4I will have learned that a national target and a strong state are still not substitutes for a scaling pathway. Either outcome is worth a disciplined 2027 investment.</w:t>
      </w:r>
    </w:p>
    <w:sectPr w:rsidR="00DB3D6A" w:rsidSect="00FD44CD">
      <w:headerReference w:type="default" r:id="rId8"/>
      <w:footerReference w:type="default" r:id="rId9"/>
      <w:pgSz w:w="11906" w:h="16838"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9BE91" w14:textId="77777777" w:rsidR="00A702B9" w:rsidRDefault="00A702B9">
      <w:pPr>
        <w:spacing w:after="0" w:line="240" w:lineRule="auto"/>
      </w:pPr>
      <w:r>
        <w:separator/>
      </w:r>
    </w:p>
  </w:endnote>
  <w:endnote w:type="continuationSeparator" w:id="0">
    <w:p w14:paraId="41F497ED" w14:textId="77777777" w:rsidR="00A702B9" w:rsidRDefault="00A702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2520"/>
      <w:gridCol w:w="3989"/>
      <w:gridCol w:w="2520"/>
    </w:tblGrid>
    <w:tr w:rsidR="00DB3D6A" w:rsidRPr="000064CF" w14:paraId="20AB293E" w14:textId="77777777">
      <w:trPr>
        <w:jc w:val="center"/>
      </w:trPr>
      <w:tc>
        <w:tcPr>
          <w:tcW w:w="2520" w:type="dxa"/>
          <w:tcMar>
            <w:top w:w="0" w:type="dxa"/>
            <w:left w:w="0" w:type="dxa"/>
            <w:bottom w:w="0" w:type="dxa"/>
            <w:right w:w="0" w:type="dxa"/>
          </w:tcMar>
          <w:vAlign w:val="center"/>
        </w:tcPr>
        <w:p w14:paraId="663DFF4E" w14:textId="72D5F867" w:rsidR="00DB3D6A" w:rsidRPr="000064CF" w:rsidRDefault="000064CF">
          <w:pPr>
            <w:rPr>
              <w:rFonts w:asciiTheme="majorHAnsi" w:hAnsiTheme="majorHAnsi" w:cstheme="majorHAnsi"/>
              <w:sz w:val="20"/>
              <w:szCs w:val="20"/>
            </w:rPr>
          </w:pPr>
          <w:r w:rsidRPr="000064CF">
            <w:rPr>
              <w:rFonts w:asciiTheme="majorHAnsi" w:hAnsiTheme="majorHAnsi" w:cstheme="majorHAnsi"/>
              <w:sz w:val="20"/>
              <w:szCs w:val="20"/>
            </w:rPr>
            <w:t>Dr. Richard Kohl</w:t>
          </w:r>
        </w:p>
      </w:tc>
      <w:tc>
        <w:tcPr>
          <w:tcW w:w="3989" w:type="dxa"/>
          <w:tcMar>
            <w:top w:w="0" w:type="dxa"/>
            <w:left w:w="0" w:type="dxa"/>
            <w:bottom w:w="0" w:type="dxa"/>
            <w:right w:w="0" w:type="dxa"/>
          </w:tcMar>
          <w:vAlign w:val="center"/>
        </w:tcPr>
        <w:p w14:paraId="73783351" w14:textId="77777777" w:rsidR="00DB3D6A" w:rsidRPr="000064CF" w:rsidRDefault="00000000">
          <w:pPr>
            <w:jc w:val="center"/>
            <w:rPr>
              <w:rFonts w:asciiTheme="majorHAnsi" w:hAnsiTheme="majorHAnsi" w:cstheme="majorHAnsi"/>
              <w:sz w:val="20"/>
              <w:szCs w:val="20"/>
            </w:rPr>
          </w:pPr>
          <w:r w:rsidRPr="000064CF">
            <w:rPr>
              <w:rFonts w:asciiTheme="majorHAnsi" w:hAnsiTheme="majorHAnsi" w:cstheme="majorHAnsi"/>
              <w:sz w:val="20"/>
              <w:szCs w:val="20"/>
            </w:rPr>
            <w:t xml:space="preserve">Page </w:t>
          </w:r>
          <w:r w:rsidRPr="000064CF">
            <w:rPr>
              <w:rFonts w:asciiTheme="majorHAnsi" w:hAnsiTheme="majorHAnsi" w:cstheme="majorHAnsi"/>
              <w:sz w:val="20"/>
              <w:szCs w:val="20"/>
            </w:rPr>
            <w:fldChar w:fldCharType="begin"/>
          </w:r>
          <w:r w:rsidRPr="000064CF">
            <w:rPr>
              <w:rFonts w:asciiTheme="majorHAnsi" w:hAnsiTheme="majorHAnsi" w:cstheme="majorHAnsi"/>
              <w:sz w:val="20"/>
              <w:szCs w:val="20"/>
            </w:rPr>
            <w:instrText xml:space="preserve"> PAGE </w:instrText>
          </w:r>
          <w:r w:rsidRPr="000064CF">
            <w:rPr>
              <w:rFonts w:asciiTheme="majorHAnsi" w:hAnsiTheme="majorHAnsi" w:cstheme="majorHAnsi"/>
              <w:sz w:val="20"/>
              <w:szCs w:val="20"/>
            </w:rPr>
            <w:fldChar w:fldCharType="separate"/>
          </w:r>
          <w:r w:rsidRPr="000064CF">
            <w:rPr>
              <w:rFonts w:asciiTheme="majorHAnsi" w:hAnsiTheme="majorHAnsi" w:cstheme="majorHAnsi"/>
              <w:sz w:val="20"/>
              <w:szCs w:val="20"/>
            </w:rPr>
            <w:t>1</w:t>
          </w:r>
          <w:r w:rsidRPr="000064CF">
            <w:rPr>
              <w:rFonts w:asciiTheme="majorHAnsi" w:hAnsiTheme="majorHAnsi" w:cstheme="majorHAnsi"/>
              <w:sz w:val="20"/>
              <w:szCs w:val="20"/>
            </w:rPr>
            <w:fldChar w:fldCharType="end"/>
          </w:r>
          <w:r w:rsidRPr="000064CF">
            <w:rPr>
              <w:rFonts w:asciiTheme="majorHAnsi" w:hAnsiTheme="majorHAnsi" w:cstheme="majorHAnsi"/>
              <w:sz w:val="20"/>
              <w:szCs w:val="20"/>
            </w:rPr>
            <w:t xml:space="preserve"> of </w:t>
          </w:r>
          <w:r w:rsidRPr="000064CF">
            <w:rPr>
              <w:rFonts w:asciiTheme="majorHAnsi" w:hAnsiTheme="majorHAnsi" w:cstheme="majorHAnsi"/>
              <w:sz w:val="20"/>
              <w:szCs w:val="20"/>
            </w:rPr>
            <w:fldChar w:fldCharType="begin"/>
          </w:r>
          <w:r w:rsidRPr="000064CF">
            <w:rPr>
              <w:rFonts w:asciiTheme="majorHAnsi" w:hAnsiTheme="majorHAnsi" w:cstheme="majorHAnsi"/>
              <w:sz w:val="20"/>
              <w:szCs w:val="20"/>
            </w:rPr>
            <w:instrText xml:space="preserve"> NUMPAGES </w:instrText>
          </w:r>
          <w:r w:rsidRPr="000064CF">
            <w:rPr>
              <w:rFonts w:asciiTheme="majorHAnsi" w:hAnsiTheme="majorHAnsi" w:cstheme="majorHAnsi"/>
              <w:sz w:val="20"/>
              <w:szCs w:val="20"/>
            </w:rPr>
            <w:fldChar w:fldCharType="separate"/>
          </w:r>
          <w:r w:rsidRPr="000064CF">
            <w:rPr>
              <w:rFonts w:asciiTheme="majorHAnsi" w:hAnsiTheme="majorHAnsi" w:cstheme="majorHAnsi"/>
              <w:sz w:val="20"/>
              <w:szCs w:val="20"/>
            </w:rPr>
            <w:t>1</w:t>
          </w:r>
          <w:r w:rsidRPr="000064CF">
            <w:rPr>
              <w:rFonts w:asciiTheme="majorHAnsi" w:hAnsiTheme="majorHAnsi" w:cstheme="majorHAnsi"/>
              <w:sz w:val="20"/>
              <w:szCs w:val="20"/>
            </w:rPr>
            <w:fldChar w:fldCharType="end"/>
          </w:r>
        </w:p>
      </w:tc>
      <w:tc>
        <w:tcPr>
          <w:tcW w:w="2520" w:type="dxa"/>
          <w:tcMar>
            <w:top w:w="0" w:type="dxa"/>
            <w:left w:w="0" w:type="dxa"/>
            <w:bottom w:w="0" w:type="dxa"/>
            <w:right w:w="0" w:type="dxa"/>
          </w:tcMar>
          <w:vAlign w:val="center"/>
        </w:tcPr>
        <w:p w14:paraId="65559E6A" w14:textId="3F3FFEF9" w:rsidR="00DB3D6A" w:rsidRPr="000064CF" w:rsidRDefault="00000000">
          <w:pPr>
            <w:jc w:val="right"/>
            <w:rPr>
              <w:rFonts w:asciiTheme="majorHAnsi" w:hAnsiTheme="majorHAnsi" w:cstheme="majorHAnsi"/>
              <w:sz w:val="20"/>
              <w:szCs w:val="20"/>
            </w:rPr>
          </w:pPr>
          <w:r w:rsidRPr="000064CF">
            <w:rPr>
              <w:rFonts w:asciiTheme="majorHAnsi" w:hAnsiTheme="majorHAnsi" w:cstheme="majorHAnsi"/>
              <w:sz w:val="20"/>
              <w:szCs w:val="20"/>
            </w:rPr>
            <w:t>1</w:t>
          </w:r>
          <w:r w:rsidR="00494899">
            <w:rPr>
              <w:rFonts w:asciiTheme="majorHAnsi" w:hAnsiTheme="majorHAnsi" w:cstheme="majorHAnsi"/>
              <w:sz w:val="20"/>
              <w:szCs w:val="20"/>
            </w:rPr>
            <w:t>4</w:t>
          </w:r>
          <w:r w:rsidRPr="000064CF">
            <w:rPr>
              <w:rFonts w:asciiTheme="majorHAnsi" w:hAnsiTheme="majorHAnsi" w:cstheme="majorHAnsi"/>
              <w:sz w:val="20"/>
              <w:szCs w:val="20"/>
            </w:rPr>
            <w:t xml:space="preserve"> August 2026</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20992F" w14:textId="77777777" w:rsidR="00A702B9" w:rsidRDefault="00A702B9">
      <w:pPr>
        <w:spacing w:after="0" w:line="240" w:lineRule="auto"/>
      </w:pPr>
      <w:r>
        <w:separator/>
      </w:r>
    </w:p>
  </w:footnote>
  <w:footnote w:type="continuationSeparator" w:id="0">
    <w:p w14:paraId="53C448C0" w14:textId="77777777" w:rsidR="00A702B9" w:rsidRDefault="00A702B9">
      <w:pPr>
        <w:spacing w:after="0" w:line="240" w:lineRule="auto"/>
      </w:pPr>
      <w:r>
        <w:continuationSeparator/>
      </w:r>
    </w:p>
  </w:footnote>
  <w:footnote w:id="1">
    <w:p w14:paraId="3CD82789" w14:textId="77777777" w:rsidR="003612C5" w:rsidRDefault="003612C5" w:rsidP="003612C5">
      <w:pPr>
        <w:pStyle w:val="FootnoteText"/>
      </w:pPr>
      <w:r>
        <w:rPr>
          <w:rStyle w:val="FootnoteReference"/>
        </w:rPr>
        <w:footnoteRef/>
      </w:r>
      <w:r>
        <w:t xml:space="preserve"> It is strongly recommended that this program, if funded for 2027, receive an in-depth, in-person coaching visit.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E30E5" w14:textId="0F0539AF" w:rsidR="00FD44CD" w:rsidRPr="000064CF" w:rsidRDefault="00FD44CD" w:rsidP="000064CF">
    <w:pPr>
      <w:pStyle w:val="Header"/>
      <w:jc w:val="right"/>
      <w:rPr>
        <w:rFonts w:asciiTheme="majorHAnsi" w:hAnsiTheme="majorHAnsi" w:cstheme="majorHAnsi"/>
        <w:bCs/>
        <w:sz w:val="22"/>
        <w:szCs w:val="16"/>
      </w:rPr>
    </w:pPr>
    <w:r w:rsidRPr="00FD44CD">
      <w:rPr>
        <w:rFonts w:asciiTheme="majorHAnsi" w:hAnsiTheme="majorHAnsi" w:cstheme="majorHAnsi"/>
        <w:bCs/>
        <w:sz w:val="22"/>
        <w:szCs w:val="16"/>
      </w:rPr>
      <w:t>Scaling Assessment Analysis and Coaching Recommendations</w:t>
    </w:r>
    <w:r w:rsidR="000064CF">
      <w:rPr>
        <w:rFonts w:asciiTheme="majorHAnsi" w:hAnsiTheme="majorHAnsi" w:cstheme="majorHAnsi"/>
        <w:bCs/>
        <w:sz w:val="18"/>
        <w:szCs w:val="16"/>
      </w:rPr>
      <w:t xml:space="preserve"> </w:t>
    </w:r>
    <w:r w:rsidR="000064CF" w:rsidRPr="000064CF">
      <w:rPr>
        <w:rFonts w:asciiTheme="majorHAnsi" w:hAnsiTheme="majorHAnsi" w:cstheme="majorHAnsi"/>
        <w:bCs/>
        <w:sz w:val="22"/>
        <w:szCs w:val="16"/>
      </w:rPr>
      <w:t>PNM Vietnam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A52478"/>
    <w:multiLevelType w:val="hybridMultilevel"/>
    <w:tmpl w:val="8E7EE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065CB8"/>
    <w:multiLevelType w:val="hybridMultilevel"/>
    <w:tmpl w:val="706C3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A07388"/>
    <w:multiLevelType w:val="hybridMultilevel"/>
    <w:tmpl w:val="EBA6C85C"/>
    <w:lvl w:ilvl="0" w:tplc="2E7224C8">
      <w:start w:val="1"/>
      <w:numFmt w:val="upperRoman"/>
      <w:pStyle w:val="Heading1"/>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0446676">
    <w:abstractNumId w:val="8"/>
  </w:num>
  <w:num w:numId="2" w16cid:durableId="602539757">
    <w:abstractNumId w:val="6"/>
  </w:num>
  <w:num w:numId="3" w16cid:durableId="1917130894">
    <w:abstractNumId w:val="5"/>
  </w:num>
  <w:num w:numId="4" w16cid:durableId="313030783">
    <w:abstractNumId w:val="4"/>
  </w:num>
  <w:num w:numId="5" w16cid:durableId="173499221">
    <w:abstractNumId w:val="7"/>
  </w:num>
  <w:num w:numId="6" w16cid:durableId="851073570">
    <w:abstractNumId w:val="3"/>
  </w:num>
  <w:num w:numId="7" w16cid:durableId="1115637792">
    <w:abstractNumId w:val="2"/>
  </w:num>
  <w:num w:numId="8" w16cid:durableId="1988826875">
    <w:abstractNumId w:val="1"/>
  </w:num>
  <w:num w:numId="9" w16cid:durableId="1293558388">
    <w:abstractNumId w:val="0"/>
  </w:num>
  <w:num w:numId="10" w16cid:durableId="419450616">
    <w:abstractNumId w:val="11"/>
  </w:num>
  <w:num w:numId="11" w16cid:durableId="547297519">
    <w:abstractNumId w:val="10"/>
  </w:num>
  <w:num w:numId="12" w16cid:durableId="19367913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9"/>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4CF"/>
    <w:rsid w:val="00034616"/>
    <w:rsid w:val="00050303"/>
    <w:rsid w:val="0006063C"/>
    <w:rsid w:val="00066723"/>
    <w:rsid w:val="00083A95"/>
    <w:rsid w:val="000A11C8"/>
    <w:rsid w:val="000F2241"/>
    <w:rsid w:val="0015074B"/>
    <w:rsid w:val="0015670F"/>
    <w:rsid w:val="0029639D"/>
    <w:rsid w:val="002A287C"/>
    <w:rsid w:val="00326F90"/>
    <w:rsid w:val="003612C5"/>
    <w:rsid w:val="00372EB2"/>
    <w:rsid w:val="003B29EA"/>
    <w:rsid w:val="003F559A"/>
    <w:rsid w:val="00405655"/>
    <w:rsid w:val="00494899"/>
    <w:rsid w:val="004F53BC"/>
    <w:rsid w:val="00601829"/>
    <w:rsid w:val="0068742D"/>
    <w:rsid w:val="006D29CE"/>
    <w:rsid w:val="00796FB5"/>
    <w:rsid w:val="007D0F60"/>
    <w:rsid w:val="007E477C"/>
    <w:rsid w:val="00927285"/>
    <w:rsid w:val="009905ED"/>
    <w:rsid w:val="009C44FC"/>
    <w:rsid w:val="009C629E"/>
    <w:rsid w:val="009E0446"/>
    <w:rsid w:val="009E1F60"/>
    <w:rsid w:val="009F4F76"/>
    <w:rsid w:val="00A702B9"/>
    <w:rsid w:val="00A73F80"/>
    <w:rsid w:val="00A93982"/>
    <w:rsid w:val="00AA1D8D"/>
    <w:rsid w:val="00B47730"/>
    <w:rsid w:val="00BD21E2"/>
    <w:rsid w:val="00CB0664"/>
    <w:rsid w:val="00CB7126"/>
    <w:rsid w:val="00D35580"/>
    <w:rsid w:val="00D744E2"/>
    <w:rsid w:val="00D92B18"/>
    <w:rsid w:val="00DB3D6A"/>
    <w:rsid w:val="00DF10B9"/>
    <w:rsid w:val="00ED4F0E"/>
    <w:rsid w:val="00F164AE"/>
    <w:rsid w:val="00F70EE7"/>
    <w:rsid w:val="00FC5FFC"/>
    <w:rsid w:val="00FC693F"/>
    <w:rsid w:val="00FD44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3D09DEE-9A3B-494C-A831-3DBB3227F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11C8"/>
    <w:pPr>
      <w:spacing w:after="240" w:line="264" w:lineRule="auto"/>
    </w:pPr>
    <w:rPr>
      <w:rFonts w:ascii="Calibri" w:eastAsia="Arial" w:hAnsi="Calibri"/>
      <w:sz w:val="24"/>
    </w:rPr>
  </w:style>
  <w:style w:type="paragraph" w:styleId="Heading1">
    <w:name w:val="heading 1"/>
    <w:basedOn w:val="Normal"/>
    <w:next w:val="Normal"/>
    <w:link w:val="Heading1Char"/>
    <w:uiPriority w:val="9"/>
    <w:qFormat/>
    <w:rsid w:val="00083A95"/>
    <w:pPr>
      <w:keepNext/>
      <w:keepLines/>
      <w:numPr>
        <w:numId w:val="10"/>
      </w:numPr>
      <w:spacing w:before="240" w:after="120"/>
      <w:ind w:left="450" w:hanging="180"/>
      <w:outlineLvl w:val="0"/>
    </w:pPr>
    <w:rPr>
      <w:rFonts w:asciiTheme="majorHAnsi" w:eastAsiaTheme="majorEastAsia" w:hAnsiTheme="majorHAnsi" w:cstheme="majorBidi"/>
      <w:b/>
      <w:bCs/>
      <w:color w:val="000000" w:themeColor="text1"/>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083A95"/>
    <w:rPr>
      <w:rFonts w:asciiTheme="majorHAnsi" w:eastAsiaTheme="majorEastAsia" w:hAnsiTheme="majorHAnsi" w:cstheme="majorBidi"/>
      <w:b/>
      <w:bCs/>
      <w:color w:val="000000" w:themeColor="text1"/>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pPr>
    <w:rPr>
      <w:rFonts w:ascii="Arial" w:hAnsi="Arial"/>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uiPriority w:val="99"/>
    <w:semiHidden/>
    <w:unhideWhenUsed/>
    <w:rsid w:val="00D92B1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92B18"/>
    <w:rPr>
      <w:rFonts w:ascii="Calibri" w:eastAsia="Arial" w:hAnsi="Calibri"/>
      <w:sz w:val="20"/>
      <w:szCs w:val="20"/>
    </w:rPr>
  </w:style>
  <w:style w:type="character" w:styleId="FootnoteReference">
    <w:name w:val="footnote reference"/>
    <w:basedOn w:val="DefaultParagraphFont"/>
    <w:uiPriority w:val="99"/>
    <w:semiHidden/>
    <w:unhideWhenUsed/>
    <w:rsid w:val="00D92B1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12</Pages>
  <Words>4977</Words>
  <Characters>28373</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33284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CGIAR S4I Vietnam One Million Hectares Scaling Assessment and Coaching Recommendations</dc:title>
  <dc:subject>Precision Nutrient Management at Scale in Vietnam</dc:subject>
  <dc:creator>Dr. Richard Kohl, Strategy and Scale LLC</dc:creator>
  <cp:keywords>CGIAR, S4I, Vietnam, Precision Nutrient Management, Rice Crop Manager, Scaling</cp:keywords>
  <dc:description>generated by python-docx</dc:description>
  <cp:lastModifiedBy>Richard Kohl</cp:lastModifiedBy>
  <cp:revision>29</cp:revision>
  <dcterms:created xsi:type="dcterms:W3CDTF">2026-08-14T09:36:00Z</dcterms:created>
  <dcterms:modified xsi:type="dcterms:W3CDTF">2026-08-14T10:22:00Z</dcterms:modified>
  <cp:category/>
</cp:coreProperties>
</file>