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E1A8" w14:textId="77777777" w:rsidR="0001119B" w:rsidRDefault="0001119B" w:rsidP="0001119B">
      <w:pPr>
        <w:spacing w:after="40" w:line="240" w:lineRule="auto"/>
        <w:jc w:val="center"/>
        <w:rPr>
          <w:b/>
          <w:sz w:val="36"/>
        </w:rPr>
      </w:pPr>
    </w:p>
    <w:p w14:paraId="1FBC3459" w14:textId="0B7AFB21" w:rsidR="0001119B" w:rsidRDefault="0001119B" w:rsidP="0001119B">
      <w:pPr>
        <w:spacing w:after="40" w:line="240" w:lineRule="auto"/>
        <w:jc w:val="center"/>
      </w:pPr>
      <w:r>
        <w:rPr>
          <w:b/>
          <w:sz w:val="36"/>
        </w:rPr>
        <w:t>CGIAR Scaling for Impact</w:t>
      </w:r>
    </w:p>
    <w:p w14:paraId="1230FB00" w14:textId="77777777" w:rsidR="0001119B" w:rsidRDefault="0001119B" w:rsidP="0001119B">
      <w:pPr>
        <w:spacing w:after="40" w:line="240" w:lineRule="auto"/>
        <w:jc w:val="center"/>
      </w:pPr>
      <w:r>
        <w:rPr>
          <w:b/>
          <w:sz w:val="32"/>
        </w:rPr>
        <w:t>Scaling Assessment Analysis and Coaching Recommendations</w:t>
      </w:r>
    </w:p>
    <w:p w14:paraId="7C19D91B" w14:textId="0C9E9B9E" w:rsidR="0001119B" w:rsidRDefault="0001119B" w:rsidP="0001119B">
      <w:pPr>
        <w:spacing w:after="40" w:line="240" w:lineRule="auto"/>
        <w:jc w:val="center"/>
      </w:pPr>
      <w:r>
        <w:rPr>
          <w:b/>
          <w:i/>
          <w:sz w:val="28"/>
        </w:rPr>
        <w:t>Scaling Inclusive Rice Transplanting Mechanization Services in Bangladesh</w:t>
      </w:r>
    </w:p>
    <w:p w14:paraId="06AAE429" w14:textId="77777777" w:rsidR="0001119B" w:rsidRDefault="0001119B" w:rsidP="0001119B">
      <w:pPr>
        <w:spacing w:after="40" w:line="240" w:lineRule="auto"/>
        <w:jc w:val="center"/>
      </w:pPr>
      <w:r>
        <w:rPr>
          <w:b/>
          <w:i/>
          <w:sz w:val="24"/>
        </w:rPr>
        <w:t>Submitted to the CGIAR Scaling for Impact Team</w:t>
      </w:r>
    </w:p>
    <w:p w14:paraId="64FFBC67" w14:textId="77777777" w:rsidR="0001119B" w:rsidRDefault="0001119B" w:rsidP="0001119B">
      <w:pPr>
        <w:spacing w:after="40" w:line="240" w:lineRule="auto"/>
        <w:jc w:val="center"/>
      </w:pPr>
      <w:r>
        <w:rPr>
          <w:sz w:val="24"/>
        </w:rPr>
        <w:t>By</w:t>
      </w:r>
    </w:p>
    <w:p w14:paraId="41EBAE82" w14:textId="77777777" w:rsidR="0001119B" w:rsidRDefault="0001119B" w:rsidP="0001119B">
      <w:pPr>
        <w:spacing w:after="40" w:line="240" w:lineRule="auto"/>
        <w:jc w:val="center"/>
      </w:pPr>
      <w:r>
        <w:rPr>
          <w:b/>
          <w:sz w:val="28"/>
        </w:rPr>
        <w:t>Dr. Richard Kohl, Strategy and Scale LLC</w:t>
      </w:r>
    </w:p>
    <w:p w14:paraId="09928B12" w14:textId="77777777" w:rsidR="0001119B" w:rsidRDefault="0001119B" w:rsidP="0001119B">
      <w:pPr>
        <w:spacing w:after="40" w:line="240" w:lineRule="auto"/>
        <w:jc w:val="center"/>
      </w:pPr>
      <w:r>
        <w:rPr>
          <w:b/>
          <w:i/>
          <w:sz w:val="24"/>
        </w:rPr>
        <w:t>6 August 2026</w:t>
      </w:r>
    </w:p>
    <w:p w14:paraId="03270ED5" w14:textId="77777777" w:rsidR="00893825" w:rsidRDefault="00893825">
      <w:pPr>
        <w:spacing w:after="40"/>
      </w:pPr>
    </w:p>
    <w:p>
      <w:pPr>
        <w:spacing w:after="40"/>
        <w:sectPr>
          <w:footerReference w:type="default" r:id="rId9"/>
          <w:pgSz w:w="11906" w:h="16838"/>
          <w:pgMar w:top="1440" w:right="1440" w:bottom="1440" w:left="1440" w:header="720" w:footer="720" w:gutter="0"/>
          <w:cols w:space="720"/>
          <w:docGrid w:linePitch="360"/>
        </w:sectPr>
      </w:pPr>
    </w:p>
    <w:p>
      <w:pPr>
        <w:pStyle w:val="RKHeading1"/>
        <w:spacing w:before="120" w:after="40"/>
      </w:pPr>
      <w:r>
        <w:t>Executive Summary</w:t>
      </w:r>
    </w:p>
    <w:p>
      <w:pPr>
        <w:pStyle w:val="RKHeading2"/>
        <w:spacing w:before="60" w:after="20"/>
      </w:pPr>
      <w:r>
        <w:t>Introduction</w:t>
      </w:r>
    </w:p>
    <w:p>
      <w:pPr>
        <w:spacing w:line="264" w:lineRule="auto" w:after="40"/>
      </w:pPr>
      <w:r>
        <w:t>The Bangladesh rice-transplanter Scaling Solution is a strong project addressing a real problem, but the field evidence shows that it is a market-formation effort rather than a machinery-distribution program. The innovation is not the transplanter alone. It is a viable service system in which farmers purchase timely, affordable transplanting; an accountable machinery service provider (MSP) aggregates enough demand to operate profitably; appropriate seedlings are available; and operators, mechanics, parts, transport and field preparation are coordinated during a narrow seasonal window. CIMMYT has largely adopted this framing, a major improvement over programs that equate machines distributed with scaling.</w:t>
      </w:r>
    </w:p>
    <w:p>
      <w:pPr>
        <w:spacing w:line="264" w:lineRule="auto" w:after="40"/>
      </w:pPr>
      <w:r>
        <w:t>The distinctive scaling problem is three-way simultaneity. Farmers cannot try the service without a machine and suitable seedlings; an MSP should not invest without concentrated demand; and a seedling entrepreneur should not produce a perishable input without credible orders. CIMMYT is therefore creating two public goods that no firm will finance initially: demand and temporary coordination. The pathway should be a virtuous spiral—activate viable machines and owners, create clustered demand, supply the minimum seedling package, improve utilization and reliability, and expand specialized suppliers, finance and private investment as markets mature.</w:t>
      </w:r>
    </w:p>
    <w:p>
      <w:pPr>
        <w:spacing w:line="264" w:lineRule="auto" w:after="40"/>
      </w:pPr>
      <w:r>
        <w:t>The evidence is encouraging but uneven. In stronger markets, MSPs have progressed from roughly 30–40 bigha in an initial season to 100–150 and beyond; one established enterprise operates four machines over roughly 1,300–1,500 bigha, and another family produced seedlings for about 300 bigha. Farmers often try the service on part of their land and expand after seeing results. Elsewhere machines remain idle, owners charge only fuel cost, seedlings fail, repairs consume a critical week, or demand is too thin. The model can work, but readiness is local and stage-specific rather than national.</w:t>
      </w:r>
    </w:p>
    <w:p>
      <w:pPr>
        <w:pStyle w:val="RKHeading2"/>
        <w:spacing w:before="60" w:after="20"/>
      </w:pPr>
      <w:r>
        <w:t>Strengths</w:t>
      </w:r>
    </w:p>
    <w:p>
      <w:pPr>
        <w:pStyle w:val="RKBullet"/>
        <w:spacing w:after="20"/>
      </w:pPr>
      <w:r>
        <w:t>• The right unit of scaling. The project correctly treats the adopter as the MSP and service system, not the small farmer as machine owner. Farmers need dependable service by the bigha; the MSP must aggregate demand and coordinate seedlings, operators, repairs and scheduling.</w:t>
      </w:r>
    </w:p>
    <w:p>
      <w:pPr>
        <w:pStyle w:val="RKBullet"/>
        <w:spacing w:after="20"/>
      </w:pPr>
      <w:r>
        <w:t>• A strong farmer value proposition. Farmers reported that three bigha can be transplanted in roughly two hours rather than fifteen labor-days, at about Tk 1,000 per bigha versus Tk 2,500–2,750 for manual labor before food and accommodation. Labor scarcity, wages and timely planting create genuine demand.</w:t>
      </w:r>
    </w:p>
    <w:p>
      <w:pPr>
        <w:pStyle w:val="RKBullet"/>
        <w:spacing w:after="20"/>
      </w:pPr>
      <w:r>
        <w:t>• Evidence of an adoption curve. Farmers test a small area, observe results and expand in later seasons. Several MSPs grew from approximately 30–60 bigha to 140–150, while mature operators exceed 300 per machine. Repeat use and word of mouth show that demand can become self-propelling.</w:t>
      </w:r>
    </w:p>
    <w:p>
      <w:pPr>
        <w:pStyle w:val="RKBullet"/>
        <w:spacing w:after="20"/>
      </w:pPr>
      <w:r>
        <w:t>• CIMMYT is addressing the whole market. The team works on farmer demand, MSP activation, seedlings, operators, repairs, parts, DAE and companies. It reports 298 machines providing service against a commitment of 200 and 151 activities with seven firms. This systems orientation is stronger than a conventional demonstration program.</w:t>
      </w:r>
    </w:p>
    <w:p>
      <w:pPr>
        <w:pStyle w:val="RKBullet"/>
        <w:spacing w:after="20"/>
      </w:pPr>
      <w:r>
        <w:t>• A legitimate role for catalytic public funding. Demand creation, confidence building and coordination benefit all firms and MSPs, but no one company can capture enough return to finance them initially. S4I can absorb early risk until commercial actors see sufficient demand to invest.</w:t>
      </w:r>
    </w:p>
    <w:p>
      <w:pPr>
        <w:pStyle w:val="RKHeading2"/>
        <w:spacing w:before="60" w:after="20"/>
      </w:pPr>
      <w:r>
        <w:t>Weaknesses</w:t>
      </w:r>
    </w:p>
    <w:p>
      <w:pPr>
        <w:pStyle w:val="RKBullet"/>
        <w:spacing w:after="20"/>
      </w:pPr>
      <w:r>
        <w:t>• Breadth is substituting for market depth. Work in more than 20 districts creates reach but may leave individual MSPs without concentrated paid demand. Thirty thousand farmers reached and 6,000 expected trials do not establish viable local markets when many farmers use only one bigha and are geographically dispersed.</w:t>
      </w:r>
    </w:p>
    <w:p>
      <w:pPr>
        <w:pStyle w:val="RKBullet"/>
        <w:spacing w:after="20"/>
      </w:pPr>
      <w:r>
        <w:t>• The business case is real but conditional. At Tk 300,000–500,000, short seasons and utilization of 50–150 bigha can strand a machine; at 200–300 bigha, over multiple seasons or at second-hand or subsidized prices, it can be highly profitable. CIMMYT should distinguish viable, marginal and non-viable markets.</w:t>
      </w:r>
    </w:p>
    <w:p>
      <w:pPr>
        <w:pStyle w:val="RKBullet"/>
        <w:spacing w:after="20"/>
      </w:pPr>
      <w:r>
        <w:t>• Machine activation is not automatically scaling. Many of the roughly 1,500 listed machines were placed with informal groups lacking legal continuity or an accountable owner. Rehabilitation should depend on owner quality, demand, service territory, seedlings and repair; some machines should be transferred, sold or written off.</w:t>
      </w:r>
    </w:p>
    <w:p>
      <w:pPr>
        <w:pStyle w:val="RKBullet"/>
        <w:spacing w:after="20"/>
      </w:pPr>
      <w:r>
        <w:t>• Seedlings are stage-dependent. Early markets may require MSP, family or farmer production to internalize coordination. Independent enterprises—including women-led businesses—become attractive when bookings, varieties and machine capacity make demand predictable. Promoting specialization everywhere would create another project-dependent layer.</w:t>
      </w:r>
    </w:p>
    <w:p>
      <w:pPr>
        <w:pStyle w:val="RKBullet"/>
        <w:spacing w:after="20"/>
      </w:pPr>
      <w:r>
        <w:t>• Repairs and operators are commercially decisive. A seven-day parts delay in a 45-day season can destroy annual revenue, and one mature MSP trained more than fifteen operators to retain four. National warehouse stock is not equivalent to local parts, mechanics and rapid response.</w:t>
      </w:r>
    </w:p>
    <w:p>
      <w:pPr>
        <w:pStyle w:val="RKBullet"/>
        <w:spacing w:after="20"/>
      </w:pPr>
      <w:r>
        <w:t>• The private handoff has not yet occurred. Companies join events, but unsubsidized transplanter sales remain extremely weak while far more expensive combines continue to sell. This shows that demand and utilization precede finance. Firms become scaling drivers only when they invest in marketing, stock, parts and mechanics without CIMMYT reimbursement.</w:t>
      </w:r>
    </w:p>
    <w:p>
      <w:pPr>
        <w:pStyle w:val="RKHeading2"/>
        <w:spacing w:before="60" w:after="20"/>
      </w:pPr>
      <w:r>
        <w:t>Recommendations for the CIMMYT Team</w:t>
      </w:r>
    </w:p>
    <w:p>
      <w:pPr>
        <w:pStyle w:val="RKBullet"/>
        <w:spacing w:after="20"/>
      </w:pPr>
      <w:r>
        <w:t>• Adopt a district and upazila adoption-curve strategy. Classify locations by labor conditions, seasons, flooding, cropping pattern, demand, machines, MSPs, seedlings, dealers and repairs. Early markets emphasize trials and demand; intermediate markets clustering and utilization; advanced markets private marketing, repairs and new sales. Drop or redesign locations that do not progress after two seasons.</w:t>
      </w:r>
    </w:p>
    <w:p>
      <w:pPr>
        <w:pStyle w:val="RKBullet"/>
        <w:spacing w:after="20"/>
      </w:pPr>
      <w:r>
        <w:t>• Replace general awareness with measured demand conversion. Identify likely early farmers and MSPs, then compare concentrated versus dispersed demonstrations, referrals, one-time coupons, lead farmers and dealer campaigns. Track cost per first trial, repeat use, area expansion and commercial payment—not attendance.</w:t>
      </w:r>
    </w:p>
    <w:p>
      <w:pPr>
        <w:pStyle w:val="RKBullet"/>
        <w:spacing w:after="20"/>
      </w:pPr>
      <w:r>
        <w:t>• Apply due diligence before rehabilitation. Require an accountable owner or transferee, plausible territory, farmer interest, seedling plan, operators and repair. Where an informal group cannot assign responsibility, transfer or resell the machine transparently rather than subsidizing repair because the asset exists.</w:t>
      </w:r>
    </w:p>
    <w:p>
      <w:pPr>
        <w:pStyle w:val="RKBullet"/>
        <w:spacing w:after="20"/>
      </w:pPr>
      <w:r>
        <w:t>• Define seedlings by market stage. In early markets, MSP households or farmers should produce them with technical support and limited risk mitigation. Promote independent enterprises only with predictable bookings. Any first-loss guarantee should be explicit, temporary and tied to orders.</w:t>
      </w:r>
    </w:p>
    <w:p>
      <w:pPr>
        <w:pStyle w:val="RKBullet"/>
        <w:spacing w:after="20"/>
      </w:pPr>
      <w:r>
        <w:t>• Create an after-sales compact. Companies and dealers should name local mechanics, stock common parts seasonally and commit to response times. CIMMYT can provide demand forecasts and convene agreements, but firms should fund increasing shares of inventory, demonstrations and training.</w:t>
      </w:r>
    </w:p>
    <w:p>
      <w:pPr>
        <w:pStyle w:val="RKBullet"/>
        <w:spacing w:after="20"/>
      </w:pPr>
      <w:r>
        <w:t>• Treat finance and price as secondary levers. Do not lead with loans where paid demand is thin. Once bookings and utilization are credible, test seasonal repayment, second-hand purchases and dealer credit. Pursue temporary duty relief, credible local assembly and performance-linked subsidies that reward verified service rather than acquisition.</w:t>
      </w:r>
    </w:p>
    <w:p>
      <w:pPr>
        <w:pStyle w:val="RKBullet"/>
        <w:spacing w:after="20"/>
      </w:pPr>
      <w:r>
        <w:t>• Build handoff into every cluster. MSPs should own customer acquisition; firms and dealers marketing, parts and support; DAE public extension and policy. The test is spontaneous behavior: repeat farmer demand, second-machine purchases, new MSP entry and private investment without reimbursement.</w:t>
      </w:r>
    </w:p>
    <w:p>
      <w:pPr>
        <w:pStyle w:val="RKBullet"/>
        <w:spacing w:after="20"/>
      </w:pPr>
      <w:r>
        <w:t>• Turn the portfolio into scaling science. A real-time dashboard should link owners, paid area, farmer trials and repeats, prices, seedlings, downtime, repairs and private contributions by upazila and season. Use variation across districts to identify adoption curves and stage-dependent bottlenecks.</w:t>
      </w:r>
    </w:p>
    <w:p>
      <w:pPr>
        <w:pStyle w:val="RKHeading2"/>
        <w:spacing w:before="60" w:after="20"/>
      </w:pPr>
      <w:r>
        <w:t>Recommendations for S4I</w:t>
      </w:r>
    </w:p>
    <w:p>
      <w:pPr>
        <w:pStyle w:val="RKBullet"/>
        <w:spacing w:after="20"/>
      </w:pPr>
      <w:r>
        <w:t>• Continue funding for a narrower transition-to-scale mandate. The service model and catalytic role justify another year, but funding should build concentrated local markets rather than equal activity across 20-plus districts. Any increase should replace expiring co-finance and support the redesigned strategy.</w:t>
      </w:r>
    </w:p>
    <w:p>
      <w:pPr>
        <w:pStyle w:val="RKBullet"/>
        <w:spacing w:after="20"/>
      </w:pPr>
      <w:r>
        <w:t>• Fund public goods and stage gates. Eligible costs are cluster targeting, demand trials, machine triage and transfer, stage-specific seedling risk mitigation, repairs and operators, company co-investment, policy work and rigorous MELIA. Do not fund blanket rehabilitation, generic events or finance studies detached from verified demand.</w:t>
      </w:r>
    </w:p>
    <w:p>
      <w:pPr>
        <w:pStyle w:val="RKBullet"/>
        <w:spacing w:after="20"/>
      </w:pPr>
      <w:r>
        <w:t>• Require a midyear commercial-readiness test. CIMMYT should show cluster baselines, accountable owners, paid area, repeat use, repair response, seedling arrangements and written company contributions. By year-end, advanced clusters should approach 10–15 percent of the suitable local market and show spontaneous investment; otherwise contract geographically.</w:t>
      </w:r>
    </w:p>
    <w:p>
      <w:pPr>
        <w:pStyle w:val="RKBullet"/>
        <w:spacing w:after="20"/>
      </w:pPr>
      <w:r>
        <w:t>• Protect transformation from superficial numbers. Report commercially serviced hectares, enterprises, repeat customers, uptime and private investment alongside reach. Distributed machines and attendance are not sustained adoption. One related, proven machinery-service opportunity may add reach, but should not dilute the rice-transplanter learning agenda.</w:t>
      </w:r>
    </w:p>
    <w:p>
      <w:pPr>
        <w:pStyle w:val="RKHeading1"/>
        <w:spacing w:before="120" w:after="40"/>
      </w:pPr>
      <w:r>
        <w:t>1. The Scaling Solution and Its Components</w:t>
      </w:r>
    </w:p>
    <w:p>
      <w:pPr>
        <w:pStyle w:val="RKHeading2"/>
        <w:spacing w:before="60" w:after="20"/>
      </w:pPr>
      <w:r>
        <w:t>The real innovation: a machinery-service market.</w:t>
      </w:r>
    </w:p>
    <w:p>
      <w:pPr>
        <w:spacing w:line="264" w:lineRule="auto" w:after="40"/>
      </w:pPr>
      <w:r>
        <w:t>The Scaling Solution seeks to move rice transplanting from manual labor and episodic subsidized machine distribution toward a functioning service economy. Bangladesh plants roughly 11 million hectares of rice annually, while only a small share is mechanically transplanted. The technical machine is well known; the scaling challenge is not to prove that a transplanter can place seedlings. It is to make mechanical transplanting available as a dependable commercial service to millions of small farmers who cannot and should not own the asset. The economically meaningful enterprise is the MSP, which aggregates many small plots, schedules work, manages operators and transport, and charges by the bigha or hectare.</w:t>
      </w:r>
    </w:p>
    <w:p>
      <w:pPr>
        <w:pStyle w:val="RKHeading2"/>
        <w:spacing w:before="60" w:after="20"/>
      </w:pPr>
      <w:r>
        <w:t>The minimum viable bundle.</w:t>
      </w:r>
    </w:p>
    <w:p>
      <w:pPr>
        <w:spacing w:line="264" w:lineRule="auto" w:after="40"/>
      </w:pPr>
      <w:r>
        <w:t>Rice transplanting is more coordination-intensive than many other machinery services. The machine requires young and uniform mat or tray seedlings, appropriately puddled and level fields, suitable water depth, a trained operator, transport, advance scheduling and rapid repair. The minimum bundle is therefore a suitable machine in the hands of an accountable MSP; enough geographically concentrated, paying farmer demand; a reliable way to produce the varieties and quantities of seedlings customers want; at least two capable operators or backup capacity; and time-critical access to parts and mechanics. Specialized seedling businesses, digital booking, formal credit and local manufacture may add value, but they are not universal prerequisites at every stage.</w:t>
      </w:r>
    </w:p>
    <w:p>
      <w:pPr>
        <w:pStyle w:val="RKHeading1"/>
        <w:spacing w:before="120" w:after="40"/>
      </w:pPr>
      <w:r>
        <w:t>2. Implementation and Evidence to Date</w:t>
      </w:r>
    </w:p>
    <w:p>
      <w:pPr>
        <w:pStyle w:val="RKHeading2"/>
        <w:spacing w:before="60" w:after="20"/>
      </w:pPr>
      <w:r>
        <w:t>A large but heterogeneous footprint.</w:t>
      </w:r>
    </w:p>
    <w:p>
      <w:pPr>
        <w:spacing w:line="264" w:lineRule="auto" w:after="40"/>
      </w:pPr>
      <w:r>
        <w:t>The work now extends to more than 20 districts through three CIMMYT field offices and partnerships with DAE, BRRI, IRRI, companies and dealers. The implementation team reported 298 machines providing services against an original commitment to activate 200, from a government-listed stock of roughly 1,500 machines. It had reached approximately 30,000 farmers and expected about 6,000 to try the service, while approximately 151 events were co-designed with seven machinery companies. These figures show substantial activity. They do not yet show market depth, because a farmer may try one bigha and an active machine may still service too little area to cover its costs.</w:t>
      </w:r>
    </w:p>
    <w:p>
      <w:pPr>
        <w:pStyle w:val="RKHeading2"/>
        <w:spacing w:before="60" w:after="20"/>
      </w:pPr>
      <w:r>
        <w:t>Agronomic and farmer evidence.</w:t>
      </w:r>
    </w:p>
    <w:p>
      <w:pPr>
        <w:spacing w:line="264" w:lineRule="auto" w:after="40"/>
      </w:pPr>
      <w:r>
        <w:t>The agronomic case requires little further emphasis. Farmers described enormous labor and time savings: about three bigha transplanted in two machine-hours compared with roughly fifteen labor-days, and service charges near Tk 1,000 per bigha compared with Tk 2,500–2,750 in labor alone. Timely planting can also protect yield and the next crop. The more persuasive evidence is behavioral. Farmers commonly begin on part of their land, compare the result with manual transplanting and expand in later seasons. Some had used the service for three consecutive seasons; others who had only observed neighboring fields intended to adopt. Demand was sometimes greater than the available machine and seedlings.</w:t>
      </w:r>
    </w:p>
    <w:p>
      <w:pPr>
        <w:pStyle w:val="RKHeading2"/>
        <w:spacing w:before="60" w:after="20"/>
      </w:pPr>
      <w:r>
        <w:t>A differentiated MSP business case.</w:t>
      </w:r>
    </w:p>
    <w:p>
      <w:pPr>
        <w:spacing w:line="264" w:lineRule="auto" w:after="40"/>
      </w:pPr>
      <w:r>
        <w:t>The fieldwork revealed both commercially credible enterprises and stranded assets. Two women MSPs reported progress from about 30–35 bigha in the first year to 60 and then planned 140–150 bigha. A mature Faridpur enterprise operated four machines over approximately 1,300–1,500 bigha, exceeding 300 bigha per machine, and faced more demand than it could serve. Other operators considered 150–200 bigha a realistic seasonal ceiling because rain, travel, field readiness and downtime reduce theoretical capacity. One machine lost seven days waiting for a part. These differences explain why a machine bought second-hand for Tk 180,000 can be attractive while a new Tk 300,000–500,000 machine in an immature market cannot repay itself.</w:t>
      </w:r>
    </w:p>
    <w:p>
      <w:pPr>
        <w:pStyle w:val="RKHeading2"/>
        <w:spacing w:before="60" w:after="20"/>
      </w:pPr>
      <w:r>
        <w:t>Seedling businesses: evidence and limits.</w:t>
      </w:r>
    </w:p>
    <w:p>
      <w:pPr>
        <w:spacing w:line="264" w:lineRule="auto" w:after="40"/>
      </w:pPr>
      <w:r>
        <w:t>Seedlings can be profitable, but the evidence supports multiple models. One household produced seedlings for roughly 300 bigha as part of a family transplanting business. Other entrepreneurs expanded from about 10 to 20–25 and then 50 bigha. An interpreted calculation suggested a gross margin near 50 percent, although family labor, saved seed and home-produced compost were incompletely costed. Trays may last many years but require far more upfront cash than polythene sheets, and demand varies by season and variety. Seedlings are therefore a real business opportunity after orders become predictable, not proof that every targeted village can immediately sustain an independent enterprise.</w:t>
      </w:r>
    </w:p>
    <w:p>
      <w:pPr>
        <w:pStyle w:val="RKHeading1"/>
        <w:spacing w:before="120" w:after="40"/>
      </w:pPr>
      <w:r>
        <w:t>3. Scaling Ambition</w:t>
      </w:r>
    </w:p>
    <w:p>
      <w:pPr>
        <w:pStyle w:val="RKHeading2"/>
        <w:spacing w:before="60" w:after="20"/>
      </w:pPr>
      <w:r>
        <w:t>From national headline to local conversion.</w:t>
      </w:r>
    </w:p>
    <w:p>
      <w:pPr>
        <w:spacing w:line="264" w:lineRule="auto" w:after="40"/>
      </w:pPr>
      <w:r>
        <w:t>The original ambition is framed through machines activated, districts covered and farmers reached. These indicators are useful for program management but insufficient for a scaling ambition. A credible ambition must describe the conversion pathway: machines listed, technically functional machines, machines held by accountable owners, active MSPs, paid area per machine, farmers trying the service, repeat users, area expansion, new machines purchased at declining subsidy, company investment and eventual commercial handoff. The denominator should be suitable rice area within a service radius, not the whole country.</w:t>
      </w:r>
    </w:p>
    <w:p>
      <w:pPr>
        <w:pStyle w:val="RKHeading2"/>
        <w:spacing w:before="60" w:after="20"/>
      </w:pPr>
      <w:r>
        <w:t>The inflection point.</w:t>
      </w:r>
    </w:p>
    <w:p>
      <w:pPr>
        <w:spacing w:line="264" w:lineRule="auto" w:after="40"/>
      </w:pPr>
      <w:r>
        <w:t>The strategic goal should be to bring selected local markets to an inflection point at which adoption no longer depends primarily on CIMMYT or DAE. In the coaching discussion, machinery companies suggested that roughly 10–15 percent market penetration can be enough to justify stronger commercial investment. The exact threshold should be tested rather than treated as doctrine, but the principle is sound. Evidence of transition would include farmers seeking services without project recruitment, successful MSPs buying second machines, neighboring entrepreneurs entering, dealers stocking parts and companies financing their own promotion. A thousand dispersed trial users may be less significant than one cluster where these behaviors begin.</w:t>
      </w:r>
    </w:p>
    <w:p>
      <w:pPr>
        <w:pStyle w:val="RKHeading2"/>
        <w:spacing w:before="60" w:after="20"/>
      </w:pPr>
      <w:r>
        <w:t>A geographically differentiated ambition.</w:t>
      </w:r>
    </w:p>
    <w:p>
      <w:pPr>
        <w:spacing w:line="264" w:lineRule="auto" w:after="40"/>
      </w:pPr>
      <w:r>
        <w:t>Bangladesh’s rice economy is too diverse for one national pathway. Aman, Boro and Aus opportunities vary; jute or onion may compete with rice; water depth and low-lying fields affect walk-behind machines; labor scarcity and wage rates differ; and service seasons range from a few weeks to more than two months. The ambition should therefore be a portfolio of local adoption curves. Some upazilas are early demand-creation sites, others are emerging service markets, a few are ready for company handoff, and some are unsuitable. Success is movement along the appropriate curve, not identical activity everywhere.</w:t>
      </w:r>
    </w:p>
    <w:p>
      <w:pPr>
        <w:pStyle w:val="RKHeading1"/>
        <w:spacing w:before="120" w:after="40"/>
      </w:pPr>
      <w:r>
        <w:t>4. Key Actors, Roles and Incentives</w:t>
      </w:r>
    </w:p>
    <w:p>
      <w:pPr>
        <w:pStyle w:val="RKHeading2"/>
        <w:spacing w:before="60" w:after="20"/>
      </w:pPr>
      <w:r>
        <w:t>Farmers: users who minimize risk.</w:t>
      </w:r>
    </w:p>
    <w:p>
      <w:pPr>
        <w:spacing w:line="264" w:lineRule="auto" w:after="40"/>
      </w:pPr>
      <w:r>
        <w:t>Farmers capture the immediate value through lower cost, less labor and timely planting, but they do not adopt on a spreadsheet alone. They reduce risk by trying a small area and watching neighbors. Their behavior explains why repeated visible use is more important than a one-day demonstration. Farmers also want reliability: the correct variety, seedlings ready on the promised date and a machine arriving before the planting window closes. The scaling strategy must therefore sell a dependable outcome rather than a machine technology.</w:t>
      </w:r>
    </w:p>
    <w:p>
      <w:pPr>
        <w:pStyle w:val="RKHeading2"/>
        <w:spacing w:before="60" w:after="20"/>
      </w:pPr>
      <w:r>
        <w:t>MSPs: the local market drivers.</w:t>
      </w:r>
    </w:p>
    <w:p>
      <w:pPr>
        <w:spacing w:line="264" w:lineRule="auto" w:after="40"/>
      </w:pPr>
      <w:r>
        <w:t>Capable MSPs are the actors most likely to drive local diffusion. They have a direct incentive to recruit customers, organize seedlings and maintain quality, but only when utilization covers the asset, labor, transport, repair and financing. Existing multi-machine service providers and larger commercial farmers are stronger early owners than informal groups assembled to receive subsidies. Successful MSPs also create the most persuasive evidence for other entrepreneurs. Their spontaneous purchase of a second machine is a more meaningful scaling result than a subsidized first purchase.</w:t>
      </w:r>
    </w:p>
    <w:p>
      <w:pPr>
        <w:pStyle w:val="RKHeading2"/>
        <w:spacing w:before="60" w:after="20"/>
      </w:pPr>
      <w:r>
        <w:t>Seedling suppliers: integrated first, specialized later.</w:t>
      </w:r>
    </w:p>
    <w:p>
      <w:pPr>
        <w:spacing w:line="264" w:lineRule="auto" w:after="40"/>
      </w:pPr>
      <w:r>
        <w:t>MSP households, farmers and independent entrepreneurs can all provide seedlings. The correct actor depends on market stage. Integrated production lowers transaction and scheduling risk during early adoption. Specialized seedling suppliers gain an advantage when multiple machines and predictable bookings justify scale, staggered batches and investment in trays or seeding equipment. Women can participate substantially, particularly through family and group enterprises, but inclusion will be durable only where income and demand are real rather than protected indefinitely by project procurement.</w:t>
      </w:r>
    </w:p>
    <w:p>
      <w:pPr>
        <w:pStyle w:val="RKHeading2"/>
        <w:spacing w:before="60" w:after="20"/>
      </w:pPr>
      <w:r>
        <w:t>Companies, dealers and mechanics: commercial followers before leaders.</w:t>
      </w:r>
    </w:p>
    <w:p>
      <w:pPr>
        <w:spacing w:line="264" w:lineRule="auto" w:after="40"/>
      </w:pPr>
      <w:r>
        <w:t>Machinery firms gain from sales, parts and service, yet their current incentives favor combine harvesters, which produce higher margins and immediate revenue for buyers. Rice-transplanter promotion also benefits competitors, so companies rationally underinvest before the market reaches scale. Dealers and mechanics have stronger local incentives when machine density is high enough to justify parts inventory and rapid response. Their role should expand as CIMMYT creates market density, with explicit co-investment and service standards rather than general partnership language.</w:t>
      </w:r>
    </w:p>
    <w:p>
      <w:pPr>
        <w:pStyle w:val="RKHeading2"/>
        <w:spacing w:before="60" w:after="20"/>
      </w:pPr>
      <w:r>
        <w:t>DAE and public institutions: public goods, policy and political economy.</w:t>
      </w:r>
    </w:p>
    <w:p>
      <w:pPr>
        <w:spacing w:line="264" w:lineRule="auto" w:after="40"/>
      </w:pPr>
      <w:r>
        <w:t>DAE has national reach, legitimacy and a mandate to promote mechanization, but its historic instrument—subsidized allocation to informal groups—has often produced assets without ownership, marketing or repair. DAE should support targeted extension, synchronized field preparation where useful, operator training, information, subsidy reform and policy coordination. BRRI and IRRI can provide technical support on machinery and seedlings. Government actors must remain involved, including where their preferred geography or varieties differ from commercial targeting, but the project should negotiate overlap rather than allow political coverage to define the entire strategy.</w:t>
      </w:r>
    </w:p>
    <w:p>
      <w:pPr>
        <w:pStyle w:val="RKHeading2"/>
        <w:spacing w:before="60" w:after="20"/>
      </w:pPr>
      <w:r>
        <w:t>Finance providers: enabling rather than driving demand.</w:t>
      </w:r>
    </w:p>
    <w:p>
      <w:pPr>
        <w:spacing w:line="264" w:lineRule="auto" w:after="40"/>
      </w:pPr>
      <w:r>
        <w:t>MFIs and finance facilitators described products ranging from one- to three-year loans with service charges from roughly 7.5 to 24 percent, while an asset-backed model offered seasonal repayment and a longer term. This confirms that finance can be designed, but also exposes a mismatch where machine payback may take several years. Credit cannot rescue a machine with no customers. The first task is to establish credible bookings and utilization; the second is to match repayment to seasonal cash flow and use the machine or other assets as security. Finance should follow evidence of a business, not substitute for it.</w:t>
      </w:r>
    </w:p>
    <w:p>
      <w:pPr>
        <w:pStyle w:val="RKHeading2"/>
        <w:spacing w:before="60" w:after="20"/>
      </w:pPr>
      <w:r>
        <w:t>CIMMYT: temporary system integrator.</w:t>
      </w:r>
    </w:p>
    <w:p>
      <w:pPr>
        <w:spacing w:line="264" w:lineRule="auto" w:after="40"/>
      </w:pPr>
      <w:r>
        <w:t>CIMMYT currently links actors that otherwise do not coordinate: DAE identifies locations and farmers; companies train operators and provide parts; MSPs seek customers; seedling producers manage a perishable input; and finance actors assess risk. This is valuable transition work. It is also the main sustainability risk. CIMMYT must define how each function moves to an actor with a continuing incentive. There is no need for one organization to manage the entire mature market, but there must be a credible division of labor after project finance declines.</w:t>
      </w:r>
    </w:p>
    <w:p>
      <w:pPr>
        <w:pStyle w:val="RKHeading1"/>
        <w:spacing w:before="120" w:after="40"/>
      </w:pPr>
      <w:r>
        <w:t>5. What the Field Evidence Says About the Scaling Pathway</w:t>
      </w:r>
    </w:p>
    <w:p>
      <w:pPr>
        <w:pStyle w:val="RKHeading2"/>
        <w:spacing w:before="60" w:after="20"/>
      </w:pPr>
      <w:r>
        <w:t>The pathway is credible but not yet self-propelling.</w:t>
      </w:r>
    </w:p>
    <w:p>
      <w:pPr>
        <w:spacing w:line="264" w:lineRule="auto" w:after="40"/>
      </w:pPr>
      <w:r>
        <w:t>The field evidence supports the project’s basic theory: farmer value can generate repeat demand, and repeat demand can produce profitable MSPs. The strongest cases demonstrate the full causal chain from observation to trial, repeat use, area expansion, capacity pressure and additional machine demand. The pathway is therefore not speculative. It is incomplete because those cases coexist with many inactive machines, thin markets and project-led coordination. CIMMYT has shown that a market can be created; it has not yet shown that the market will reproduce itself across locations without continued facilitation.</w:t>
      </w:r>
    </w:p>
    <w:p>
      <w:pPr>
        <w:pStyle w:val="RKHeading2"/>
        <w:spacing w:before="60" w:after="20"/>
      </w:pPr>
      <w:r>
        <w:t>The bottleneck changes by stage.</w:t>
      </w:r>
    </w:p>
    <w:p>
      <w:pPr>
        <w:spacing w:line="264" w:lineRule="auto" w:after="40"/>
      </w:pPr>
      <w:r>
        <w:t>The fieldwork does not validate a single national list of bottlenecks. In an immature cluster, the first constraint is concentrated farmer demand and a viable owner. Repairs are irrelevant if the machine never works, and an independent seedling business is premature. In an emerging cluster, coordination of varieties, bookings, seedlings, field preparation and operators limits growth. In a mature cluster, the binding constraints become parts, mechanics, operator retention, additional machine finance and company supply. This stage logic should replace the tendency to fund every component everywhere.</w:t>
      </w:r>
    </w:p>
    <w:p>
      <w:pPr>
        <w:pStyle w:val="RKHeading2"/>
        <w:spacing w:before="60" w:after="20"/>
      </w:pPr>
      <w:r>
        <w:t>The weakest links.</w:t>
      </w:r>
    </w:p>
    <w:p>
      <w:pPr>
        <w:spacing w:line="264" w:lineRule="auto" w:after="40"/>
      </w:pPr>
      <w:r>
        <w:t>The immediate weakest link in early markets is the combination of thin demand and weak ownership. The structural weakest link once demand grows is service reliability—especially repairs, parts and operators—because a breakdown destroys revenue and farmer confidence in a narrow window. Seedlings are an essential link but not uniformly the weakest: some successful MSPs produce them, some farmers can do so, and specialized businesses already operate in stronger areas. The final weak link is commercial handoff. Until firms invest their own resources and MSPs enter without project recruitment, the pathway remains transitional.</w:t>
      </w:r>
    </w:p>
    <w:p>
      <w:pPr>
        <w:pStyle w:val="RKHeading2"/>
        <w:spacing w:before="60" w:after="20"/>
      </w:pPr>
      <w:r>
        <w:t>Reality versus the theory of subsidy-led mechanization.</w:t>
      </w:r>
    </w:p>
    <w:p>
      <w:pPr>
        <w:spacing w:line="264" w:lineRule="auto" w:after="40"/>
      </w:pPr>
      <w:r>
        <w:t>The government theory was that distributing machines would create mechanization. The evidence shows that ownership without demand, accountability and service support can create idle assets. The contrast with combine harvesters is decisive: firms continue to sell far more expensive combines without subsidy because owners can earn immediately and farmers already demand the service. Rice transplanters need a slower market-formation pathway. Subsidy can reduce early risk, but only when tied to an entrepreneur and verified service, not used as evidence that demand exists.</w:t>
      </w:r>
    </w:p>
    <w:p>
      <w:pPr>
        <w:pStyle w:val="RKHeading1"/>
        <w:spacing w:before="120" w:after="40"/>
      </w:pPr>
      <w:r>
        <w:t>6. Weaknesses, Bottlenecks and Strategic Tradeoffs</w:t>
      </w:r>
    </w:p>
    <w:p>
      <w:pPr>
        <w:pStyle w:val="RKHeading2"/>
        <w:spacing w:before="60" w:after="20"/>
      </w:pPr>
      <w:r>
        <w:t>Depth versus breadth.</w:t>
      </w:r>
    </w:p>
    <w:p>
      <w:pPr>
        <w:spacing w:line="264" w:lineRule="auto" w:after="40"/>
      </w:pPr>
      <w:r>
        <w:t>The national footprint creates visibility and reporting numbers but spreads effort across markets at different stages. Because farmer behavior may require repeated exposure over several seasons, S4I should accept fewer locations in exchange for evidence of market transition. DAE can sustain broad awareness while S4I finances deeper work in selected clusters.</w:t>
      </w:r>
    </w:p>
    <w:p>
      <w:pPr>
        <w:pStyle w:val="RKHeading2"/>
        <w:spacing w:before="60" w:after="20"/>
      </w:pPr>
      <w:r>
        <w:t>Integrated versus specialized seedlings.</w:t>
      </w:r>
    </w:p>
    <w:p>
      <w:pPr>
        <w:spacing w:line="264" w:lineRule="auto" w:after="40"/>
      </w:pPr>
      <w:r>
        <w:t>An integrated MSP-family model is often scalable initially because it internalizes coordination; a specialized nursery is efficient but fragile without orders. CIMMYT should use minimum-complexity arrangements early and promote specialization only when demand density and bookings reduce risk. Guarantees should accelerate, not conceal, viability.</w:t>
      </w:r>
    </w:p>
    <w:p>
      <w:pPr>
        <w:pStyle w:val="RKHeading2"/>
        <w:spacing w:before="60" w:after="20"/>
      </w:pPr>
      <w:r>
        <w:t>Affordable machines versus reliable machines.</w:t>
      </w:r>
    </w:p>
    <w:p>
      <w:pPr>
        <w:spacing w:line="264" w:lineRule="auto" w:after="40"/>
      </w:pPr>
      <w:r>
        <w:t>Lower-cost assembly and temporary duty relief could improve economics, but some cheaper machines have quality and parts problems. A low purchase price with high downtime can cost more than a reliable imported model. Support performance testing, serviceability and parts commonality—not the lowest sticker price.</w:t>
      </w:r>
    </w:p>
    <w:p>
      <w:pPr>
        <w:pStyle w:val="RKHeading2"/>
        <w:spacing w:before="60" w:after="20"/>
      </w:pPr>
      <w:r>
        <w:t>Early numbers versus durable change.</w:t>
      </w:r>
    </w:p>
    <w:p>
      <w:pPr>
        <w:spacing w:line="264" w:lineRule="auto" w:after="40"/>
      </w:pPr>
      <w:r>
        <w:t>S4I needs near-term reach while this market may require several seasons. The answer is better metrics: hectares serviced commercially, repeat customers, utilization, uptime, enterprise margin, private spending and spontaneous purchases. These show progress without sacrificing durable market formation.</w:t>
      </w:r>
    </w:p>
    <w:p>
      <w:pPr>
        <w:pStyle w:val="RKHeading2"/>
        <w:spacing w:before="60" w:after="20"/>
      </w:pPr>
      <w:r>
        <w:t>Political partnership versus commercial targeting.</w:t>
      </w:r>
    </w:p>
    <w:p>
      <w:pPr>
        <w:spacing w:line="264" w:lineRule="auto" w:after="40"/>
      </w:pPr>
      <w:r>
        <w:t>Public institutions have geographic obligations and preferred varieties that will not always match commercial targeting. CIMMYT should give them meaningful roles and seek overlap while protecting the demand-driven core. A technically optimal target that alienates essential institutions can fail; a politically convenient allocation with no market will also fail.</w:t>
      </w:r>
    </w:p>
    <w:p>
      <w:pPr>
        <w:pStyle w:val="RKHeading1"/>
        <w:spacing w:before="120" w:after="40"/>
      </w:pPr>
      <w:r>
        <w:t>7. Recommendations to the CIMMYT Team</w:t>
      </w:r>
    </w:p>
    <w:p>
      <w:pPr>
        <w:pStyle w:val="RKHeading2"/>
        <w:spacing w:before="60" w:after="20"/>
      </w:pPr>
      <w:r>
        <w:t>1. Rebuild the workplan around local adoption curves.</w:t>
      </w:r>
    </w:p>
    <w:p>
      <w:pPr>
        <w:spacing w:line="264" w:lineRule="auto" w:after="40"/>
      </w:pPr>
      <w:r>
        <w:t>Within the first quarter, classify every current upazila or cluster using the variables identified in the coaching session and assign it to an early, intermediate, advanced or exit category. Set expected seasonal movement for farmer trials, repeat area, machine utilization and private participation. Allocate intensive S4I resources to the highest-potential locations, lighter monitoring to others, and stop supporting locations that repeatedly fail the agreed stage gates.</w:t>
      </w:r>
    </w:p>
    <w:p>
      <w:pPr>
        <w:pStyle w:val="RKHeading2"/>
        <w:spacing w:before="60" w:after="20"/>
      </w:pPr>
      <w:r>
        <w:t>2. Build a verified adoption funnel.</w:t>
      </w:r>
    </w:p>
    <w:p>
      <w:pPr>
        <w:spacing w:line="264" w:lineRule="auto" w:after="40"/>
      </w:pPr>
      <w:r>
        <w:t>For every priority cluster, distinguish awareness, first paid or subsidized trial, repeat use, expansion of area, full commercial payment and referral. Record the number and area of farmers not served because of seedling, machine or scheduling shortages. This will reveal whether the constraint is lack of demand or lack of supply and prevent reported reach from obscuring a weak service market.</w:t>
      </w:r>
    </w:p>
    <w:p>
      <w:pPr>
        <w:pStyle w:val="RKHeading2"/>
        <w:spacing w:before="60" w:after="20"/>
      </w:pPr>
      <w:r>
        <w:t>3. Experiment with demand creation.</w:t>
      </w:r>
    </w:p>
    <w:p>
      <w:pPr>
        <w:spacing w:line="264" w:lineRule="auto" w:after="40"/>
      </w:pPr>
      <w:r>
        <w:t>Randomize or otherwise compare demonstration scale and placement, targeted larger farmers, referral coupons, introductory prices, dealer-led marketing and social-network approaches. Make one-time subsidies transparent so farmers do not wait for free service. Evaluate cost per repeat commercial bigha rather than cost per person exposed. Private partners should co-finance the approaches they expect eventually to use.</w:t>
      </w:r>
    </w:p>
    <w:p>
      <w:pPr>
        <w:pStyle w:val="RKHeading2"/>
        <w:spacing w:before="60" w:after="20"/>
      </w:pPr>
      <w:r>
        <w:t>4. Triage the machine stock.</w:t>
      </w:r>
    </w:p>
    <w:p>
      <w:pPr>
        <w:spacing w:line="264" w:lineRule="auto" w:after="40"/>
      </w:pPr>
      <w:r>
        <w:t>Develop a due-diligence scorecard for owner responsibility, machine condition, service territory, bookings, seedling plan, operator availability and repair access. Repair only where the package is plausible. Negotiate with DAE a transparent process for transferring machines from inactive groups or unsuitable owners to demonstrated entrepreneurs, including second-hand sales or leases. Do not let sunk public investment dictate future spending.</w:t>
      </w:r>
    </w:p>
    <w:p>
      <w:pPr>
        <w:pStyle w:val="RKHeading2"/>
        <w:spacing w:before="60" w:after="20"/>
      </w:pPr>
      <w:r>
        <w:t>5. Operationalize stage-specific seedlings.</w:t>
      </w:r>
    </w:p>
    <w:p>
      <w:pPr>
        <w:spacing w:line="264" w:lineRule="auto" w:after="40"/>
      </w:pPr>
      <w:r>
        <w:t>In early clusters, support MSP or farmer production using existing varieties and low-cost methods. Where independent enterprises are tested, require advance orders and define who bears loss from unsold seedlings. In stronger markets, facilitate specialization, tray finance and commercial seeding equipment. Measure margins including family labor and inputs so that women’s enterprises are judged as businesses, not only as participation outputs.</w:t>
      </w:r>
    </w:p>
    <w:p>
      <w:pPr>
        <w:pStyle w:val="RKHeading2"/>
        <w:spacing w:before="60" w:after="20"/>
      </w:pPr>
      <w:r>
        <w:t>6. Make uptime a partnership obligation.</w:t>
      </w:r>
    </w:p>
    <w:p>
      <w:pPr>
        <w:spacing w:line="264" w:lineRule="auto" w:after="40"/>
      </w:pPr>
      <w:r>
        <w:t>Agree with each machinery company on cluster-specific parts lists, local stocking points, trained mechanics, warranty and maximum response time. Track downtime per machine and publish performance to MSPs. CIMMYT should share demand forecasts and broker the initial arrangement; companies should progressively pay for inventory and service because after-sales performance protects their brand and future sales.</w:t>
      </w:r>
    </w:p>
    <w:p>
      <w:pPr>
        <w:pStyle w:val="RKHeading2"/>
        <w:spacing w:before="60" w:after="20"/>
      </w:pPr>
      <w:r>
        <w:t>7. Sequence price, subsidy and finance reforms.</w:t>
      </w:r>
    </w:p>
    <w:p>
      <w:pPr>
        <w:spacing w:line="264" w:lineRule="auto" w:after="40"/>
      </w:pPr>
      <w:r>
        <w:t>Use current market data to model economics at full price, second-hand price, local-assembly price and different utilization levels. Advocate temporary duty relief where it accelerates critical mass, while supporting credible domestic assembly and quality testing. Design any future subsidy as a staged payment linked to verified hectares and customers over multiple seasons. Offer finance only after due diligence, with seasonal repayment and terms that match realistic payback.</w:t>
      </w:r>
    </w:p>
    <w:p>
      <w:pPr>
        <w:pStyle w:val="RKHeading2"/>
        <w:spacing w:before="60" w:after="20"/>
      </w:pPr>
      <w:r>
        <w:t>8. Define the commercial handoff contract.</w:t>
      </w:r>
    </w:p>
    <w:p>
      <w:pPr>
        <w:spacing w:line="264" w:lineRule="auto" w:after="40"/>
      </w:pPr>
      <w:r>
        <w:t>For each advanced cluster, specify the date or threshold at which CIMMYT stops financing demonstrations, company staff take over promotion and service, MSPs manage bookings and referrals, and DAE confines itself to public functions. Require written contributions and named responsibilities. The handoff is achieved when behavior changes, not when an MOU is signed.</w:t>
      </w:r>
    </w:p>
    <w:p>
      <w:pPr>
        <w:pStyle w:val="RKHeading2"/>
        <w:spacing w:before="60" w:after="20"/>
      </w:pPr>
      <w:r>
        <w:t>9. Preserve the focus.</w:t>
      </w:r>
    </w:p>
    <w:p>
      <w:pPr>
        <w:spacing w:line="264" w:lineRule="auto" w:after="40"/>
      </w:pPr>
      <w:r>
        <w:t>Do not expand into multiple new machinery types merely to create larger headline numbers. An additional machine may be appropriate where it uses the same MSPs, dealers and service infrastructure and is already commercially proven, but it should be selected carefully. The rice-transplanter work is valuable precisely because it allows CIMMYT to learn how a difficult service market crosses the coordination gap.</w:t>
      </w:r>
    </w:p>
    <w:p>
      <w:pPr>
        <w:pStyle w:val="RKHeading1"/>
        <w:spacing w:before="120" w:after="40"/>
      </w:pPr>
      <w:r>
        <w:t>8. Assessment of the IPSR Results</w:t>
      </w:r>
    </w:p>
    <w:p>
      <w:pPr>
        <w:pStyle w:val="RKHeading2"/>
        <w:spacing w:before="60" w:after="20"/>
      </w:pPr>
      <w:r>
        <w:t>Broad alignment, weak diagnostic power.</w:t>
      </w:r>
    </w:p>
    <w:p>
      <w:pPr>
        <w:spacing w:line="264" w:lineRule="auto" w:after="40"/>
      </w:pPr>
      <w:r>
        <w:t>The short IPSR bottleneck analysis was not used as the primary basis for this assessment. It identifies finance, mat seedlings, coordination, parts, farmer trust, capacity, policy implementation and inclusion. That breadth is directionally reasonable and confirms that the technology itself is not the principal bottleneck. It does not provide strong evidence for the ranking. Readiness and use scores appear to be workshop judgments, and several categories combine problems that the fieldwork showed to be distinct and stage-dependent.</w:t>
      </w:r>
    </w:p>
    <w:p>
      <w:pPr>
        <w:pStyle w:val="RKHeading2"/>
        <w:spacing w:before="60" w:after="20"/>
      </w:pPr>
      <w:r>
        <w:t>Where IPSR diverges from the field.</w:t>
      </w:r>
    </w:p>
    <w:p>
      <w:pPr>
        <w:spacing w:line="264" w:lineRule="auto" w:after="40"/>
      </w:pPr>
      <w:r>
        <w:t>IPSR ranks finance among the most critical constraints. The coaching and market evidence suggest a different sequence. Firms sell combines costing many times more because demand and utilization are clear, while rice-transplanter inquiries and sales remain weak. Finance matters after a credible MSP business exists; it is not the main explanation for an idle machine with no customers. IPSR also treats commercial seedling enterprises as the natural answer, whereas the fieldwork found that integrated MSP or farmer production may be more viable initially. These differences illustrate why a workshop inventory cannot replace field validation.</w:t>
      </w:r>
    </w:p>
    <w:p>
      <w:pPr>
        <w:pStyle w:val="RKHeading2"/>
        <w:spacing w:before="60" w:after="20"/>
      </w:pPr>
      <w:r>
        <w:t>How IPSR should improve.</w:t>
      </w:r>
    </w:p>
    <w:p>
      <w:pPr>
        <w:spacing w:line="264" w:lineRule="auto" w:after="40"/>
      </w:pPr>
      <w:r>
        <w:t>Future IPSR work should start with differentiated local pathways and ask which constraint is binding at each stage. Scores should be supported by observed behavior: paid area, repeat use, machine uptime, parts response, private investment, loan performance and actual owner accountability. The process should distinguish technical readiness from commercial and institutional readiness, identify who pays and who acts, and end with stage gates and activities that should not be funded. Its value is greatest when it generates testable hypotheses before fieldwork, not when its matrix is treated as a validated diagnosis.</w:t>
      </w:r>
    </w:p>
    <w:p>
      <w:pPr>
        <w:pStyle w:val="RKHeading1"/>
        <w:spacing w:before="120" w:after="40"/>
      </w:pPr>
      <w:r>
        <w:t>9. Recommendation for S4I Funding in 2027</w:t>
      </w:r>
    </w:p>
    <w:p>
      <w:pPr>
        <w:pStyle w:val="RKHeading2"/>
        <w:spacing w:before="60" w:after="20"/>
      </w:pPr>
      <w:r>
        <w:t>Continue support with a different center of gravity.</w:t>
      </w:r>
    </w:p>
    <w:p>
      <w:pPr>
        <w:spacing w:line="264" w:lineRule="auto" w:after="40"/>
      </w:pPr>
      <w:r>
        <w:t>S4I should fund the Scaling Solution for another year. The project has a real value proposition, credible local businesses, a capable team and a legitimate public-good role. The funding decision should nevertheless be for transition-to-scale rather than national active scaling. The center of gravity should move from dispersed demonstrations and asset activation toward concentrated market density, comparative learning, service reliability and commercial handoff.</w:t>
      </w:r>
    </w:p>
    <w:p>
      <w:pPr>
        <w:pStyle w:val="RKHeading2"/>
        <w:spacing w:before="60" w:after="20"/>
      </w:pPr>
      <w:r>
        <w:t>What should be funded.</w:t>
      </w:r>
    </w:p>
    <w:p>
      <w:pPr>
        <w:spacing w:line="264" w:lineRule="auto" w:after="40"/>
      </w:pPr>
      <w:r>
        <w:t>The 2027 workplan should finance the adoption-curve typology and dashboard; intensive demand experiments in selected clusters; verified rehabilitation, transfer or resale of viable machines; stage-specific seedling arrangements and limited early-risk guarantees; operator and mechanic systems; company commitments on parts, response and promotional co-investment; analysis and advocacy on duties, local assembly and performance-linked subsidy; and MELIA focused on utilization, repeat demand, margins and handoff. These are the functions that no actor will finance adequately at the beginning but that can unlock a market.</w:t>
      </w:r>
    </w:p>
    <w:p>
      <w:pPr>
        <w:pStyle w:val="RKHeading2"/>
        <w:spacing w:before="60" w:after="20"/>
      </w:pPr>
      <w:r>
        <w:t>Expected outcomes and stage gates.</w:t>
      </w:r>
    </w:p>
    <w:p>
      <w:pPr>
        <w:spacing w:line="264" w:lineRule="auto" w:after="40"/>
      </w:pPr>
      <w:r>
        <w:t>By the first-quarter review, priority clusters, baselines, owners and partner obligations should be agreed. By midyear, S4I should see verified paid area per machine, repeat-use data, local repair arrangements, advance seedling bookings and cash or in-kind company contributions. By year-end, several advanced clusters should show movement toward 10–15 percent of the suitable local market, high machine uptime, repeat farmer expansion, private promotion and spontaneous second-machine or new-entrant investment. Results should be reported by cluster and stage, not averaged nationally.</w:t>
      </w:r>
    </w:p>
    <w:p>
      <w:pPr>
        <w:pStyle w:val="RKHeading2"/>
        <w:spacing w:before="60" w:after="20"/>
      </w:pPr>
      <w:r>
        <w:t>What should not be funded.</w:t>
      </w:r>
    </w:p>
    <w:p>
      <w:pPr>
        <w:spacing w:line="264" w:lineRule="auto" w:after="40"/>
      </w:pPr>
      <w:r>
        <w:t>S4I should not finance equal coverage across districts, blanket repair of the 1,500 listed machines, permanent support to informal groups, generalized training without utilization outcomes, stand-alone finance design before demand, or machine subsidies paid entirely at acquisition. Nor should it fund a proliferation of additional machinery merely to increase reach. Failure in a cluster should lead to adaptation or exit, not another year of the same activities.</w:t>
      </w:r>
    </w:p>
    <w:p>
      <w:pPr>
        <w:pStyle w:val="RKHeading1"/>
        <w:spacing w:before="120" w:after="40"/>
      </w:pPr>
      <w:r>
        <w:t>10. Lessons for S4I and CGIAR</w:t>
      </w:r>
    </w:p>
    <w:p>
      <w:pPr>
        <w:pStyle w:val="RKHeading2"/>
        <w:spacing w:before="60" w:after="20"/>
      </w:pPr>
      <w:r>
        <w:t>Scaling is a sequence, not a package checklist.</w:t>
      </w:r>
    </w:p>
    <w:p>
      <w:pPr>
        <w:spacing w:line="264" w:lineRule="auto" w:after="40"/>
      </w:pPr>
      <w:r>
        <w:t>The case demonstrates that complementary innovations do not all become binding at once. Demand, ownership, seedlings, repairs and finance matter in different orders as a market matures. CGIAR should fund stage-appropriate bottleneck resolution rather than require every team to implement the full innovation package simultaneously. Complexity added too early can reduce scalability even when each component is individually useful.</w:t>
      </w:r>
    </w:p>
    <w:p>
      <w:pPr>
        <w:pStyle w:val="RKHeading2"/>
        <w:spacing w:before="60" w:after="20"/>
      </w:pPr>
      <w:r>
        <w:t>Public goods should have an exit condition.</w:t>
      </w:r>
    </w:p>
    <w:p>
      <w:pPr>
        <w:spacing w:line="264" w:lineRule="auto" w:after="40"/>
      </w:pPr>
      <w:r>
        <w:t>CIMMYT’s demand creation and coordination are appropriate precisely because firms cannot capture the initial return. S4I should be willing to fund these functions, but every public-good investment must specify the private or public actor that takes over and the behavioral evidence that triggers withdrawal. Convening without handoff creates dependence, not transformation.</w:t>
      </w:r>
    </w:p>
    <w:p>
      <w:pPr>
        <w:pStyle w:val="RKHeading2"/>
        <w:spacing w:before="60" w:after="20"/>
      </w:pPr>
      <w:r>
        <w:t>Asset distribution is not adoption.</w:t>
      </w:r>
    </w:p>
    <w:p>
      <w:pPr>
        <w:spacing w:line="264" w:lineRule="auto" w:after="40"/>
      </w:pPr>
      <w:r>
        <w:t>The stock of roughly 1,500 rice transplanters is a warning for CGIAR and government. A machine can be technically functional and still have no economic life. Scaling metrics must follow the service: paid area, customers, repetition, uptime and enterprise survival. Similar scrutiny should be applied to seeds distributed, digital users registered, groups formed and people trained across the CGIAR portfolio.</w:t>
      </w:r>
    </w:p>
    <w:p>
      <w:pPr>
        <w:pStyle w:val="RKHeading2"/>
        <w:spacing w:before="60" w:after="20"/>
      </w:pPr>
      <w:r>
        <w:t>Finance is frequently a symptom.</w:t>
      </w:r>
    </w:p>
    <w:p>
      <w:pPr>
        <w:spacing w:line="264" w:lineRule="auto" w:after="40"/>
      </w:pPr>
      <w:r>
        <w:t>Projects often diagnose finance because potential adopters say an asset is expensive. The comparison with combine harvesters shows that entrepreneurs find or create financing when the return is clear. S4I should first test demand, utilization and risk, then finance a viable business on suitable terms. Otherwise credit simply converts a scaling problem into a repayment problem.</w:t>
      </w:r>
    </w:p>
    <w:p>
      <w:pPr>
        <w:pStyle w:val="RKHeading2"/>
        <w:spacing w:before="60" w:after="20"/>
      </w:pPr>
      <w:r>
        <w:t>Field variation is an analytical asset.</w:t>
      </w:r>
    </w:p>
    <w:p>
      <w:pPr>
        <w:spacing w:line="264" w:lineRule="auto" w:after="40"/>
      </w:pPr>
      <w:r>
        <w:t>CIMMYT’s broad footprint becomes valuable if it is used to compare pathways rather than impose uniform delivery. S4I should encourage teams to document why an innovation succeeds in one district and stalls in another, and to identify inflection points, early adopters and handoff thresholds. That is scaling science grounded in implementation, not a generic retrospective narrative.</w:t>
      </w:r>
    </w:p>
    <w:p>
      <w:pPr>
        <w:pStyle w:val="RKHeading2"/>
        <w:spacing w:before="60" w:after="20"/>
      </w:pPr>
      <w:r>
        <w:t>Overall conclusion.</w:t>
      </w:r>
    </w:p>
    <w:p>
      <w:pPr>
        <w:spacing w:line="264" w:lineRule="auto" w:after="40"/>
      </w:pPr>
      <w:r>
        <w:t>The Bangladesh rice-transplanter Scaling Solution is stronger than the earlier draft conveyed because successful MSPs, repeat farmers and viable service markets are real. It is less ready for national scaling than aggregate activity figures imply. The path is to build dense, reliable local markets; learn how they move from trials to commercial takeoff; transfer each function to an actor with incentives; and expand from demonstrated success. A focused 2027 program could become an important S4I example of transformational scaling precisely because the technology is not the hard part—the market formation is.</w:t>
      </w:r>
    </w:p>
    <w:sectPr w:rsidR="00893825">
      <w:headerReference w:type="default" r:id="rId7"/>
      <w:footerReference w:type="default" r:id="rId8"/>
      <w:pgSz w:w="11906" w:h="16838"/>
      <w:pgMar w:top="1440" w:right="1440" w:bottom="1440"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Narrow">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20"/>
      <w:gridCol w:w="3960"/>
      <w:gridCol w:w="2520"/>
    </w:tblGrid>
    <w:tr>
      <w:tc>
        <w:tcPr>
          <w:tcW w:type="dxa" w:w="2520"/>
          <w:vAlign w:val="center"/>
        </w:tcPr>
        <w:p/>
      </w:tc>
      <w:tc>
        <w:tcPr>
          <w:tcW w:type="dxa" w:w="3960"/>
          <w:vAlign w:val="center"/>
        </w:tcPr>
        <w:p>
          <w:pP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separate"/>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separate"/>
            <w:fldChar w:fldCharType="end"/>
          </w:r>
        </w:p>
      </w:tc>
      <w:tc>
        <w:tcPr>
          <w:tcW w:type="dxa" w:w="2520"/>
          <w:vAlign w:val="center"/>
        </w:tcPr>
        <w:p>
          <w:pPr>
            <w:jc w:val="right"/>
          </w:pPr>
          <w:r>
            <w:rPr>
              <w:rFonts w:ascii="Times New Roman" w:hAnsi="Times New Roman"/>
              <w:sz w:val="18"/>
            </w:rPr>
            <w:t>6 August 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20"/>
      <w:gridCol w:w="3960"/>
      <w:gridCol w:w="2520"/>
    </w:tblGrid>
    <w:tr>
      <w:tc>
        <w:tcPr>
          <w:tcW w:type="dxa" w:w="2520"/>
          <w:vAlign w:val="center"/>
        </w:tcPr>
        <w:p/>
      </w:tc>
      <w:tc>
        <w:tcPr>
          <w:tcW w:type="dxa" w:w="3960"/>
          <w:vAlign w:val="center"/>
        </w:tcPr>
        <w:p>
          <w:pP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separate"/>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separate"/>
            <w:fldChar w:fldCharType="end"/>
          </w:r>
        </w:p>
      </w:tc>
      <w:tc>
        <w:tcPr>
          <w:tcW w:type="dxa" w:w="2520"/>
          <w:vAlign w:val="center"/>
        </w:tcPr>
        <w:p>
          <w:pPr>
            <w:jc w:val="right"/>
          </w:pPr>
          <w:r>
            <w:rPr>
              <w:rFonts w:ascii="Times New Roman" w:hAnsi="Times New Roman"/>
              <w:sz w:val="18"/>
            </w:rPr>
            <w:t>6 August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C05EC"/>
    <w:multiLevelType w:val="hybridMultilevel"/>
    <w:tmpl w:val="1B26F99C"/>
    <w:lvl w:ilvl="0" w:tplc="DCA08C5C">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F2977AA"/>
    <w:multiLevelType w:val="multilevel"/>
    <w:tmpl w:val="0C7EA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0A32295"/>
    <w:multiLevelType w:val="hybridMultilevel"/>
    <w:tmpl w:val="FEDCF1B0"/>
    <w:lvl w:ilvl="0" w:tplc="B172DF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593149"/>
    <w:multiLevelType w:val="hybridMultilevel"/>
    <w:tmpl w:val="53BE376A"/>
    <w:lvl w:ilvl="0" w:tplc="E29650CA">
      <w:start w:val="1"/>
      <w:numFmt w:val="upperRoman"/>
      <w:pStyle w:val="Heading1"/>
      <w:lvlText w:val="%1."/>
      <w:lvlJc w:val="right"/>
      <w:pPr>
        <w:ind w:left="720" w:hanging="360"/>
      </w:pPr>
    </w:lvl>
    <w:lvl w:ilvl="1" w:tplc="9E8280D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9407AC"/>
    <w:multiLevelType w:val="multilevel"/>
    <w:tmpl w:val="D2C6B5E4"/>
    <w:lvl w:ilvl="0">
      <w:start w:val="1"/>
      <w:numFmt w:val="upperLetter"/>
      <w:pStyle w:val="Heading2"/>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1EA646F"/>
    <w:multiLevelType w:val="hybridMultilevel"/>
    <w:tmpl w:val="9A8A0D32"/>
    <w:lvl w:ilvl="0" w:tplc="31749D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149766">
    <w:abstractNumId w:val="2"/>
  </w:num>
  <w:num w:numId="2" w16cid:durableId="1114864947">
    <w:abstractNumId w:val="3"/>
  </w:num>
  <w:num w:numId="3" w16cid:durableId="715201231">
    <w:abstractNumId w:val="1"/>
  </w:num>
  <w:num w:numId="4" w16cid:durableId="2092390018">
    <w:abstractNumId w:val="0"/>
  </w:num>
  <w:num w:numId="5" w16cid:durableId="1097167924">
    <w:abstractNumId w:val="3"/>
  </w:num>
  <w:num w:numId="6" w16cid:durableId="762340547">
    <w:abstractNumId w:val="5"/>
  </w:num>
  <w:num w:numId="7" w16cid:durableId="550771691">
    <w:abstractNumId w:val="5"/>
  </w:num>
  <w:num w:numId="8" w16cid:durableId="545946371">
    <w:abstractNumId w:val="5"/>
  </w:num>
  <w:num w:numId="9" w16cid:durableId="2074694757">
    <w:abstractNumId w:val="4"/>
  </w:num>
  <w:num w:numId="10" w16cid:durableId="782070565">
    <w:abstractNumId w:val="4"/>
  </w:num>
  <w:num w:numId="11" w16cid:durableId="1648511129">
    <w:abstractNumId w:val="4"/>
  </w:num>
  <w:num w:numId="12" w16cid:durableId="704410757">
    <w:abstractNumId w:val="4"/>
  </w:num>
  <w:num w:numId="13" w16cid:durableId="675038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9B"/>
    <w:rsid w:val="0001119B"/>
    <w:rsid w:val="000A3C9D"/>
    <w:rsid w:val="00233605"/>
    <w:rsid w:val="00697AB1"/>
    <w:rsid w:val="006D01B5"/>
    <w:rsid w:val="00893825"/>
    <w:rsid w:val="0092774E"/>
    <w:rsid w:val="0093609F"/>
    <w:rsid w:val="009B729C"/>
    <w:rsid w:val="00A573E5"/>
    <w:rsid w:val="00AD50FD"/>
    <w:rsid w:val="00AD6A33"/>
    <w:rsid w:val="00C440B3"/>
    <w:rsid w:val="00CA70CE"/>
    <w:rsid w:val="00D419CE"/>
    <w:rsid w:val="00DB010E"/>
    <w:rsid w:val="00EA6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0524"/>
  <w15:chartTrackingRefBased/>
  <w15:docId w15:val="{B4F855CB-3693-4ABA-A432-41B1E40CC6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Liberation Sans Narrow"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19B"/>
    <w:pPr>
      <w:spacing w:after="80" w:line="264" w:lineRule="auto"/>
      <w:jc w:val="both"/>
    </w:pPr>
    <w:rPr>
      <w:rFonts w:ascii="Times New Roman" w:eastAsia="Times New Roman" w:hAnsi="Times New Roman"/>
      <w:color w:val="000000"/>
      <w:kern w:val="0"/>
      <w:sz w:val="24"/>
      <w:szCs w:val="22"/>
      <w14:ligatures w14:val="none"/>
    </w:rPr>
  </w:style>
  <w:style w:type="paragraph" w:styleId="Heading1">
    <w:name w:val="heading 1"/>
    <w:basedOn w:val="Normal"/>
    <w:next w:val="Normal"/>
    <w:link w:val="Heading1Char"/>
    <w:uiPriority w:val="9"/>
    <w:qFormat/>
    <w:rsid w:val="006D01B5"/>
    <w:pPr>
      <w:keepNext/>
      <w:keepLines/>
      <w:numPr>
        <w:numId w:val="5"/>
      </w:numPr>
      <w:spacing w:before="120" w:after="120"/>
      <w:ind w:left="446"/>
      <w:outlineLvl w:val="0"/>
    </w:pPr>
    <w:rPr>
      <w:rFonts w:ascii="Arial" w:eastAsiaTheme="majorEastAsia" w:hAnsi="Arial" w:cstheme="majorBidi"/>
      <w:b/>
      <w:i/>
      <w:color w:val="000000" w:themeColor="text1"/>
      <w:sz w:val="28"/>
      <w:szCs w:val="40"/>
    </w:rPr>
  </w:style>
  <w:style w:type="paragraph" w:styleId="Heading2">
    <w:name w:val="heading 2"/>
    <w:basedOn w:val="Normal"/>
    <w:next w:val="Normal"/>
    <w:link w:val="Heading2Char"/>
    <w:uiPriority w:val="9"/>
    <w:unhideWhenUsed/>
    <w:qFormat/>
    <w:rsid w:val="006D01B5"/>
    <w:pPr>
      <w:keepNext/>
      <w:keepLines/>
      <w:numPr>
        <w:numId w:val="9"/>
      </w:numPr>
      <w:spacing w:before="120" w:after="120"/>
      <w:outlineLvl w:val="1"/>
    </w:pPr>
    <w:rPr>
      <w:rFonts w:ascii="Arial" w:eastAsiaTheme="majorEastAsia" w:hAnsi="Arial" w:cstheme="majorBidi"/>
      <w:b/>
      <w:bCs/>
      <w:i/>
      <w:color w:val="000000" w:themeColor="text1"/>
      <w:kern w:val="2"/>
      <w:szCs w:val="26"/>
      <w14:ligatures w14:val="standardContextual"/>
    </w:rPr>
  </w:style>
  <w:style w:type="paragraph" w:styleId="Heading3">
    <w:name w:val="heading 3"/>
    <w:basedOn w:val="Normal"/>
    <w:next w:val="Normal"/>
    <w:link w:val="Heading3Char"/>
    <w:uiPriority w:val="9"/>
    <w:semiHidden/>
    <w:unhideWhenUsed/>
    <w:qFormat/>
    <w:rsid w:val="000111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1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11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11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11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11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11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729C"/>
    <w:pPr>
      <w:spacing w:line="240" w:lineRule="auto"/>
      <w:contextualSpacing/>
      <w:jc w:val="center"/>
    </w:pPr>
    <w:rPr>
      <w:rFonts w:asciiTheme="majorHAnsi" w:eastAsiaTheme="majorEastAsia" w:hAnsiTheme="majorHAnsi" w:cstheme="majorBidi"/>
      <w:b/>
      <w:bCs/>
      <w:color w:val="000000" w:themeColor="text1"/>
      <w:spacing w:val="-10"/>
      <w:kern w:val="28"/>
      <w:sz w:val="36"/>
      <w:szCs w:val="36"/>
      <w:u w:val="single"/>
    </w:rPr>
  </w:style>
  <w:style w:type="character" w:customStyle="1" w:styleId="TitleChar">
    <w:name w:val="Title Char"/>
    <w:basedOn w:val="DefaultParagraphFont"/>
    <w:link w:val="Title"/>
    <w:uiPriority w:val="10"/>
    <w:rsid w:val="009B729C"/>
    <w:rPr>
      <w:rFonts w:asciiTheme="majorHAnsi" w:eastAsiaTheme="majorEastAsia" w:hAnsiTheme="majorHAnsi" w:cstheme="majorBidi"/>
      <w:b/>
      <w:bCs/>
      <w:color w:val="000000" w:themeColor="text1"/>
      <w:spacing w:val="-10"/>
      <w:kern w:val="28"/>
      <w:sz w:val="36"/>
      <w:szCs w:val="36"/>
      <w:u w:val="single"/>
    </w:rPr>
  </w:style>
  <w:style w:type="character" w:customStyle="1" w:styleId="Heading2Char">
    <w:name w:val="Heading 2 Char"/>
    <w:basedOn w:val="DefaultParagraphFont"/>
    <w:link w:val="Heading2"/>
    <w:uiPriority w:val="9"/>
    <w:rsid w:val="006D01B5"/>
    <w:rPr>
      <w:rFonts w:ascii="Arial" w:eastAsiaTheme="majorEastAsia" w:hAnsi="Arial" w:cstheme="majorBidi"/>
      <w:b/>
      <w:bCs/>
      <w:i/>
      <w:color w:val="000000" w:themeColor="text1"/>
      <w:szCs w:val="26"/>
    </w:rPr>
  </w:style>
  <w:style w:type="character" w:customStyle="1" w:styleId="Heading1Char">
    <w:name w:val="Heading 1 Char"/>
    <w:basedOn w:val="DefaultParagraphFont"/>
    <w:link w:val="Heading1"/>
    <w:uiPriority w:val="9"/>
    <w:rsid w:val="006D01B5"/>
    <w:rPr>
      <w:rFonts w:ascii="Arial" w:eastAsiaTheme="majorEastAsia" w:hAnsi="Arial" w:cstheme="majorBidi"/>
      <w:b/>
      <w:i/>
      <w:color w:val="000000" w:themeColor="text1"/>
      <w:kern w:val="0"/>
      <w:sz w:val="28"/>
      <w:szCs w:val="40"/>
      <w14:ligatures w14:val="none"/>
    </w:rPr>
  </w:style>
  <w:style w:type="character" w:customStyle="1" w:styleId="Heading3Char">
    <w:name w:val="Heading 3 Char"/>
    <w:basedOn w:val="DefaultParagraphFont"/>
    <w:link w:val="Heading3"/>
    <w:uiPriority w:val="9"/>
    <w:semiHidden/>
    <w:rsid w:val="0001119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1119B"/>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01119B"/>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1119B"/>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01119B"/>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01119B"/>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01119B"/>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0111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9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111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19B"/>
    <w:rPr>
      <w:rFonts w:ascii="Liberation Sans Narrow" w:hAnsi="Liberation Sans Narrow"/>
      <w:i/>
      <w:iCs/>
      <w:color w:val="404040" w:themeColor="text1" w:themeTint="BF"/>
      <w:kern w:val="0"/>
      <w:szCs w:val="22"/>
      <w14:ligatures w14:val="none"/>
    </w:rPr>
  </w:style>
  <w:style w:type="paragraph" w:styleId="ListParagraph">
    <w:name w:val="List Paragraph"/>
    <w:basedOn w:val="Normal"/>
    <w:uiPriority w:val="34"/>
    <w:qFormat/>
    <w:rsid w:val="0001119B"/>
    <w:pPr>
      <w:ind w:left="720"/>
      <w:contextualSpacing/>
    </w:pPr>
  </w:style>
  <w:style w:type="character" w:styleId="IntenseEmphasis">
    <w:name w:val="Intense Emphasis"/>
    <w:basedOn w:val="DefaultParagraphFont"/>
    <w:uiPriority w:val="21"/>
    <w:qFormat/>
    <w:rsid w:val="0001119B"/>
    <w:rPr>
      <w:i/>
      <w:iCs/>
      <w:color w:val="0F4761" w:themeColor="accent1" w:themeShade="BF"/>
    </w:rPr>
  </w:style>
  <w:style w:type="paragraph" w:styleId="IntenseQuote">
    <w:name w:val="Intense Quote"/>
    <w:basedOn w:val="Normal"/>
    <w:next w:val="Normal"/>
    <w:link w:val="IntenseQuoteChar"/>
    <w:uiPriority w:val="30"/>
    <w:qFormat/>
    <w:rsid w:val="00011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19B"/>
    <w:rPr>
      <w:rFonts w:ascii="Liberation Sans Narrow" w:hAnsi="Liberation Sans Narrow"/>
      <w:i/>
      <w:iCs/>
      <w:color w:val="0F4761" w:themeColor="accent1" w:themeShade="BF"/>
      <w:kern w:val="0"/>
      <w:szCs w:val="22"/>
      <w14:ligatures w14:val="none"/>
    </w:rPr>
  </w:style>
  <w:style w:type="character" w:styleId="IntenseReference">
    <w:name w:val="Intense Reference"/>
    <w:basedOn w:val="DefaultParagraphFont"/>
    <w:uiPriority w:val="32"/>
    <w:qFormat/>
    <w:rsid w:val="0001119B"/>
    <w:rPr>
      <w:b/>
      <w:bCs/>
      <w:smallCaps/>
      <w:color w:val="0F4761" w:themeColor="accent1" w:themeShade="BF"/>
      <w:spacing w:val="5"/>
    </w:rPr>
  </w:style>
  <w:style w:type="paragraph" w:customStyle="1" w:styleId="RKHeading1">
    <w:name w:val="RK Heading 1"/>
    <w:basedOn w:val="Normal"/>
    <w:pPr>
      <w:keepNext/>
      <w:spacing w:line="240" w:lineRule="auto" w:before="160" w:after="60"/>
    </w:pPr>
    <w:rPr>
      <w:rFonts w:ascii="Times New Roman" w:hAnsi="Times New Roman" w:eastAsia="Times New Roman"/>
      <w:b/>
      <w:i w:val="0"/>
      <w:sz w:val="24"/>
      <w:u w:val="none"/>
    </w:rPr>
  </w:style>
  <w:style w:type="paragraph" w:customStyle="1" w:styleId="RKHeading2">
    <w:name w:val="RK Heading 2"/>
    <w:basedOn w:val="Normal"/>
    <w:pPr>
      <w:keepNext/>
      <w:spacing w:line="240" w:lineRule="auto" w:before="100" w:after="20"/>
    </w:pPr>
    <w:rPr>
      <w:rFonts w:ascii="Times New Roman" w:hAnsi="Times New Roman" w:eastAsia="Times New Roman"/>
      <w:b/>
      <w:i w:val="0"/>
      <w:sz w:val="24"/>
      <w:u w:val="none"/>
    </w:rPr>
  </w:style>
  <w:style w:type="paragraph" w:customStyle="1" w:styleId="RKBullet">
    <w:name w:val="RK Bullet"/>
    <w:basedOn w:val="Normal"/>
    <w:pPr>
      <w:spacing w:line="240" w:lineRule="auto" w:after="60"/>
      <w:ind w:left="317" w:hanging="259"/>
    </w:pPr>
    <w:rPr>
      <w:rFonts w:ascii="Times New Roman" w:hAnsi="Times New Roman"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Words>
  <Characters>272</Characters>
  <Application>Microsoft Office Word</Application>
  <DocSecurity>0</DocSecurity>
  <Lines>3</Lines>
  <Paragraphs>1</Paragraphs>
  <ScaleCrop>false</ScaleCrop>
  <Company/>
  <LinksUpToDate>false</LinksUpToDate>
  <CharactersWithSpaces>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CIMMYT Bangladesh Rice Transplanter Scaling Assessment and Coaching Recommendations</dc:title>
  <dc:subject>CGIAR Scaling for Impact assessment and 2027 funding recommendation</dc:subject>
  <dc:creator>Dr. Richard Kohl, Strategy and Scale LLC</dc:creator>
  <cp:keywords>CGIAR, S4I, CIMMYT, Bangladesh, rice transplanter, machinery service providers, scaling</cp:keywords>
  <dc:description/>
  <cp:lastModifiedBy>Richard Kohl</cp:lastModifiedBy>
  <cp:revision>2</cp:revision>
  <dcterms:created xsi:type="dcterms:W3CDTF">2026-07-30T14:10:00Z</dcterms:created>
  <dcterms:modified xsi:type="dcterms:W3CDTF">2026-07-30T14:10:00Z</dcterms:modified>
</cp:coreProperties>
</file>