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61A4" w14:textId="77777777" w:rsidR="0054159F" w:rsidRDefault="0054159F">
      <w:pPr>
        <w:spacing w:after="360"/>
        <w:jc w:val="center"/>
      </w:pPr>
    </w:p>
    <w:p w14:paraId="115AAEFE" w14:textId="77777777" w:rsidR="0054159F" w:rsidRDefault="00CD19CB">
      <w:pPr>
        <w:spacing w:after="360"/>
        <w:jc w:val="center"/>
      </w:pPr>
      <w:r>
        <w:rPr>
          <w:b/>
          <w:sz w:val="36"/>
        </w:rPr>
        <w:t>CGIAR Scaling for Impact</w:t>
      </w:r>
    </w:p>
    <w:p w14:paraId="5EF7F4A7" w14:textId="77777777" w:rsidR="0054159F" w:rsidRDefault="00CD19CB">
      <w:pPr>
        <w:spacing w:after="360"/>
        <w:jc w:val="center"/>
      </w:pPr>
      <w:r>
        <w:rPr>
          <w:b/>
          <w:sz w:val="32"/>
          <w:u w:val="single"/>
        </w:rPr>
        <w:t>Scaling Assessment Analysis and Coaching Recommendations</w:t>
      </w:r>
    </w:p>
    <w:p w14:paraId="416A770C" w14:textId="77777777" w:rsidR="00176BC0" w:rsidRDefault="00176BC0">
      <w:pPr>
        <w:spacing w:after="360"/>
        <w:jc w:val="center"/>
        <w:rPr>
          <w:b/>
          <w:i/>
          <w:sz w:val="28"/>
        </w:rPr>
      </w:pPr>
    </w:p>
    <w:p w14:paraId="69719537" w14:textId="4C786293" w:rsidR="0054159F" w:rsidRDefault="00CD19CB">
      <w:pPr>
        <w:spacing w:after="360"/>
        <w:jc w:val="center"/>
      </w:pPr>
      <w:r>
        <w:rPr>
          <w:b/>
          <w:i/>
          <w:sz w:val="28"/>
        </w:rPr>
        <w:t>Scaling Delivery Systems for Improved Fish Genetics and Input Services in Bangladesh</w:t>
      </w:r>
    </w:p>
    <w:p w14:paraId="6E566160" w14:textId="77777777" w:rsidR="00176BC0" w:rsidRDefault="00176BC0">
      <w:pPr>
        <w:spacing w:after="360"/>
        <w:jc w:val="center"/>
        <w:rPr>
          <w:b/>
          <w:i/>
        </w:rPr>
      </w:pPr>
    </w:p>
    <w:p w14:paraId="48F36A28" w14:textId="77777777" w:rsidR="00176BC0" w:rsidRDefault="00176BC0">
      <w:pPr>
        <w:spacing w:after="360"/>
        <w:jc w:val="center"/>
        <w:rPr>
          <w:b/>
          <w:i/>
        </w:rPr>
      </w:pPr>
    </w:p>
    <w:p w14:paraId="4576440F" w14:textId="02E29178" w:rsidR="0054159F" w:rsidRDefault="00CD19CB">
      <w:pPr>
        <w:spacing w:after="360"/>
        <w:jc w:val="center"/>
      </w:pPr>
      <w:r>
        <w:rPr>
          <w:b/>
          <w:i/>
        </w:rPr>
        <w:t>Submitted to the CGIAR Scaling for Impact Team</w:t>
      </w:r>
    </w:p>
    <w:p w14:paraId="4F04FB74" w14:textId="77777777" w:rsidR="00176BC0" w:rsidRDefault="00176BC0">
      <w:pPr>
        <w:spacing w:after="160"/>
        <w:jc w:val="center"/>
      </w:pPr>
    </w:p>
    <w:p w14:paraId="651DCE8F" w14:textId="3D3C57E7" w:rsidR="0054159F" w:rsidRDefault="00CD19CB">
      <w:pPr>
        <w:spacing w:after="160"/>
        <w:jc w:val="center"/>
      </w:pPr>
      <w:proofErr w:type="gramStart"/>
      <w:r>
        <w:t>By</w:t>
      </w:r>
      <w:proofErr w:type="gramEnd"/>
    </w:p>
    <w:p w14:paraId="70DCDD32" w14:textId="77777777" w:rsidR="00176BC0" w:rsidRDefault="00176BC0">
      <w:pPr>
        <w:spacing w:after="360"/>
        <w:jc w:val="center"/>
        <w:rPr>
          <w:b/>
          <w:sz w:val="28"/>
        </w:rPr>
      </w:pPr>
    </w:p>
    <w:p w14:paraId="09DF0967" w14:textId="77777777" w:rsidR="00176BC0" w:rsidRDefault="00176BC0">
      <w:pPr>
        <w:spacing w:after="360"/>
        <w:jc w:val="center"/>
        <w:rPr>
          <w:b/>
          <w:sz w:val="28"/>
        </w:rPr>
      </w:pPr>
    </w:p>
    <w:p w14:paraId="438A3F5B" w14:textId="641EBA54" w:rsidR="0054159F" w:rsidRDefault="00CD19CB">
      <w:pPr>
        <w:spacing w:after="360"/>
        <w:jc w:val="center"/>
      </w:pPr>
      <w:r>
        <w:rPr>
          <w:b/>
          <w:sz w:val="28"/>
        </w:rPr>
        <w:t>Dr. Richard Kohl, Strategy and Scale LLC</w:t>
      </w:r>
    </w:p>
    <w:p w14:paraId="29AD661E" w14:textId="77777777" w:rsidR="0054159F" w:rsidRDefault="00CD19CB">
      <w:pPr>
        <w:spacing w:after="0"/>
        <w:jc w:val="center"/>
      </w:pPr>
      <w:r>
        <w:rPr>
          <w:b/>
          <w:i/>
        </w:rPr>
        <w:t>3 August 2026</w:t>
      </w:r>
    </w:p>
    <w:p w14:paraId="7C33617D" w14:textId="77777777" w:rsidR="0054159F" w:rsidRDefault="00CD19CB">
      <w:r>
        <w:br w:type="page"/>
      </w:r>
    </w:p>
    <w:p w14:paraId="5A2FFB62" w14:textId="77777777" w:rsidR="0054159F" w:rsidRDefault="00CD19CB">
      <w:pPr>
        <w:pStyle w:val="Heading1"/>
      </w:pPr>
      <w:r>
        <w:lastRenderedPageBreak/>
        <w:t>Executive Summary</w:t>
      </w:r>
    </w:p>
    <w:p w14:paraId="7DCBCBEB" w14:textId="4C82E848" w:rsidR="0054159F" w:rsidRDefault="00CD19CB" w:rsidP="00176BC0">
      <w:pPr>
        <w:keepLines/>
        <w:spacing w:line="240" w:lineRule="auto"/>
        <w:ind w:left="90"/>
      </w:pPr>
      <w:r>
        <w:t xml:space="preserve">• </w:t>
      </w:r>
      <w:r>
        <w:rPr>
          <w:b/>
        </w:rPr>
        <w:t xml:space="preserve">Strong technical and market foundation. </w:t>
      </w:r>
      <w:r>
        <w:t>The WorldFish Bangladesh Scaling Solution is one of the more credible opportunities in the S4I portfolio. Improved rohu genetics appear to deliver substantial gains</w:t>
      </w:r>
      <w:r w:rsidR="000B25DA">
        <w:t xml:space="preserve"> (30%)</w:t>
      </w:r>
      <w:r>
        <w:t xml:space="preserve"> without requiring a new production system</w:t>
      </w:r>
      <w:r w:rsidR="00042BA8">
        <w:t xml:space="preserve">.  The seed delivery system is already well in place </w:t>
      </w:r>
      <w:r w:rsidR="000564EC">
        <w:t>needed to move improved seed at scale</w:t>
      </w:r>
      <w:r w:rsidR="000564EC">
        <w:t xml:space="preserve"> </w:t>
      </w:r>
      <w:r w:rsidR="00042BA8">
        <w:t xml:space="preserve">and can potentially reach millions of fish farmers; </w:t>
      </w:r>
      <w:r>
        <w:t>Bangladesh already has the hatcheries, nurseries, traders, farmers, and national enterprises</w:t>
      </w:r>
      <w:r>
        <w:t xml:space="preserve">. The project is inserting a better product into an active commercial system, not creating a </w:t>
      </w:r>
      <w:r w:rsidR="000564EC">
        <w:t>seed system</w:t>
      </w:r>
      <w:r>
        <w:t xml:space="preserve"> from nothing</w:t>
      </w:r>
      <w:r w:rsidR="000564EC">
        <w:t xml:space="preserve"> or one that has gaps</w:t>
      </w:r>
      <w:r>
        <w:t>.</w:t>
      </w:r>
    </w:p>
    <w:p w14:paraId="0E5AF71A" w14:textId="590F7ADE" w:rsidR="0054159F" w:rsidRDefault="00CD19CB" w:rsidP="00176BC0">
      <w:pPr>
        <w:keepLines/>
        <w:spacing w:line="240" w:lineRule="auto"/>
        <w:ind w:left="90"/>
      </w:pPr>
      <w:r>
        <w:t xml:space="preserve">• </w:t>
      </w:r>
      <w:r>
        <w:rPr>
          <w:b/>
        </w:rPr>
        <w:t>Two co-equal scaling priorities</w:t>
      </w:r>
      <w:r w:rsidR="00E038B6">
        <w:rPr>
          <w:b/>
        </w:rPr>
        <w:t xml:space="preserve">: EGS supply and quality </w:t>
      </w:r>
      <w:r w:rsidR="00C829D3">
        <w:rPr>
          <w:b/>
        </w:rPr>
        <w:t xml:space="preserve">(genetic purity maintenance) </w:t>
      </w:r>
      <w:r w:rsidR="00E038B6">
        <w:rPr>
          <w:b/>
        </w:rPr>
        <w:t>issues</w:t>
      </w:r>
      <w:r>
        <w:rPr>
          <w:b/>
        </w:rPr>
        <w:t xml:space="preserve">. </w:t>
      </w:r>
      <w:r>
        <w:t xml:space="preserve">The project faces two equally important constraints: WorldFish can supply improved early-generation </w:t>
      </w:r>
      <w:r w:rsidR="000564EC">
        <w:t>seed</w:t>
      </w:r>
      <w:r>
        <w:t xml:space="preserve"> to only about 30 of roughly 900 hatcheries</w:t>
      </w:r>
      <w:r w:rsidR="00746C93">
        <w:t xml:space="preserve"> (three percent)</w:t>
      </w:r>
      <w:r>
        <w:t xml:space="preserve">, and the institutional system for maintaining quality, overseeing nurseries, verifying claims, and sustaining public functions remains weak. Neither can be treated as secondary. </w:t>
      </w:r>
      <w:r w:rsidR="00E038B6">
        <w:t>Limited s</w:t>
      </w:r>
      <w:r>
        <w:t xml:space="preserve">upply </w:t>
      </w:r>
      <w:r w:rsidR="00E038B6">
        <w:t xml:space="preserve">limits the scale that can be reached, supply </w:t>
      </w:r>
      <w:r>
        <w:t xml:space="preserve">without </w:t>
      </w:r>
      <w:r w:rsidR="00E038B6">
        <w:t>traceability and better hatchery/nursery capacity and practices</w:t>
      </w:r>
      <w:r>
        <w:t xml:space="preserve"> risks spreading poor-quality </w:t>
      </w:r>
      <w:r w:rsidR="00C829D3">
        <w:t>material</w:t>
      </w:r>
      <w:r>
        <w:t>.</w:t>
      </w:r>
    </w:p>
    <w:p w14:paraId="52C65651" w14:textId="4C5BA766" w:rsidR="0054159F" w:rsidRDefault="00CD19CB" w:rsidP="00176BC0">
      <w:pPr>
        <w:keepLines/>
        <w:spacing w:line="240" w:lineRule="auto"/>
        <w:ind w:left="90"/>
      </w:pPr>
      <w:r>
        <w:t xml:space="preserve">• </w:t>
      </w:r>
      <w:r>
        <w:rPr>
          <w:b/>
        </w:rPr>
        <w:t xml:space="preserve">System strengthening is central, not supportive. </w:t>
      </w:r>
      <w:r>
        <w:t xml:space="preserve">Mixing, </w:t>
      </w:r>
      <w:r w:rsidR="00746B1B">
        <w:t>inadequate numbers of ponds</w:t>
      </w:r>
      <w:r>
        <w:t>, weak records, and uneven hatchery and nursery performance are real, although reputation and repeat purchasing already provide some discipline</w:t>
      </w:r>
      <w:r w:rsidR="00000AA8">
        <w:t xml:space="preserve"> on quality</w:t>
      </w:r>
      <w:r>
        <w:t xml:space="preserve">. The project should test </w:t>
      </w:r>
      <w:proofErr w:type="gramStart"/>
      <w:r>
        <w:t xml:space="preserve">a </w:t>
      </w:r>
      <w:r w:rsidR="00000AA8">
        <w:t>several</w:t>
      </w:r>
      <w:proofErr w:type="gramEnd"/>
      <w:r w:rsidR="00000AA8">
        <w:t xml:space="preserve"> potential innovations that can improve the </w:t>
      </w:r>
      <w:r>
        <w:t xml:space="preserve">practical quality architecture - public grading or certification, targeted DNA testing, nursery registration or associations, and source disclosure - rather than attempt comprehensive regulation that the Department </w:t>
      </w:r>
      <w:r w:rsidR="005943E7">
        <w:t xml:space="preserve">of Fish </w:t>
      </w:r>
      <w:r w:rsidR="00000AA8">
        <w:t xml:space="preserve">currently </w:t>
      </w:r>
      <w:r>
        <w:t>cannot implement</w:t>
      </w:r>
      <w:r w:rsidR="00000AA8">
        <w:t xml:space="preserve"> and doesn’t want </w:t>
      </w:r>
      <w:proofErr w:type="gramStart"/>
      <w:r w:rsidR="00000AA8">
        <w:t>engage</w:t>
      </w:r>
      <w:proofErr w:type="gramEnd"/>
      <w:r w:rsidR="00000AA8">
        <w:t xml:space="preserve"> in punitive enforcement</w:t>
      </w:r>
      <w:r>
        <w:t>.</w:t>
      </w:r>
    </w:p>
    <w:p w14:paraId="1DEA5245" w14:textId="77777777" w:rsidR="0054159F" w:rsidRDefault="00CD19CB" w:rsidP="00176BC0">
      <w:pPr>
        <w:keepLines/>
        <w:spacing w:line="240" w:lineRule="auto"/>
        <w:ind w:left="90"/>
      </w:pPr>
      <w:r>
        <w:t xml:space="preserve">• </w:t>
      </w:r>
      <w:r>
        <w:rPr>
          <w:b/>
        </w:rPr>
        <w:t xml:space="preserve">OneFish should not be an S4I priority. </w:t>
      </w:r>
      <w:r>
        <w:t>OneFish has many functions but weak use relative to the sector, requires expensive training and onboarding, and lacks a convincing long-term payer or demand proposition. Moving from roughly 24,000 trained users to a meaningful share of three million farmers would require a large campaign peripheral to the binding bottlenecks. Another actor may support it, but S4I should not finance further product expansion or a major 2027 adoption campaign.</w:t>
      </w:r>
    </w:p>
    <w:p w14:paraId="4162E9AC" w14:textId="27F206F6" w:rsidR="0054159F" w:rsidRDefault="00CD19CB" w:rsidP="00176BC0">
      <w:pPr>
        <w:keepLines/>
        <w:spacing w:line="240" w:lineRule="auto"/>
        <w:ind w:left="90"/>
      </w:pPr>
      <w:r>
        <w:t xml:space="preserve">• </w:t>
      </w:r>
      <w:r>
        <w:rPr>
          <w:b/>
        </w:rPr>
        <w:t xml:space="preserve">Climate-resilient breeding is overdue. </w:t>
      </w:r>
      <w:r>
        <w:t xml:space="preserve">The breeding program has concentrated on faster growth while farmers increasingly face </w:t>
      </w:r>
      <w:r w:rsidR="00E30578">
        <w:t xml:space="preserve">high </w:t>
      </w:r>
      <w:r>
        <w:t>heat, low oxygen, salinity, drought, and flooding-related risks. Developing resilient traits is not the immediate delivery bottleneck, but it is an obvious form of functional scaling. WorldFish should begin a focused strategy now and seek separate climate finance.</w:t>
      </w:r>
    </w:p>
    <w:p w14:paraId="0AAB45B4" w14:textId="4F327029" w:rsidR="0054159F" w:rsidRDefault="00CD19CB" w:rsidP="00176BC0">
      <w:pPr>
        <w:keepLines/>
        <w:spacing w:line="240" w:lineRule="auto"/>
        <w:ind w:left="90"/>
      </w:pPr>
      <w:r>
        <w:t xml:space="preserve">• </w:t>
      </w:r>
      <w:r>
        <w:rPr>
          <w:b/>
        </w:rPr>
        <w:t xml:space="preserve">The policy window is unusually favorable. </w:t>
      </w:r>
      <w:r>
        <w:t xml:space="preserve">Government interest in </w:t>
      </w:r>
      <w:r w:rsidR="00E30578">
        <w:t xml:space="preserve">promoting and strengthening domestic </w:t>
      </w:r>
      <w:r>
        <w:t xml:space="preserve">freshwater fish </w:t>
      </w:r>
      <w:r w:rsidR="00E30578">
        <w:t xml:space="preserve">production </w:t>
      </w:r>
      <w:r>
        <w:t>and exports, together with a potentially very large ADB investment, creates rare political will and capital. This is a major reason for larger S4I support: flexible funding can shape both the production system and its institutional rules before much larger public investments are committed.</w:t>
      </w:r>
    </w:p>
    <w:p w14:paraId="679DB22D" w14:textId="6D42ECA7" w:rsidR="0054159F" w:rsidRDefault="00CD19CB" w:rsidP="00176BC0">
      <w:pPr>
        <w:keepLines/>
        <w:spacing w:line="240" w:lineRule="auto"/>
        <w:ind w:left="90"/>
      </w:pPr>
      <w:r>
        <w:t xml:space="preserve">• </w:t>
      </w:r>
      <w:r>
        <w:rPr>
          <w:b/>
        </w:rPr>
        <w:t xml:space="preserve">The pathway is commercially real but institutionally incomplete. </w:t>
      </w:r>
      <w:r>
        <w:t xml:space="preserve">Commercial actors can drive multiplication and distribution; the Department of Fisheries and BFRI are the logical owners of foundational genetics, standards, testing, and oversight. No actor yet manages the transition across both pillars. WorldFish must temporarily </w:t>
      </w:r>
      <w:r w:rsidR="007D5791">
        <w:t xml:space="preserve">drive scaling and </w:t>
      </w:r>
      <w:r>
        <w:t>integrate the system while building permanent public and private ownership.</w:t>
      </w:r>
    </w:p>
    <w:p w14:paraId="27C9537F" w14:textId="77777777" w:rsidR="0054159F" w:rsidRDefault="00CD19CB" w:rsidP="00176BC0">
      <w:pPr>
        <w:keepLines/>
        <w:spacing w:after="240" w:line="240" w:lineRule="auto"/>
        <w:ind w:left="90"/>
      </w:pPr>
      <w:r>
        <w:lastRenderedPageBreak/>
        <w:t xml:space="preserve">• </w:t>
      </w:r>
      <w:r>
        <w:rPr>
          <w:b/>
        </w:rPr>
        <w:t xml:space="preserve">Fund another year - and fund both pillars. </w:t>
      </w:r>
      <w:r>
        <w:t>S4I should provide a larger, milestone-based 2027 allocation divided between rapid supply expansion and practical institutional strengthening. Continued support should depend on measurable increases in legitimate material, tested quality mechanisms, government adoption, private co-investment, and verified farmer use - not more workshops or partnership counts.</w:t>
      </w:r>
    </w:p>
    <w:p w14:paraId="7194FF3B" w14:textId="77777777" w:rsidR="0054159F" w:rsidRDefault="00CD19CB">
      <w:pPr>
        <w:pStyle w:val="Heading1"/>
      </w:pPr>
      <w:r>
        <w:t>Intervention and Components</w:t>
      </w:r>
    </w:p>
    <w:p w14:paraId="7C10814D" w14:textId="27EAAD0F" w:rsidR="0054159F" w:rsidRDefault="00CD19CB">
      <w:r>
        <w:t xml:space="preserve">The Scaling Solution is best understood as an effort to strengthen the delivery system for improved fish genetics, not as a project to distribute a particular generation of rohu. The technical core includes improved generations of rohu and other carp, tilapia, and potentially small indigenous species developed or supported by WorldFish. </w:t>
      </w:r>
      <w:r w:rsidRPr="002A3C22">
        <w:rPr>
          <w:u w:val="single"/>
        </w:rPr>
        <w:t>The scaling object, however, is the chain through which foundational genetic material is maintained</w:t>
      </w:r>
      <w:r>
        <w:t xml:space="preserve">, multiplied by hatcheries, reared by nurseries, </w:t>
      </w:r>
      <w:proofErr w:type="gramStart"/>
      <w:r w:rsidR="002A3C22">
        <w:t xml:space="preserve">sold </w:t>
      </w:r>
      <w:r>
        <w:t xml:space="preserve"> by</w:t>
      </w:r>
      <w:proofErr w:type="gramEnd"/>
      <w:r>
        <w:t xml:space="preserve"> </w:t>
      </w:r>
      <w:r w:rsidR="002A3C22">
        <w:t xml:space="preserve">nurseries or </w:t>
      </w:r>
      <w:r>
        <w:t>traders</w:t>
      </w:r>
      <w:r>
        <w:t xml:space="preserve">, purchased by </w:t>
      </w:r>
      <w:r w:rsidR="002A3C22">
        <w:t xml:space="preserve">fish </w:t>
      </w:r>
      <w:r>
        <w:t xml:space="preserve">farmers, and translated into greater growth, survival, profitability, and resilience. This distinction matters because Bangladesh already has a highly developed aquaculture market. </w:t>
      </w:r>
      <w:r w:rsidRPr="00B84E02">
        <w:rPr>
          <w:u w:val="single"/>
        </w:rPr>
        <w:t>The main challenge is not convincing farmers that fish seed has value or building a last-mile network from scratch. It is increasing the quantity and reliability of improved genetics</w:t>
      </w:r>
      <w:r>
        <w:t xml:space="preserve"> entering that network while improving the limited public functions that the market does not perform well.</w:t>
      </w:r>
    </w:p>
    <w:p w14:paraId="203D6561" w14:textId="77777777" w:rsidR="0054159F" w:rsidRDefault="00CD19CB">
      <w:r>
        <w:t>The practical innovation bundle therefore contains several linked but unequal components. First is a breeding and early-generation seed function that protects genetic gain and supplies enough broodstock, spawn, or other foundational material to capable multipliers. Second is commercial multiplication and distribution through private hatcheries, nurseries, traders, feed companies, social enterprises, and national organizations. Third is a light but credible quality system that gives buyers better information</w:t>
      </w:r>
      <w:r>
        <w:t xml:space="preserve"> and creates incentives for suppliers to maintain standards. Fourth is the advisory and management support needed for farmers to realize the genetic advantage, although the improved fish still produce some gain under ordinary practices. Fifth is an institutional pathway through which the Department of Fisheries, BFRI, universities, and associations take responsibility for standards, testing, oversight, and public investment after donor support declines.</w:t>
      </w:r>
    </w:p>
    <w:p w14:paraId="6E66FE32" w14:textId="36D1F622" w:rsidR="0054159F" w:rsidRDefault="00CD19CB">
      <w:r>
        <w:t xml:space="preserve">The project has also assembled SeedCompacts, partnership agreements, standard operating procedures, training, traceability concepts, finance discussions, and OneFish. These should not all be treated as essential. </w:t>
      </w:r>
      <w:r w:rsidRPr="000A4F3F">
        <w:rPr>
          <w:u w:val="single"/>
        </w:rPr>
        <w:t xml:space="preserve">The minimum viable pathway is narrower: adequate early-generation supply; capable </w:t>
      </w:r>
      <w:r w:rsidR="000A4F3F">
        <w:rPr>
          <w:u w:val="single"/>
        </w:rPr>
        <w:t xml:space="preserve">hatchery </w:t>
      </w:r>
      <w:r w:rsidRPr="000A4F3F">
        <w:rPr>
          <w:u w:val="single"/>
        </w:rPr>
        <w:t>multipliers; trustworthy nursery and trader channels; a credible quality signal; farmer value and repeat purchase; and permanent ownership of foundational genetics and oversight</w:t>
      </w:r>
      <w:r>
        <w:t>. Other elements should remain contingent modules used only where they solve a demonstrated constraint and have a plausible payer and doer.</w:t>
      </w:r>
    </w:p>
    <w:p w14:paraId="0032BAB4" w14:textId="77777777" w:rsidR="0054159F" w:rsidRDefault="00CD19CB">
      <w:pPr>
        <w:pStyle w:val="Heading1"/>
      </w:pPr>
      <w:r>
        <w:t>Implementation and Evidence to Date</w:t>
      </w:r>
    </w:p>
    <w:p w14:paraId="35314CA7" w14:textId="0B74CD60" w:rsidR="0054159F" w:rsidRDefault="00CD19CB">
      <w:r>
        <w:t xml:space="preserve">WorldFish has worked for years on fish genetic improvement in Bangladesh and has distributed improved material through private hatcheries, BFRI, the Department of Fisheries, and project partners. The current S4I effort seeks to accelerate this pathway </w:t>
      </w:r>
      <w:r>
        <w:lastRenderedPageBreak/>
        <w:t xml:space="preserve">through selected hatcheries and hundreds of nurseries, while building partnerships with national actors such as BRAC Fisheries, EON, PKSF, and potentially PRAN and feed companies. Field discussions were concentrated in </w:t>
      </w:r>
      <w:r w:rsidR="00CA4B48">
        <w:t xml:space="preserve">Khulna, </w:t>
      </w:r>
      <w:proofErr w:type="spellStart"/>
      <w:r>
        <w:t>Jashore</w:t>
      </w:r>
      <w:proofErr w:type="spellEnd"/>
      <w:r>
        <w:t xml:space="preserve"> and surrounding areas, an appropriate location because Jashore is the country’s dominant carp hatchery and seed hub. The evidence should not be interpreted as nationally representative in every detail, but it reveals the main economic and institutional mechanisms through which national scale is likely to occur.</w:t>
      </w:r>
    </w:p>
    <w:p w14:paraId="3F568487" w14:textId="77777777" w:rsidR="0054159F" w:rsidRDefault="00CD19CB">
      <w:r>
        <w:t xml:space="preserve">The biological and farmer value propositions are strong enough to justify scaling investment. A small field study discussed during the visit suggested an average growth advantage around 30 percent, with gains ranging from roughly 10–20 percent under weaker management to much larger gains among better-managed farms. The estimate should not be treated as definitive because the sample was limited, but the strategic conclusion is robust: </w:t>
      </w:r>
      <w:r w:rsidRPr="00CA4B48">
        <w:rPr>
          <w:u w:val="single"/>
        </w:rPr>
        <w:t xml:space="preserve">improved genetics can generate meaningful value without requiring farmers to redesign their production system. This plug-and-play characteristic sharply reduces adoption costs and risk. </w:t>
      </w:r>
      <w:r>
        <w:t>Good feed and management increase the gain, but imperfect management does not eliminate it.</w:t>
      </w:r>
    </w:p>
    <w:p w14:paraId="7526F972" w14:textId="36BC7B23" w:rsidR="0054159F" w:rsidRDefault="00CD19CB">
      <w:r>
        <w:t>Farmers do not evaluate genetics through laboratory evidence or project branding. They care about survival</w:t>
      </w:r>
      <w:r w:rsidR="009B750C">
        <w:t xml:space="preserve">, </w:t>
      </w:r>
      <w:r>
        <w:t xml:space="preserve">growth, reliability, proximity, honest weighing, replacement of losses, and the prior performance of seed from a particular supplier. Because genetic quality cannot be observed at purchase, the transaction contains a long delay between buying and learning whether the product was good. Farmers manage that uncertainty through reputation and repeated relationships. Some change suppliers after poor performance; others stay with sellers who replace losses or have served them reliably for years. </w:t>
      </w:r>
      <w:r w:rsidRPr="00F27931">
        <w:rPr>
          <w:u w:val="single"/>
        </w:rPr>
        <w:t xml:space="preserve">This informal market discipline </w:t>
      </w:r>
      <w:r w:rsidR="00F27931" w:rsidRPr="00F27931">
        <w:rPr>
          <w:u w:val="single"/>
        </w:rPr>
        <w:t xml:space="preserve">is important and effective but also </w:t>
      </w:r>
      <w:r w:rsidRPr="00F27931">
        <w:rPr>
          <w:u w:val="single"/>
        </w:rPr>
        <w:t>imperfect</w:t>
      </w:r>
      <w:r>
        <w:t>, especially when peak-season demand exceeds supply or when farmers buy through traders far from the original hatchery, but it is stronger than the preparatory analysis assumed.</w:t>
      </w:r>
    </w:p>
    <w:p w14:paraId="733C7269" w14:textId="75FE08D6" w:rsidR="0054159F" w:rsidRDefault="00CD19CB">
      <w:r>
        <w:t xml:space="preserve">The business case for ordinary multiplication and distribution is </w:t>
      </w:r>
      <w:r>
        <w:t xml:space="preserve">credible. Hatcheries, nurseries, and traders already earn money from fish seed, and improved material can support higher prices, greater demand, stronger reputation, and fewer complaints. Large organizations have additional incentives: BRAC Fisheries operates multiple hatcheries and has relationships with tens of thousands of farmers and more than a thousand nurseries; EON and feed companies can use improved seed to deepen customer relationships and sell complementary products. </w:t>
      </w:r>
      <w:r w:rsidRPr="0057107E">
        <w:rPr>
          <w:u w:val="single"/>
        </w:rPr>
        <w:t>These actors can become powerful scaling channels</w:t>
      </w:r>
      <w:r>
        <w:t xml:space="preserve"> because they bring their own infrastructure, working capital, staff, and market reach.</w:t>
      </w:r>
    </w:p>
    <w:p w14:paraId="70FE2AD7" w14:textId="77777777" w:rsidR="0054159F" w:rsidRDefault="00CD19CB">
      <w:r w:rsidRPr="0057107E">
        <w:rPr>
          <w:u w:val="single"/>
        </w:rPr>
        <w:t>The business case is much weaker for maintaining foundational genetics</w:t>
      </w:r>
      <w:r>
        <w:t xml:space="preserve">. Raising broodstock for two or three years ties up ponds and working capital, and many hatcheries or nurseries lack the ponds, records, or management discipline required to keep separate lines and avoid inbreeding. Nursery operators who lease ponds need rapid turnover and have little reason to dedicate scarce pond capacity to a system-wide public good. </w:t>
      </w:r>
      <w:r w:rsidRPr="0057107E">
        <w:rPr>
          <w:u w:val="single"/>
        </w:rPr>
        <w:t>This is the central market failure in the pathway: the social and sector-wide return to maintaining high-quality early-generation material is high, but the private return to individual firms may be too low</w:t>
      </w:r>
      <w:r>
        <w:t xml:space="preserve"> or too </w:t>
      </w:r>
      <w:r>
        <w:lastRenderedPageBreak/>
        <w:t>slow. A public, donor-supported, or blended model is therefore justified for foundational genetics even when multiplication and distribution remain commercial.</w:t>
      </w:r>
    </w:p>
    <w:p w14:paraId="61BE6E51" w14:textId="77777777" w:rsidR="0054159F" w:rsidRDefault="00CD19CB">
      <w:pPr>
        <w:pStyle w:val="Heading1"/>
      </w:pPr>
      <w:r>
        <w:t>Scaling Ambition</w:t>
      </w:r>
    </w:p>
    <w:p w14:paraId="619B0F23" w14:textId="1D172ECD" w:rsidR="0054159F" w:rsidRDefault="00CD19CB">
      <w:r>
        <w:t>The project’s stated ambition of reaching roughly 400,000 farmers within the next several years is plausible, and perhaps conservative, given a national market of approximately three million fish farmers, roughly 900 hatcheries, many thousands of nurseries, and increasingly large private and social-enterprise networks. The arithmetic of reach is not difficult: a limited number of hatcheries can supply multiple nurseries, each nursery can serve hundreds or thousands of farmers, and organizations such as BRAC</w:t>
      </w:r>
      <w:r>
        <w:t xml:space="preserve"> and EON already aggregate large customer bases.</w:t>
      </w:r>
      <w:r w:rsidR="00BA6866">
        <w:t xml:space="preserve"> Our very crude estimates are that each hatchery reaches around 250 customers</w:t>
      </w:r>
      <w:r w:rsidR="00F36EF7">
        <w:t>, and each nursery</w:t>
      </w:r>
      <w:r w:rsidR="00E42A39">
        <w:t xml:space="preserve"> reach</w:t>
      </w:r>
      <w:r w:rsidR="00F36EF7">
        <w:t>es</w:t>
      </w:r>
      <w:r w:rsidR="00E42A39">
        <w:t xml:space="preserve"> 3-500</w:t>
      </w:r>
      <w:r w:rsidR="00F36EF7">
        <w:t xml:space="preserve"> fish farmers</w:t>
      </w:r>
      <w:r w:rsidR="00E42A39">
        <w:t xml:space="preserve">.  Using the conservative figure of </w:t>
      </w:r>
      <w:r w:rsidR="00204229">
        <w:t xml:space="preserve">125 nurseries and </w:t>
      </w:r>
      <w:r w:rsidR="00E42A39">
        <w:t xml:space="preserve">300 fish farmers per nursery, 30 hatcheries times </w:t>
      </w:r>
      <w:r w:rsidR="00634141">
        <w:t>125</w:t>
      </w:r>
      <w:r w:rsidR="00E42A39">
        <w:t xml:space="preserve"> </w:t>
      </w:r>
      <w:r w:rsidR="00310D7E">
        <w:t>nurseries</w:t>
      </w:r>
      <w:r w:rsidR="00E42A39">
        <w:t xml:space="preserve"> times 300 fish farmers</w:t>
      </w:r>
      <w:r w:rsidR="00634141">
        <w:t xml:space="preserve"> </w:t>
      </w:r>
      <w:proofErr w:type="gramStart"/>
      <w:r w:rsidR="00634141">
        <w:t>is</w:t>
      </w:r>
      <w:proofErr w:type="gramEnd"/>
      <w:r w:rsidR="00634141">
        <w:t xml:space="preserve"> roughly </w:t>
      </w:r>
      <w:r w:rsidR="00204229">
        <w:t>1.1</w:t>
      </w:r>
      <w:r w:rsidR="00634141">
        <w:t xml:space="preserve"> million fish farmers</w:t>
      </w:r>
      <w:r w:rsidR="00BA6866">
        <w:t>.</w:t>
      </w:r>
    </w:p>
    <w:p w14:paraId="322D6E03" w14:textId="77777777" w:rsidR="005B72D7" w:rsidRDefault="00CD19CB">
      <w:r>
        <w:t xml:space="preserve">A credible scaling ambition should distinguish at least five levels: </w:t>
      </w:r>
    </w:p>
    <w:p w14:paraId="55561133" w14:textId="77777777" w:rsidR="005B72D7" w:rsidRDefault="00CD19CB" w:rsidP="005B72D7">
      <w:pPr>
        <w:pStyle w:val="ListParagraph"/>
        <w:numPr>
          <w:ilvl w:val="0"/>
          <w:numId w:val="10"/>
        </w:numPr>
        <w:ind w:left="360"/>
      </w:pPr>
      <w:r>
        <w:t xml:space="preserve">early-generation supply capacity; </w:t>
      </w:r>
    </w:p>
    <w:p w14:paraId="3A7477E0" w14:textId="77777777" w:rsidR="005B72D7" w:rsidRDefault="00CD19CB" w:rsidP="005B72D7">
      <w:pPr>
        <w:pStyle w:val="ListParagraph"/>
        <w:numPr>
          <w:ilvl w:val="0"/>
          <w:numId w:val="10"/>
        </w:numPr>
        <w:ind w:left="360"/>
      </w:pPr>
      <w:r>
        <w:t xml:space="preserve">the number and quality of hatcheries and nurseries commercially supplied; </w:t>
      </w:r>
    </w:p>
    <w:p w14:paraId="0917BE0B" w14:textId="77777777" w:rsidR="005B72D7" w:rsidRDefault="00CD19CB" w:rsidP="005B72D7">
      <w:pPr>
        <w:pStyle w:val="ListParagraph"/>
        <w:numPr>
          <w:ilvl w:val="0"/>
          <w:numId w:val="10"/>
        </w:numPr>
        <w:ind w:left="360"/>
      </w:pPr>
      <w:r>
        <w:t xml:space="preserve">the volume and geographic coverage of improved spawn or fingerlings; </w:t>
      </w:r>
    </w:p>
    <w:p w14:paraId="7F3E8210" w14:textId="77777777" w:rsidR="005B72D7" w:rsidRDefault="00CD19CB" w:rsidP="005B72D7">
      <w:pPr>
        <w:pStyle w:val="ListParagraph"/>
        <w:numPr>
          <w:ilvl w:val="0"/>
          <w:numId w:val="10"/>
        </w:numPr>
        <w:ind w:left="360"/>
      </w:pPr>
      <w:r>
        <w:t xml:space="preserve">the number of farmers who knowingly purchase and stock improved fish; and </w:t>
      </w:r>
    </w:p>
    <w:p w14:paraId="5A9DF6CF" w14:textId="6EE26B62" w:rsidR="005B72D7" w:rsidRDefault="00CD19CB" w:rsidP="005B72D7">
      <w:pPr>
        <w:pStyle w:val="ListParagraph"/>
        <w:numPr>
          <w:ilvl w:val="0"/>
          <w:numId w:val="10"/>
        </w:numPr>
        <w:ind w:left="360"/>
      </w:pPr>
      <w:r>
        <w:t xml:space="preserve">the proportion who </w:t>
      </w:r>
      <w:proofErr w:type="gramStart"/>
      <w:r>
        <w:t>obtain</w:t>
      </w:r>
      <w:proofErr w:type="gramEnd"/>
      <w:r>
        <w:t xml:space="preserve"> meaningful results and repurchase. </w:t>
      </w:r>
    </w:p>
    <w:p w14:paraId="14A09945" w14:textId="3E764766" w:rsidR="0054159F" w:rsidRDefault="00CD19CB" w:rsidP="005B72D7">
      <w:r>
        <w:t>The target should also distinguish current improved genetics from future climate-resilient traits, and dense commercial clusters from remote or marginalized areas where costs and risks are much higher.</w:t>
      </w:r>
    </w:p>
    <w:p w14:paraId="7024A097" w14:textId="2FFCB091" w:rsidR="0054159F" w:rsidRDefault="00CD19CB">
      <w:r>
        <w:t>T</w:t>
      </w:r>
      <w:r>
        <w:t xml:space="preserve">his solution is beyond proof of concept and firmly </w:t>
      </w:r>
      <w:r w:rsidR="00EC6A5D">
        <w:t>scaling while simultaneously addressing the quality issue</w:t>
      </w:r>
      <w:r>
        <w:t xml:space="preserve">. The genetics, farmer value proposition, and commercial chain are sufficiently demonstrated. It is not yet at sustainable national scale because two co-equal elements remain immature: the quantity and renewal of foundational material, and the institutional system that protects quality, oversees nurseries, informs buyers, and assigns permanent responsibility for public functions. </w:t>
      </w:r>
      <w:r w:rsidRPr="003B601D">
        <w:rPr>
          <w:u w:val="single"/>
        </w:rPr>
        <w:t>Bangladesh should be the priority; expansion to new countries would be premature until both pillars work together</w:t>
      </w:r>
      <w:r>
        <w:t>.</w:t>
      </w:r>
    </w:p>
    <w:p w14:paraId="4831A75B" w14:textId="77777777" w:rsidR="0054159F" w:rsidRDefault="00CD19CB">
      <w:pPr>
        <w:pStyle w:val="Heading1"/>
      </w:pPr>
      <w:r>
        <w:t>Key Stakeholders and Roles</w:t>
      </w:r>
    </w:p>
    <w:p w14:paraId="33EE3A7B" w14:textId="134426DE" w:rsidR="0054159F" w:rsidRDefault="00CD19CB">
      <w:r>
        <w:t xml:space="preserve">WorldFish is the technical originator, principal source of improved genetics, convener, evidence generator, and de facto system integrator. Its comparative </w:t>
      </w:r>
      <w:proofErr w:type="gramStart"/>
      <w:r>
        <w:t>advantage includes</w:t>
      </w:r>
      <w:proofErr w:type="gramEnd"/>
      <w:r>
        <w:t xml:space="preserve"> breeding, standards</w:t>
      </w:r>
      <w:r w:rsidR="003B601D">
        <w:t xml:space="preserve"> and protocols</w:t>
      </w:r>
      <w:r>
        <w:t xml:space="preserve">, scientific credibility, </w:t>
      </w:r>
      <w:r>
        <w:t>and neutral convening. During transition it must also manage partnerships, expand early-generation supply, and help permanent actors acquire the capability to take over</w:t>
      </w:r>
      <w:r w:rsidR="00452E35">
        <w:t xml:space="preserve"> i.e. developing protocols, Standard Operating Procedures, </w:t>
      </w:r>
      <w:r w:rsidR="00452E35">
        <w:t>training and capacity building</w:t>
      </w:r>
      <w:r>
        <w:t>. Exit should be defined function by function, not as a general aspiration.</w:t>
      </w:r>
    </w:p>
    <w:p w14:paraId="55465427" w14:textId="2F57A81A" w:rsidR="0054159F" w:rsidRDefault="00CD19CB">
      <w:r>
        <w:t xml:space="preserve">The Department of Fisheries is the central public institutional pathway. It has authority over hatcheries, extension, sector development, and the policy process that could bring nurseries </w:t>
      </w:r>
      <w:r>
        <w:lastRenderedPageBreak/>
        <w:t xml:space="preserve">into a regulatory framework. It is also considering the future role of government </w:t>
      </w:r>
      <w:proofErr w:type="gramStart"/>
      <w:r>
        <w:t>hatcheries</w:t>
      </w:r>
      <w:proofErr w:type="gramEnd"/>
      <w:r>
        <w:t xml:space="preserve"> and has access to the large ADB </w:t>
      </w:r>
      <w:r w:rsidR="00452E35">
        <w:t xml:space="preserve">and other funding </w:t>
      </w:r>
      <w:r>
        <w:t>opportunit</w:t>
      </w:r>
      <w:r w:rsidR="00452E35">
        <w:t>ies</w:t>
      </w:r>
      <w:r>
        <w:t xml:space="preserve">. </w:t>
      </w:r>
      <w:r w:rsidR="00407FF8">
        <w:t>A</w:t>
      </w:r>
      <w:r>
        <w:t xml:space="preserve"> weakness is </w:t>
      </w:r>
      <w:r w:rsidR="00407FF8">
        <w:t>that the</w:t>
      </w:r>
      <w:r>
        <w:t xml:space="preserve"> Department staff see themselves as champions of the sector and fear that strong enforcement could reduce already inadequate seed supply. The result is repeated advice to noncompliant hatcheries without consequences. </w:t>
      </w:r>
      <w:r w:rsidR="00407FF8">
        <w:t xml:space="preserve">It also has grossly inadequate staffing on the ground given the hundreds of hatcheries and huge numbers of nurseries and traders (neither of which it currently regulates). </w:t>
      </w:r>
      <w:r>
        <w:t xml:space="preserve">The Department needs a strategy that </w:t>
      </w:r>
      <w:r w:rsidR="003C5FFE">
        <w:t xml:space="preserve">increases its own capacity and </w:t>
      </w:r>
      <w:r>
        <w:t xml:space="preserve">improves </w:t>
      </w:r>
      <w:r w:rsidR="003C5FFE">
        <w:t xml:space="preserve">seed and fingerling </w:t>
      </w:r>
      <w:r>
        <w:t>supply and quality simultaneously, using information, incentives, graduated consequences, and realistic risk-based oversight rather than an impossible promise to inspect every actor.</w:t>
      </w:r>
    </w:p>
    <w:p w14:paraId="06174359" w14:textId="77777777" w:rsidR="0054159F" w:rsidRDefault="00CD19CB">
      <w:r>
        <w:t>BFRI is the logical national custodian of scientific standards, breeding protocols, performance validation, and technical legitimacy. Government hatcheries and selected BFRI facilities could become brood-development centers, while universities can provide DNA-testing capacity and independent technical validation. Private hatcheries should remain the principal commercial multipliers; nurseries and traders remain the last-mile channel; and hatchery or nursery associations can organize members, disseminate sta</w:t>
      </w:r>
      <w:r>
        <w:t>ndards, and provide political support, but should not be the sole judges of quality because they also represent the actors being assessed.</w:t>
      </w:r>
    </w:p>
    <w:p w14:paraId="457F6561" w14:textId="57358A5D" w:rsidR="0054159F" w:rsidRDefault="00CD19CB">
      <w:r>
        <w:t xml:space="preserve">BRAC Fisheries, EON, PKSF, PRAN, feed companies, processors, and other national organizations create a second pathway alongside the fragmented market. They bring infrastructure, working capital, staff, and customer networks, and can combine seed with feed and advice. </w:t>
      </w:r>
      <w:proofErr w:type="spellStart"/>
      <w:r w:rsidR="007761F6">
        <w:t>Worldfish</w:t>
      </w:r>
      <w:proofErr w:type="spellEnd"/>
      <w:r w:rsidR="007761F6">
        <w:t xml:space="preserve"> should work to maximize their contribution and </w:t>
      </w:r>
      <w:r>
        <w:t>S4I should ask what they will co-invest, what volumes they will buy or multiply, what quality obligations they accept, and whether their model continues without grants.</w:t>
      </w:r>
    </w:p>
    <w:p w14:paraId="3BB9FCA9" w14:textId="77777777" w:rsidR="00C84DF6" w:rsidRDefault="00CD19CB">
      <w:r>
        <w:t xml:space="preserve">ADB and other donors are potential payers for the public-good and capital-intensive portions of the pathway. </w:t>
      </w:r>
    </w:p>
    <w:p w14:paraId="43610EFB" w14:textId="341F59A1" w:rsidR="0054159F" w:rsidRDefault="00CD19CB">
      <w:r w:rsidRPr="00C84DF6">
        <w:rPr>
          <w:u w:val="single"/>
        </w:rPr>
        <w:t xml:space="preserve">S4I’s role is </w:t>
      </w:r>
      <w:proofErr w:type="gramStart"/>
      <w:r w:rsidR="00C84DF6" w:rsidRPr="00C84DF6">
        <w:rPr>
          <w:u w:val="single"/>
        </w:rPr>
        <w:t>a funder</w:t>
      </w:r>
      <w:proofErr w:type="gramEnd"/>
      <w:r w:rsidR="00C84DF6" w:rsidRPr="00C84DF6">
        <w:rPr>
          <w:u w:val="single"/>
        </w:rPr>
        <w:t xml:space="preserve"> but has </w:t>
      </w:r>
      <w:r w:rsidRPr="00C84DF6">
        <w:rPr>
          <w:u w:val="single"/>
        </w:rPr>
        <w:t>different</w:t>
      </w:r>
      <w:r w:rsidR="00C84DF6" w:rsidRPr="00C84DF6">
        <w:rPr>
          <w:u w:val="single"/>
        </w:rPr>
        <w:t xml:space="preserve"> role</w:t>
      </w:r>
      <w:r w:rsidRPr="00C84DF6">
        <w:rPr>
          <w:u w:val="single"/>
        </w:rPr>
        <w:t xml:space="preserve">: it should finance </w:t>
      </w:r>
      <w:r w:rsidR="00C84DF6" w:rsidRPr="00C84DF6">
        <w:rPr>
          <w:u w:val="single"/>
        </w:rPr>
        <w:t xml:space="preserve">greater adoption and </w:t>
      </w:r>
      <w:r w:rsidRPr="00C84DF6">
        <w:rPr>
          <w:u w:val="single"/>
        </w:rPr>
        <w:t xml:space="preserve">diagnosis, design, </w:t>
      </w:r>
      <w:proofErr w:type="gramStart"/>
      <w:r w:rsidRPr="00C84DF6">
        <w:rPr>
          <w:u w:val="single"/>
        </w:rPr>
        <w:t>piloting</w:t>
      </w:r>
      <w:proofErr w:type="gramEnd"/>
      <w:r w:rsidRPr="00C84DF6">
        <w:rPr>
          <w:u w:val="single"/>
        </w:rPr>
        <w:t>, evidence, and institutional transition</w:t>
      </w:r>
      <w:r w:rsidR="00C84DF6" w:rsidRPr="00C84DF6">
        <w:rPr>
          <w:u w:val="single"/>
        </w:rPr>
        <w:t xml:space="preserve"> of systemic bottlenecks</w:t>
      </w:r>
      <w:r w:rsidRPr="00C84DF6">
        <w:rPr>
          <w:u w:val="single"/>
        </w:rPr>
        <w:t>, thereby shaping much larger investments</w:t>
      </w:r>
      <w:r>
        <w:t>. Farmers are the final adopters and the ultimate source of commercial discipline. They need trustworthy seed, understandable quality signals, and recourse when sellers misrepresent products, but they do not need a project-created market or an elaborate digital platform to create demand.</w:t>
      </w:r>
    </w:p>
    <w:p w14:paraId="7D889DBA" w14:textId="77777777" w:rsidR="0054159F" w:rsidRDefault="00CD19CB">
      <w:pPr>
        <w:pStyle w:val="Heading1"/>
      </w:pPr>
      <w:r>
        <w:rPr>
          <w:rFonts w:ascii="Calibri" w:eastAsia="Calibri" w:hAnsi="Calibri"/>
        </w:rPr>
        <w:t>Scaling Pathway: Two Co-Equal Constraints</w:t>
      </w:r>
    </w:p>
    <w:p w14:paraId="7D17F402" w14:textId="0E9E510C" w:rsidR="0054159F" w:rsidRDefault="00CD19CB">
      <w:r>
        <w:t xml:space="preserve">The pathway is clear. Authorized </w:t>
      </w:r>
      <w:r>
        <w:t xml:space="preserve">public or private brood-development centers </w:t>
      </w:r>
      <w:r w:rsidR="00E57807">
        <w:t>maintain foundational genetics</w:t>
      </w:r>
      <w:r w:rsidR="00E57807">
        <w:t xml:space="preserve"> and produce an </w:t>
      </w:r>
      <w:r>
        <w:t xml:space="preserve">expand </w:t>
      </w:r>
      <w:r w:rsidR="00E57807">
        <w:t xml:space="preserve">supply of </w:t>
      </w:r>
      <w:r>
        <w:t>early-generation material; hatcheries multiply spawn; nurseries and traders distribute fingerlings; and farmers repurchase when performance is good. The pathway has two weakest links: too little improved material enters it, and the rules</w:t>
      </w:r>
      <w:r w:rsidR="005B7339">
        <w:t>, incentives, regulatory enforcement</w:t>
      </w:r>
      <w:r>
        <w:t xml:space="preserve"> and institutions that preserve quality and govern the chain are incomplete</w:t>
      </w:r>
      <w:r w:rsidR="005B7339">
        <w:t xml:space="preserve"> and insufficiently effective</w:t>
      </w:r>
      <w:r>
        <w:t>. These distinct constraints reinforce each other and must be addressed together.</w:t>
      </w:r>
    </w:p>
    <w:p w14:paraId="1AF8F248" w14:textId="77777777" w:rsidR="0054159F" w:rsidRDefault="00CD19CB">
      <w:r>
        <w:lastRenderedPageBreak/>
        <w:t>No single actor currently drives the whole pathway. Private firms can profit from multiplication and distribution but have weak incentives to maintain foundational genetics or finance independent oversight. The Department and BFRI have authority and legitimacy but limited resources, slow implementation, and incomplete protocols. WorldFish therefore remains the temporary integrator. Over time, public institutions should own foundational functions and rules, while commercial actors own multiplication, distrib</w:t>
      </w:r>
      <w:r>
        <w:t>ution, and demand.</w:t>
      </w:r>
    </w:p>
    <w:p w14:paraId="5B7369E1" w14:textId="7B7F1B81" w:rsidR="0054159F" w:rsidRDefault="00CD19CB">
      <w:r>
        <w:t xml:space="preserve">Simultaneity matters as much as sequence. Expanded supply without credible quality controls may accelerate mixing and false claims. A sophisticated regulatory system without enough legitimate material may constrict an already scarce market. WorldFish should therefore expand </w:t>
      </w:r>
      <w:r w:rsidR="00E35240">
        <w:t xml:space="preserve">its own </w:t>
      </w:r>
      <w:r>
        <w:t xml:space="preserve">production </w:t>
      </w:r>
      <w:r w:rsidR="00E35240">
        <w:t xml:space="preserve">of early genetic </w:t>
      </w:r>
      <w:proofErr w:type="gramStart"/>
      <w:r w:rsidR="00E35240">
        <w:t>seed</w:t>
      </w:r>
      <w:proofErr w:type="gramEnd"/>
      <w:r w:rsidR="00E35240">
        <w:t xml:space="preserve"> </w:t>
      </w:r>
      <w:r>
        <w:t xml:space="preserve">while piloting </w:t>
      </w:r>
      <w:proofErr w:type="gramStart"/>
      <w:r>
        <w:t>a light</w:t>
      </w:r>
      <w:proofErr w:type="gramEnd"/>
      <w:r>
        <w:t xml:space="preserve"> institutional architecture in the same clusters</w:t>
      </w:r>
      <w:r w:rsidR="00E35240">
        <w:t xml:space="preserve"> and supporting the public and private </w:t>
      </w:r>
      <w:proofErr w:type="gramStart"/>
      <w:r w:rsidR="00E35240">
        <w:t>sector</w:t>
      </w:r>
      <w:proofErr w:type="gramEnd"/>
      <w:r w:rsidR="00E35240">
        <w:t xml:space="preserve"> to expand their capacity over the next 3-5 years</w:t>
      </w:r>
      <w:r>
        <w:t>. Handoff is credible when qualified actors can obtain renewed material, resolve complaints, verify contested claims, and admit new partners without WorldFish coordinating every transaction.</w:t>
      </w:r>
    </w:p>
    <w:p w14:paraId="75B1BFA4" w14:textId="77777777" w:rsidR="0054159F" w:rsidRDefault="00CD19CB">
      <w:pPr>
        <w:pStyle w:val="Heading1"/>
      </w:pPr>
      <w:r>
        <w:rPr>
          <w:rFonts w:ascii="Calibri" w:eastAsia="Calibri" w:hAnsi="Calibri"/>
        </w:rPr>
        <w:t>Pillar One: Expanding Early-Generation Supply</w:t>
      </w:r>
    </w:p>
    <w:p w14:paraId="3F11EDCA" w14:textId="6CA8C57C" w:rsidR="0054159F" w:rsidRDefault="00CD19CB">
      <w:r>
        <w:t>Early-generation supply is one of the two principal constraints and is far below the scaling ambition. Supplying about 30 hatcheries may support a pilot, but not a national strategy involving hundreds of capable hatcheries, large private networks, and hundreds of thousands of farmers. Scarcity also aggravates the systems problem: when legitimate supply is inadequate</w:t>
      </w:r>
      <w:r w:rsidR="004D4F95">
        <w:t xml:space="preserve"> compared with demand</w:t>
      </w:r>
      <w:r>
        <w:t>, hatcheries and nurseries have stronger incentives to mix material, overstate provenance, or buy whatever is available.</w:t>
      </w:r>
    </w:p>
    <w:p w14:paraId="2DDC37EC" w14:textId="77777777" w:rsidR="0054159F" w:rsidRDefault="00CD19CB">
      <w:r>
        <w:t xml:space="preserve">Converting selected government and BFRI hatcheries into brood-development centers is a strong medium-term solution and an important institutional reform. Bangladesh has more than one hundred government hatcheries, but conversion requires rehabilitation, staff, protocols, and compensation for lost seed-sale revenue. Even with ADB funding it will take years. </w:t>
      </w:r>
      <w:r w:rsidRPr="00BA2157">
        <w:rPr>
          <w:u w:val="single"/>
        </w:rPr>
        <w:t>Government conversion should therefore be pursued urgently, but it cannot be the only response to the immediate shortage</w:t>
      </w:r>
      <w:r>
        <w:t>.</w:t>
      </w:r>
    </w:p>
    <w:p w14:paraId="745A34E5" w14:textId="562F583C" w:rsidR="0054159F" w:rsidRDefault="00CD19CB">
      <w:r w:rsidRPr="00BA2157">
        <w:rPr>
          <w:u w:val="single"/>
        </w:rPr>
        <w:t>WorldFish needs an immediate bridge: more ponds or leased facilities, additional production capacity, and contracts with a small number of technically capable private multipliers</w:t>
      </w:r>
      <w:r w:rsidR="00BA2157" w:rsidRPr="00BA2157">
        <w:rPr>
          <w:u w:val="single"/>
        </w:rPr>
        <w:t xml:space="preserve"> if they can be relied upon to maintain quality with technical support and oversight</w:t>
      </w:r>
      <w:r>
        <w:t>. Those contracts should specify separation, records, renewal, onward sales, testing, and consequences for misuse. This is not permanent privatization of the breeder function; it is a transitional mechanism to supply capable partners while a nationally owned system is built.</w:t>
      </w:r>
    </w:p>
    <w:p w14:paraId="43AC1F11" w14:textId="77777777" w:rsidR="0054159F" w:rsidRDefault="00CD19CB">
      <w:r w:rsidRPr="00BA2157">
        <w:rPr>
          <w:u w:val="single"/>
        </w:rPr>
        <w:t>In parallel, WorldFish, the Department, BFRI, and ADB should prepare a costed brood-development plan covering facilities, output targets, staffing, foregone revenue, access rules, renewal cycles, and accountability</w:t>
      </w:r>
      <w:r>
        <w:t>. Results-based financing could pay for verified conversion and production rather than buildings alone. The objective is a diversified national supply system in which public and authorized private facilities can replenish quality material at the scale required.</w:t>
      </w:r>
    </w:p>
    <w:p w14:paraId="3D309BFA" w14:textId="77777777" w:rsidR="0054159F" w:rsidRDefault="00CD19CB">
      <w:pPr>
        <w:pStyle w:val="Heading1"/>
      </w:pPr>
      <w:r>
        <w:rPr>
          <w:rFonts w:ascii="Calibri" w:eastAsia="Calibri" w:hAnsi="Calibri"/>
        </w:rPr>
        <w:lastRenderedPageBreak/>
        <w:t>Pillar Two: Quality, Institutions, and System Governance</w:t>
      </w:r>
    </w:p>
    <w:p w14:paraId="0CDCA6A2" w14:textId="2F60AAE9" w:rsidR="0054159F" w:rsidRDefault="00CD19CB">
      <w:r w:rsidRPr="00325011">
        <w:rPr>
          <w:u w:val="single"/>
        </w:rPr>
        <w:t xml:space="preserve">The second co-equal priority is to improve the reliability </w:t>
      </w:r>
      <w:r w:rsidR="00325011" w:rsidRPr="00325011">
        <w:rPr>
          <w:u w:val="single"/>
        </w:rPr>
        <w:t xml:space="preserve">and quality controls </w:t>
      </w:r>
      <w:r w:rsidRPr="00325011">
        <w:rPr>
          <w:u w:val="single"/>
        </w:rPr>
        <w:t>of the hatchery-nursery-farmer system</w:t>
      </w:r>
      <w:r>
        <w:t xml:space="preserve"> without displacing market mechanisms that already work. Inbreeding, weak records, mixing, and misrepresentation are real, </w:t>
      </w:r>
      <w:r w:rsidR="00325011">
        <w:t>and probably can be found in two-thirds or more of hatcheries and nurseries</w:t>
      </w:r>
      <w:r>
        <w:t>. Yet better suppliers protect their reputations, replace losses, and retain customers, while buyers switch after poor performance. Public action should reinforce this discipline with selective information, verification, and rules rather than attempt universal inspection.</w:t>
      </w:r>
    </w:p>
    <w:p w14:paraId="26AFCD65" w14:textId="77777777" w:rsidR="00375680" w:rsidRDefault="00CD19CB">
      <w:r w:rsidRPr="00375680">
        <w:rPr>
          <w:u w:val="single"/>
        </w:rPr>
        <w:t>The strongest first experiment is an A/B/C grading or certification pilot</w:t>
      </w:r>
      <w:r>
        <w:t xml:space="preserve"> in </w:t>
      </w:r>
      <w:r w:rsidR="003B37EC">
        <w:t xml:space="preserve">at least one fish hub district like </w:t>
      </w:r>
      <w:proofErr w:type="spellStart"/>
      <w:r>
        <w:t>Jashore</w:t>
      </w:r>
      <w:proofErr w:type="spellEnd"/>
      <w:r>
        <w:t xml:space="preserve">. </w:t>
      </w:r>
      <w:r w:rsidR="005B6D8D">
        <w:t xml:space="preserve">The DOF with WorldFish support should develop objective criteria ground in the Hatcheries Act and existing regulations. </w:t>
      </w:r>
      <w:r>
        <w:t xml:space="preserve">Objective criteria could cover broodstock source, records, biosecurity, truthful labeling and weighing, complaints, and </w:t>
      </w:r>
      <w:r w:rsidR="00D54F84">
        <w:t xml:space="preserve">potentially </w:t>
      </w:r>
      <w:r>
        <w:t>targeted genetic evidence</w:t>
      </w:r>
      <w:r w:rsidR="00D54F84">
        <w:t xml:space="preserve"> (DNA sampling)</w:t>
      </w:r>
      <w:r>
        <w:t>. Public grades would inform buyers without immediately closing suppliers</w:t>
      </w:r>
      <w:r w:rsidR="00375680">
        <w:t xml:space="preserve"> as the DOF should require public, visible posting of the grade </w:t>
      </w:r>
      <w:proofErr w:type="gramStart"/>
      <w:r w:rsidR="00375680">
        <w:t>so as to</w:t>
      </w:r>
      <w:proofErr w:type="gramEnd"/>
      <w:r w:rsidR="00375680">
        <w:t xml:space="preserve"> be visible to customers</w:t>
      </w:r>
      <w:r>
        <w:t xml:space="preserve">. </w:t>
      </w:r>
    </w:p>
    <w:p w14:paraId="07F13C0B" w14:textId="6B4C3DDD" w:rsidR="0054159F" w:rsidRDefault="00375680">
      <w:r w:rsidRPr="00BB1A8F">
        <w:rPr>
          <w:u w:val="single"/>
        </w:rPr>
        <w:t xml:space="preserve">This could and should be accompanied by </w:t>
      </w:r>
      <w:proofErr w:type="gramStart"/>
      <w:r w:rsidRPr="00BB1A8F">
        <w:rPr>
          <w:u w:val="single"/>
        </w:rPr>
        <w:t>an i</w:t>
      </w:r>
      <w:r w:rsidR="00CD19CB" w:rsidRPr="00BB1A8F">
        <w:rPr>
          <w:u w:val="single"/>
        </w:rPr>
        <w:t>mprovement</w:t>
      </w:r>
      <w:proofErr w:type="gramEnd"/>
      <w:r w:rsidR="00CD19CB" w:rsidRPr="00BB1A8F">
        <w:rPr>
          <w:u w:val="single"/>
        </w:rPr>
        <w:t xml:space="preserve"> plans and reassessment </w:t>
      </w:r>
      <w:r w:rsidRPr="00BB1A8F">
        <w:rPr>
          <w:u w:val="single"/>
        </w:rPr>
        <w:t>pilot</w:t>
      </w:r>
      <w:r w:rsidR="00CD19CB">
        <w:t xml:space="preserve">, with stronger consequences reserved for deliberate fraud or repeated serious failure. </w:t>
      </w:r>
      <w:r w:rsidR="00BB1A8F">
        <w:t>As this would require resources beyond current DOF funding, this may need to wait until</w:t>
      </w:r>
      <w:r w:rsidR="0008252B">
        <w:t xml:space="preserve"> ADB or other funding is available.  </w:t>
      </w:r>
      <w:r w:rsidR="0008252B" w:rsidRPr="002F63C6">
        <w:rPr>
          <w:u w:val="single"/>
        </w:rPr>
        <w:t>WorldFish could and should support this by working with BFRI and local universities to develop a hatcheries improvement training, coaching and technical support program</w:t>
      </w:r>
      <w:r w:rsidR="0008252B">
        <w:t>, potentially implemented by either universities or private contractors or both.</w:t>
      </w:r>
    </w:p>
    <w:p w14:paraId="4C992565" w14:textId="5FA605E1" w:rsidR="0054159F" w:rsidRDefault="002F63C6">
      <w:r>
        <w:t xml:space="preserve">A third pilot would cover DNA testing. </w:t>
      </w:r>
      <w:r w:rsidR="00CD19CB">
        <w:t xml:space="preserve">DNA testing should </w:t>
      </w:r>
      <w:r>
        <w:t xml:space="preserve">at least initially </w:t>
      </w:r>
      <w:r w:rsidR="00CD19CB">
        <w:t>answer an empirical question</w:t>
      </w:r>
      <w:r w:rsidR="00CD19CB">
        <w:t>. The prevalence and economic importance of genetic deterioration are not known. A stratified baseline of hatcheries and major nursery pathways could show whether the problem is widespread or concentrated. Universities already have relevant capacity. If the problem is material, targeted testing can support grading, disputed claims, brood-center participation, and access to improved material.</w:t>
      </w:r>
      <w:r>
        <w:t xml:space="preserve">  In the future, this might be repeated annually or biannually as seems appropriate as a quality control measure, perhaps rotating across individual species to minimize costs.</w:t>
      </w:r>
    </w:p>
    <w:p w14:paraId="2A3C84C3" w14:textId="42D8B830" w:rsidR="0054159F" w:rsidRDefault="00CD19CB">
      <w:r>
        <w:t xml:space="preserve">Nurseries need a different model because they are numerous and cannot be inspected frequently. The project should test a </w:t>
      </w:r>
      <w:r w:rsidR="0030459F">
        <w:t xml:space="preserve">licensing, </w:t>
      </w:r>
      <w:r>
        <w:t>registry and nursery-association approach with a few meaningful obligations: disclose seed sources, keep basic records, identify mixing, follow minimum hardening and transport practices, and respond to complaints. Associations can organize training and peer pressure, but public or independent bodies must validate grades and serious complaints. Simple batch records should precede any digital traceability system.</w:t>
      </w:r>
      <w:r w:rsidR="0030459F">
        <w:t xml:space="preserve">  Once again, as DOF does not have the capacity to visit and assess hundreds of nurseries </w:t>
      </w:r>
      <w:proofErr w:type="gramStart"/>
      <w:r w:rsidR="0030459F">
        <w:t>in a given</w:t>
      </w:r>
      <w:proofErr w:type="gramEnd"/>
      <w:r w:rsidR="0030459F">
        <w:t xml:space="preserve"> district, thought should be given as to how to design an effective and feasible pilot.  One option would be to make regulation and oversight voluntary combined with issuing of </w:t>
      </w:r>
      <w:proofErr w:type="gramStart"/>
      <w:r w:rsidR="0030459F">
        <w:t>certificates;  this</w:t>
      </w:r>
      <w:proofErr w:type="gramEnd"/>
      <w:r w:rsidR="0030459F">
        <w:t xml:space="preserve"> would self-select for </w:t>
      </w:r>
      <w:proofErr w:type="gramStart"/>
      <w:r w:rsidR="0030459F">
        <w:t>high quality</w:t>
      </w:r>
      <w:proofErr w:type="gramEnd"/>
      <w:r w:rsidR="0030459F">
        <w:t xml:space="preserve"> nurseries who like to use this to advertise their quality with customers. In the medium-run, </w:t>
      </w:r>
      <w:r w:rsidR="0030459F">
        <w:lastRenderedPageBreak/>
        <w:t>probably either third party oversight or digital record keeping and uploading to a government website combined with physical spot inspections biannually would make the most sense.</w:t>
      </w:r>
    </w:p>
    <w:p w14:paraId="6EBDE3FC" w14:textId="32584C44" w:rsidR="0054159F" w:rsidRDefault="00CD19CB">
      <w:r>
        <w:t xml:space="preserve">These mechanisms should be compared rather than bundled automatically. </w:t>
      </w:r>
      <w:r w:rsidR="00687CC4">
        <w:t>WorldFish</w:t>
      </w:r>
      <w:r>
        <w:t xml:space="preserve"> should test their cost, compliance burden, political acceptability, effect on supplier behavior, usefulness to buyers, and administrative feasibility. The likely national model is a light combination of public grading, targeted testing, nursery registration or association-based oversight, and incentives linked to access to improved broodstock. The purpose is to help better actors expand and preserve genetic gains, not make every supplier ideal.</w:t>
      </w:r>
    </w:p>
    <w:p w14:paraId="05E02EC4" w14:textId="77777777" w:rsidR="0054159F" w:rsidRDefault="00CD19CB">
      <w:pPr>
        <w:pStyle w:val="Heading1"/>
      </w:pPr>
      <w:bookmarkStart w:id="0" w:name="resume"/>
      <w:bookmarkEnd w:id="0"/>
      <w:r>
        <w:rPr>
          <w:rFonts w:ascii="Calibri" w:eastAsia="Calibri" w:hAnsi="Calibri"/>
        </w:rPr>
        <w:t>Integrating the Two Pillars: Incentives, Governance, and Sustainability</w:t>
      </w:r>
    </w:p>
    <w:p w14:paraId="046EBE31" w14:textId="3744B6D1" w:rsidR="0054159F" w:rsidRDefault="00CD19CB">
      <w:r>
        <w:t xml:space="preserve">The two pillars are economically inseparable. More improved material </w:t>
      </w:r>
      <w:r w:rsidR="0010683F">
        <w:t>maximizes the</w:t>
      </w:r>
      <w:r>
        <w:t xml:space="preserve"> value </w:t>
      </w:r>
      <w:r w:rsidR="0010683F">
        <w:t xml:space="preserve">it created </w:t>
      </w:r>
      <w:r>
        <w:t>only if the chain preserves enough quality for farmers to experience the gain. Quality rules</w:t>
      </w:r>
      <w:r w:rsidR="009676DD">
        <w:t>, incentives, mechanisms and traceability</w:t>
      </w:r>
      <w:r>
        <w:t xml:space="preserve"> </w:t>
      </w:r>
      <w:r w:rsidR="009676DD">
        <w:t xml:space="preserve">only make sense </w:t>
      </w:r>
      <w:r>
        <w:t xml:space="preserve">if </w:t>
      </w:r>
      <w:r w:rsidR="009676DD">
        <w:t xml:space="preserve">fish </w:t>
      </w:r>
      <w:proofErr w:type="gramStart"/>
      <w:r w:rsidR="009676DD">
        <w:t>seed</w:t>
      </w:r>
      <w:proofErr w:type="gramEnd"/>
      <w:r w:rsidR="009676DD">
        <w:t xml:space="preserve">, brood and fingerling </w:t>
      </w:r>
      <w:r>
        <w:t>suppliers can obtain legitimate material. The sustainable model is therefore limited public provision of foundational genetics, verification, and rules supporting a broad private market in multiplication and distribution. Neither a wholly public delivery chain nor a largely unregulated private market is appropriate.</w:t>
      </w:r>
    </w:p>
    <w:p w14:paraId="27831EFD" w14:textId="5DA9C5ED" w:rsidR="0054159F" w:rsidRDefault="00CD19CB">
      <w:r>
        <w:t>The Department’s reluctance to punish weak hatcheries is understandable while supply is scarce</w:t>
      </w:r>
      <w:r w:rsidR="00B35B82">
        <w:t xml:space="preserve"> and the DOF is putting in place a multi-year plan to strengthen the sector</w:t>
      </w:r>
      <w:r w:rsidR="00796636">
        <w:t xml:space="preserve"> over the next few years is being put in place.  Nonetheless, </w:t>
      </w:r>
      <w:r>
        <w:t>repeated advice without information</w:t>
      </w:r>
      <w:r w:rsidR="00796636">
        <w:t xml:space="preserve">, </w:t>
      </w:r>
      <w:r>
        <w:t xml:space="preserve">consequences </w:t>
      </w:r>
      <w:r w:rsidR="00796636">
        <w:t xml:space="preserve">or concrete support </w:t>
      </w:r>
      <w:r>
        <w:t>changes little. Strong actors should receive priority access to improved broodstock, public grades, and links to national buyers. Weak actors can receive improvement plans and reassessment; deliberate fraud or repeated failure should eventually affect grades, access, or licenses. As supply expands, government will have greater political room to enforce standards.</w:t>
      </w:r>
    </w:p>
    <w:p w14:paraId="6C48AACC" w14:textId="424DD722" w:rsidR="0054159F" w:rsidRDefault="00CD19CB">
      <w:r>
        <w:t xml:space="preserve">SeedCompacts and partnerships should become concrete agreements about investment and behavior. Each should specify volumes, payment, quality standards, verification, data, private expenditure, and continuation after the grant. BRAC, EON, PKSF, feed companies, processors, and leading hatcheries are valuable because they bring ponds, staff, finance, and customers. </w:t>
      </w:r>
      <w:r w:rsidRPr="00F14466">
        <w:rPr>
          <w:u w:val="single"/>
        </w:rPr>
        <w:t>Partnership numbers are irrelevant</w:t>
      </w:r>
      <w:r>
        <w:t xml:space="preserve"> unless transactions repeat and partners assume functions previously performed by WorldFish.</w:t>
      </w:r>
      <w:r w:rsidR="00F14466">
        <w:t xml:space="preserve">  Given that partnerships take considerable time to organize, manage and maintain, they need to be targeted and prioritized.</w:t>
      </w:r>
    </w:p>
    <w:p w14:paraId="3ACD3A9D" w14:textId="77777777" w:rsidR="0054159F" w:rsidRDefault="00CD19CB">
      <w:r>
        <w:t>Sustainability must be assigned by function. Breeding and periodic renewal may remain a WorldFish-BFRI research partnership. Routine early-generation multiplication should shift toward BFRI, Department brood centers, and authorized private multipliers, financed through public budgets, ADB resources, user fees, and sales. The Department should own grading, nursery policy, and complaints with BFRI and university support; commercial distribution should be privately financed. WorldFish should exit only after re</w:t>
      </w:r>
      <w:r>
        <w:t>ceiving actors demonstrate authority, staff, budgets, and performance.</w:t>
      </w:r>
    </w:p>
    <w:p w14:paraId="6E4E5F17" w14:textId="77777777" w:rsidR="0054159F" w:rsidRDefault="00CD19CB">
      <w:pPr>
        <w:pStyle w:val="Heading1"/>
      </w:pPr>
      <w:r>
        <w:lastRenderedPageBreak/>
        <w:t>OneFish: A Nonstarter for S4I</w:t>
      </w:r>
    </w:p>
    <w:p w14:paraId="4FA2EF30" w14:textId="7951474E" w:rsidR="0054159F" w:rsidRDefault="00CD19CB">
      <w:r>
        <w:t xml:space="preserve">The coaching and 3 August discussion provide enough evidence to reverse the earlier tentative optimism about OneFish. The platform was conceived as one application that does everything for fish farmers: a knowledge bank, disease information, weather and climate advisories, </w:t>
      </w:r>
      <w:r w:rsidR="0070222B">
        <w:t>etc</w:t>
      </w:r>
      <w:r>
        <w:t>. This breadth is not an advantage for scaling. It creates feature creep, a complicated user proposition, high maintenance requirements, and no clear answer to which function generates sufficient demand or revenue to sustain the platform.</w:t>
      </w:r>
    </w:p>
    <w:p w14:paraId="38BEEBC4" w14:textId="25F9031A" w:rsidR="0054159F" w:rsidRDefault="00CD19CB">
      <w:r>
        <w:t xml:space="preserve">Current use is small relative to the sector. Roughly 24,000 farmers were registered and trained, while Bangladesh has </w:t>
      </w:r>
      <w:proofErr w:type="gramStart"/>
      <w:r w:rsidR="009B11F1">
        <w:t>believe</w:t>
      </w:r>
      <w:proofErr w:type="gramEnd"/>
      <w:r w:rsidR="009B11F1">
        <w:t xml:space="preserve"> to have </w:t>
      </w:r>
      <w:r>
        <w:t>around three million fish farmers. The implementers acknowledged that registration required active training and onboarding because rural mobile literacy is limited. Scaling to hundreds of thousands would therefore require a long, expensive awareness and training campaign, not organic uptake. There is also no convincing long-term payer for software development, data updating, user support, verification, complaints, marketing, and maintenance. Government interest in selected functions does not establish deman</w:t>
      </w:r>
      <w:r>
        <w:t>d for the platform as a whole.</w:t>
      </w:r>
    </w:p>
    <w:p w14:paraId="0F678430" w14:textId="064975EC" w:rsidR="0054159F" w:rsidRDefault="009B11F1">
      <w:r>
        <w:t xml:space="preserve">While </w:t>
      </w:r>
      <w:r w:rsidR="001F40C7">
        <w:t xml:space="preserve">there may be a case to be made for ongoing </w:t>
      </w:r>
      <w:r w:rsidR="00F77B9C">
        <w:t xml:space="preserve">funding for further development of </w:t>
      </w:r>
      <w:proofErr w:type="spellStart"/>
      <w:r w:rsidR="00F77B9C">
        <w:t>OneFish</w:t>
      </w:r>
      <w:proofErr w:type="spellEnd"/>
      <w:r w:rsidR="00F77B9C">
        <w:t xml:space="preserve">, it’s not currently in a state ready for scaling.  </w:t>
      </w:r>
      <w:r w:rsidR="00CD19CB">
        <w:t>S4I should therefore fund neither further feature development nor a large OneFish adoption campaign in 2027. If a bilateral donor, venture investor, telecommunications company, or government program believes that a specific function has value, it can finance and test that function separately. The project may preserve existing data or use simple digital tools internally, but OneFish should not be placed on the critical scaling pathway for improved genetics. Certification, source disclosure, and farmer inform</w:t>
      </w:r>
      <w:r w:rsidR="00CD19CB">
        <w:t>ation must work through physical notices, associations, traders, extension, and ordinary mobile communication even if the app disappears.</w:t>
      </w:r>
    </w:p>
    <w:p w14:paraId="1146F1F1" w14:textId="77777777" w:rsidR="0054159F" w:rsidRDefault="00CD19CB">
      <w:pPr>
        <w:pStyle w:val="Heading1"/>
      </w:pPr>
      <w:r>
        <w:t>Functional Scaling for Climate Resilience</w:t>
      </w:r>
    </w:p>
    <w:p w14:paraId="69BC6F7C" w14:textId="77777777" w:rsidR="0054159F" w:rsidRDefault="00CD19CB">
      <w:r>
        <w:t>WorldFish’s breeding agenda has emphasized growth, yet farmers repeatedly identified heat, low oxygen, salinity, drought, and flooding as increasingly important production risks. Breeding only for faster growth assumes that future production conditions will resemble the past. That is no longer credible. A strain that grows slightly more slowly but survives heat or oxygen stress may have a much higher risk-adjusted value to farmers than a high-growth strain vulnerable to climatic shocks.</w:t>
      </w:r>
    </w:p>
    <w:p w14:paraId="7D0DC614" w14:textId="77777777" w:rsidR="0054159F" w:rsidRDefault="00CD19CB">
      <w:r>
        <w:t>Climate-resilient breeding is not one of the two immediate delivery pillars for G3 and G5, and it should not displace supply expansion or institutional strengthening. It is nevertheless an obvious form of functional scaling. WorldFish should prioritize traits, species, and agroecologies, assess growth-resilience trade-offs, and strengthen breeding partnerships. Major research costs should come from climate and breeding funds; S4I may support initial market and pathway analysis.</w:t>
      </w:r>
    </w:p>
    <w:p w14:paraId="1474EBE6" w14:textId="77777777" w:rsidR="0054159F" w:rsidRDefault="00CD19CB">
      <w:pPr>
        <w:pStyle w:val="Heading1"/>
      </w:pPr>
      <w:r>
        <w:lastRenderedPageBreak/>
        <w:t>IPSR Assessment</w:t>
      </w:r>
    </w:p>
    <w:p w14:paraId="648A8921" w14:textId="6D5CCABC" w:rsidR="0054159F" w:rsidRDefault="00CD19CB">
      <w:r>
        <w:t>IPSR’s systems perspective was valuable</w:t>
      </w:r>
      <w:r w:rsidR="00442C74">
        <w:t xml:space="preserve"> in this case</w:t>
      </w:r>
      <w:r>
        <w:t>: it encouraged the team to treat improved genetics as a package involving nurseries, regulation, partnerships, and advice. Its weakness was insufficient prioritization and actor testing. It did not force a distinction between essential and optional components, assess whether named actors had incentives and capacity, or recognize that early-generation supply and institutional quality governance had to advance together. The package expanded while both core pillars remained under-resourced.</w:t>
      </w:r>
    </w:p>
    <w:p w14:paraId="31BBA822" w14:textId="77777777" w:rsidR="0054159F" w:rsidRDefault="00CD19CB">
      <w:r>
        <w:t>A stronger IPSR process would begin with the scaling denominator and conversion pathway, then identify the few constraints that can break it. It would separate technical, supply, institutional, and actor readiness; require a payer, doer, incentive, capacity assessment, and evidence test for every essential function; and end with decisions to fund, test, defer, or stop. It would also examine interactions: supply affects enforcement feasibility, while quality institutions protect the returns to supply expansi</w:t>
      </w:r>
      <w:r>
        <w:t>on.</w:t>
      </w:r>
    </w:p>
    <w:p w14:paraId="072DDE79" w14:textId="77777777" w:rsidR="0054159F" w:rsidRDefault="00CD19CB">
      <w:r>
        <w:t>Future workshops should use stakeholder views as evidence, not substitutes for expert synthesis. They should end with interacting bottlenecks, quantified commitments, experiments, handoff milestones, and stop criteria. For WorldFish, the result should be a coordinated two-pillar pathway: expand legitimate supply, build public and private brood-development capacity, test a light quality and nursery-governance architecture, leverage private networks, and remove OneFish from the S4I-funded critical path.</w:t>
      </w:r>
    </w:p>
    <w:p w14:paraId="05BC6B54" w14:textId="77777777" w:rsidR="0054159F" w:rsidRDefault="00CD19CB">
      <w:pPr>
        <w:pStyle w:val="Heading1"/>
      </w:pPr>
      <w:r>
        <w:t>Recommendations for 2027 and S4I Funding</w:t>
      </w:r>
    </w:p>
    <w:p w14:paraId="286E1ECE" w14:textId="1E9B4903" w:rsidR="0054159F" w:rsidRDefault="00CD19CB">
      <w:r>
        <w:t>S4I should fund the Scaling Solution for another year and provide a larger allocation</w:t>
      </w:r>
      <w:r w:rsidR="004E4408">
        <w:t>, resources</w:t>
      </w:r>
      <w:r w:rsidR="00410751">
        <w:t xml:space="preserve"> permitting</w:t>
      </w:r>
      <w:r>
        <w:t>. The technical product is credible, the market exists, private partners are interested, government political will is high, and ADB investment may shape the sector for years. Flexible S4I resources can have disproportionate leverage if they advance both co-equal priorities: substantially more legitimate genetic material and a practical national system for preserving quality and transferring public functions. Funding should be milestone-based, not routine continuation.</w:t>
      </w:r>
    </w:p>
    <w:p w14:paraId="23A07B89" w14:textId="09B208B3" w:rsidR="0054159F" w:rsidRDefault="00CD19CB">
      <w:r>
        <w:t xml:space="preserve">First, fund rapid early-generation supply expansion. WorldFish should present a costed plan for additional pond, staff, and production capacity and for contracting qualified private multipliers. S4I should expect a step-change in capable hatcheries supplied, with verified volumes, quality controls, pricing, renewal, and onward distribution. </w:t>
      </w:r>
      <w:r w:rsidR="00EA2875">
        <w:t xml:space="preserve">If given the time it takes to get this going, at least a detailed plan, milestones, and timeline should be developed and hopefully implementation begun by mid-2027. </w:t>
      </w:r>
      <w:r>
        <w:t>The outcome is more legitimate material entering the market during 2027, not another diagnosis of the shortage.</w:t>
      </w:r>
    </w:p>
    <w:p w14:paraId="5EB0012C" w14:textId="0B86797D" w:rsidR="0054159F" w:rsidRDefault="00CD19CB">
      <w:r>
        <w:t xml:space="preserve">Second, fund the institutional </w:t>
      </w:r>
      <w:r w:rsidR="00A218BE">
        <w:t>co-</w:t>
      </w:r>
      <w:r>
        <w:t xml:space="preserve">design and </w:t>
      </w:r>
      <w:r w:rsidR="00A218BE">
        <w:t>technical support</w:t>
      </w:r>
      <w:r>
        <w:t xml:space="preserve"> </w:t>
      </w:r>
      <w:r w:rsidR="00A218BE">
        <w:t xml:space="preserve">for </w:t>
      </w:r>
      <w:r>
        <w:t xml:space="preserve">implementation of a national </w:t>
      </w:r>
      <w:proofErr w:type="gramStart"/>
      <w:r>
        <w:t>brood</w:t>
      </w:r>
      <w:proofErr w:type="gramEnd"/>
      <w:r>
        <w:t xml:space="preserve">-development system. WorldFish, the Department, BFRI, and ADB should </w:t>
      </w:r>
      <w:r w:rsidR="00A218BE">
        <w:t xml:space="preserve">jointly </w:t>
      </w:r>
      <w:r>
        <w:t xml:space="preserve">select facilities, define operating and financing models, quantify foregone revenue, specify staffing and standards, and begin one or two conversions. S4I should use its </w:t>
      </w:r>
      <w:r>
        <w:lastRenderedPageBreak/>
        <w:t>flexibility to improve the much larger ADB investment through results-based milestones, access rules, quality assurance, and clear public-private roles.</w:t>
      </w:r>
    </w:p>
    <w:p w14:paraId="2129DCFD" w14:textId="36F68739" w:rsidR="0054159F" w:rsidRDefault="00CD19CB">
      <w:r>
        <w:t xml:space="preserve">Third, fund a focused </w:t>
      </w:r>
      <w:r w:rsidR="00205C61">
        <w:t xml:space="preserve">portfolio </w:t>
      </w:r>
      <w:r w:rsidR="00205C61">
        <w:t xml:space="preserve">of </w:t>
      </w:r>
      <w:r>
        <w:t xml:space="preserve">quality-systems </w:t>
      </w:r>
      <w:r w:rsidR="00205C61">
        <w:t xml:space="preserve">improvement pilots </w:t>
      </w:r>
      <w:r>
        <w:t xml:space="preserve">in </w:t>
      </w:r>
      <w:r w:rsidR="00205C61">
        <w:t>two or three</w:t>
      </w:r>
      <w:r>
        <w:t xml:space="preserve"> major clusters</w:t>
      </w:r>
      <w:r w:rsidR="00205C61">
        <w:t xml:space="preserve"> for comparison purposes</w:t>
      </w:r>
      <w:r>
        <w:t xml:space="preserve">: a grading or certification pilot, a targeted DNA baseline and protocol, and a feasible nursery registry or association model. These should be comparative institutional experiments with explicit cost, behavior, political, and buyer-response measures. </w:t>
      </w:r>
      <w:r w:rsidR="00873ECD">
        <w:t xml:space="preserve">The key should be to identify where and why. </w:t>
      </w:r>
      <w:r>
        <w:t>By year-end the team should recommend a minimum national architecture</w:t>
      </w:r>
      <w:r w:rsidR="00873ECD">
        <w:t xml:space="preserve"> (or variations if necessary)</w:t>
      </w:r>
      <w:r>
        <w:t>, not simply report consultations and training.</w:t>
      </w:r>
    </w:p>
    <w:p w14:paraId="5E0F8DE1" w14:textId="2CA91064" w:rsidR="0054159F" w:rsidRDefault="00CD19CB">
      <w:r>
        <w:t xml:space="preserve">Fourth, </w:t>
      </w:r>
      <w:r w:rsidR="00FA77C8">
        <w:t xml:space="preserve">work with targeted </w:t>
      </w:r>
      <w:r>
        <w:t xml:space="preserve">private </w:t>
      </w:r>
      <w:r w:rsidR="00FA77C8">
        <w:t xml:space="preserve">partners to leverage and increase adoption with a medium-term perspective to move towards </w:t>
      </w:r>
      <w:r>
        <w:t>co-investment and role transfer. Agreements with BRAC, EON, PKSF, feed companies, hatcheries, or processors should specify quantities, their own expenditure, staff and infrastructure, quality obligations, data sharing, and continuation. National organizations matter when they expand supply and quality with their own resources and reduce dependence on WorldFish, not when they provide another channel for donor-funded distribution.</w:t>
      </w:r>
    </w:p>
    <w:p w14:paraId="15C2E4E1" w14:textId="77777777" w:rsidR="0054159F" w:rsidRDefault="00CD19CB">
      <w:r>
        <w:t>Fifth, improve scaling evidence and handoff accountability. Track material produced, hatcheries and nurseries supplied, provenance, compliance status, farmer performance, repeat purchases, premiums, complaints, private investment, and the share of functions financed and performed by permanent actors. A small longitudinal cohort can test whether genetic gains survive the chain and generate repeat demand. Reach, training, and app registration should remain secondary indicators.</w:t>
      </w:r>
    </w:p>
    <w:p w14:paraId="70D3540B" w14:textId="77777777" w:rsidR="0054159F" w:rsidRDefault="00CD19CB">
      <w:r>
        <w:t>Sixth, begin climate-resilient breeding as a separately financed workstream and remove OneFish from the S4I critical path. S4I may support trait prioritization and proposal development, but major breeding costs should come from climate funds. Existing OneFish functions should continue only if another payer demonstrates demand; 2027 scaling results should not depend on feature development or mass onboarding.</w:t>
      </w:r>
    </w:p>
    <w:p w14:paraId="764C0EB2" w14:textId="77777777" w:rsidR="0054159F" w:rsidRDefault="00CD19CB">
      <w:r>
        <w:t>By the end of 2027, the program should show balanced progress: a substantial increase in legitimate supply; an operational pathway toward public and private brood-development capacity; at least one credible quality mechanism; a feasible nursery-oversight model; private partners investing and moving meaningful volumes; evidence of verified farmer use; and a function-by-function handoff plan. Progress on only one pillar should not count as successful transition to scale.</w:t>
      </w:r>
    </w:p>
    <w:p w14:paraId="5EDCC7A9" w14:textId="77777777" w:rsidR="0054159F" w:rsidRDefault="00CD19CB">
      <w:pPr>
        <w:pStyle w:val="Heading1"/>
      </w:pPr>
      <w:r>
        <w:t>Lessons for S4I and CGIAR</w:t>
      </w:r>
    </w:p>
    <w:p w14:paraId="56E4881E" w14:textId="77777777" w:rsidR="0054159F" w:rsidRDefault="00CD19CB">
      <w:r>
        <w:t xml:space="preserve">This case illustrates both CGIAR’s strength and its scaling weakness. CGIAR can produce a valuable innovation in a market with enormous latent scale, yet underinvest in the production capacity and institutional architecture required for sustainable adoption. Producing enough early-generation material, creating feasible quality rules, aligning incentives, and assigning permanent payer and doer roles are not ancillary activities. They </w:t>
      </w:r>
      <w:r>
        <w:lastRenderedPageBreak/>
        <w:t>are the work of scaling, even when they produce fewer immediate beneficiary counts than distribution campaigns.</w:t>
      </w:r>
    </w:p>
    <w:p w14:paraId="1846CC0E" w14:textId="77777777" w:rsidR="0054159F" w:rsidRDefault="00CD19CB">
      <w:r>
        <w:t>S4I should distinguish essential system infrastructure from attractive distractions. Digital platforms, elaborate traceability, and broad stakeholder structures deserve scaling funds only when demand, a payer, and a binding-constraint rationale are demonstrated. OneFish fails that test. Early-generation capacity and a practical quality and governance system pass it. The lesson is not to favor supply over institutions or vice versa, but to fund the few interdependent functions without which the pathway canno</w:t>
      </w:r>
      <w:r>
        <w:t>t sustain itself.</w:t>
      </w:r>
    </w:p>
    <w:p w14:paraId="6F0EF0CD" w14:textId="790A6EF9" w:rsidR="0054159F" w:rsidRDefault="00CD19CB">
      <w:r>
        <w:t>Large external investments create opportunity and risk. S4I cannot match ADB capital</w:t>
      </w:r>
      <w:r w:rsidR="00647623">
        <w:t xml:space="preserve"> (or even that of bilateral donors and foundations)</w:t>
      </w:r>
      <w:r>
        <w:t>, but it can improve its effectiveness by financing institutional design, evidence, standards, sequencing, and stage gates before money is locked into facilities. In this case, S4I can help ensure that ADB investments expand broodstock supply while establishing access rules, quality protocols, nursery policy, and governance. This should become a general S4I role: use flexible grants to shape much larger investments.</w:t>
      </w:r>
    </w:p>
    <w:p w14:paraId="7E2EA6D9" w14:textId="3E69ABDE" w:rsidR="0054159F" w:rsidRDefault="00CD19CB">
      <w:r>
        <w:t>CGIAR must also accept temporary roles that research centers do not naturally embrace. WorldFish may need to expand production, contract multipliers, design certification pilots, broker political agreements, and monitor market behavior before permanent institutions are ready. That is appropriate when explicitly transitional. The failure would be refusing to integrate the pathway while both pillars stall, or performing the role indefinitely without building public and private successors.</w:t>
      </w:r>
    </w:p>
    <w:sectPr w:rsidR="0054159F" w:rsidSect="007E1FB2">
      <w:headerReference w:type="default" r:id="rId8"/>
      <w:footerReference w:type="default" r:id="rId9"/>
      <w:pgSz w:w="11906" w:h="16838" w:code="9"/>
      <w:pgMar w:top="1440" w:right="1440" w:bottom="1440" w:left="1440" w:header="720"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355EB" w14:textId="77777777" w:rsidR="00CD19CB" w:rsidRDefault="00CD19CB">
      <w:pPr>
        <w:spacing w:after="0" w:line="240" w:lineRule="auto"/>
      </w:pPr>
      <w:r>
        <w:separator/>
      </w:r>
    </w:p>
  </w:endnote>
  <w:endnote w:type="continuationSeparator" w:id="0">
    <w:p w14:paraId="32F8F12E" w14:textId="77777777" w:rsidR="00CD19CB" w:rsidRDefault="00CD1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304"/>
      <w:gridCol w:w="4176"/>
      <w:gridCol w:w="2549"/>
    </w:tblGrid>
    <w:tr w:rsidR="0054159F" w14:paraId="1D880161" w14:textId="77777777">
      <w:trPr>
        <w:jc w:val="center"/>
      </w:trPr>
      <w:tc>
        <w:tcPr>
          <w:tcW w:w="2304" w:type="dxa"/>
          <w:vAlign w:val="center"/>
        </w:tcPr>
        <w:p w14:paraId="43A1BFBF" w14:textId="77777777" w:rsidR="0054159F" w:rsidRDefault="0054159F">
          <w:pPr>
            <w:spacing w:after="0" w:line="240" w:lineRule="auto"/>
          </w:pPr>
        </w:p>
      </w:tc>
      <w:tc>
        <w:tcPr>
          <w:tcW w:w="4176" w:type="dxa"/>
          <w:vAlign w:val="center"/>
        </w:tcPr>
        <w:p w14:paraId="2F45ED63" w14:textId="77777777" w:rsidR="0054159F" w:rsidRDefault="00CD19CB">
          <w:pPr>
            <w:spacing w:after="0" w:line="240" w:lineRule="auto"/>
            <w:jc w:val="center"/>
          </w:pPr>
          <w:r>
            <w:rPr>
              <w:sz w:val="20"/>
            </w:rPr>
            <w:t xml:space="preserve">Page </w:t>
          </w:r>
          <w:r>
            <w:rPr>
              <w:sz w:val="20"/>
            </w:rPr>
            <w:fldChar w:fldCharType="begin"/>
          </w:r>
          <w:r>
            <w:rPr>
              <w:sz w:val="20"/>
            </w:rPr>
            <w:instrText>PAGE</w:instrText>
          </w:r>
          <w:r>
            <w:rPr>
              <w:sz w:val="20"/>
            </w:rPr>
            <w:fldChar w:fldCharType="separate"/>
          </w:r>
          <w:r>
            <w:rPr>
              <w:sz w:val="20"/>
            </w:rPr>
            <w:t>1</w:t>
          </w:r>
          <w:r>
            <w:rPr>
              <w:sz w:val="20"/>
            </w:rPr>
            <w:fldChar w:fldCharType="end"/>
          </w:r>
          <w:r>
            <w:rPr>
              <w:sz w:val="20"/>
            </w:rPr>
            <w:t xml:space="preserve"> of </w:t>
          </w:r>
          <w:r>
            <w:rPr>
              <w:sz w:val="20"/>
            </w:rPr>
            <w:fldChar w:fldCharType="begin"/>
          </w:r>
          <w:r>
            <w:rPr>
              <w:sz w:val="20"/>
            </w:rPr>
            <w:instrText>NUMPAGES</w:instrText>
          </w:r>
          <w:r>
            <w:rPr>
              <w:sz w:val="20"/>
            </w:rPr>
            <w:fldChar w:fldCharType="separate"/>
          </w:r>
          <w:r>
            <w:rPr>
              <w:sz w:val="20"/>
            </w:rPr>
            <w:t>1</w:t>
          </w:r>
          <w:r>
            <w:rPr>
              <w:sz w:val="20"/>
            </w:rPr>
            <w:fldChar w:fldCharType="end"/>
          </w:r>
        </w:p>
      </w:tc>
      <w:tc>
        <w:tcPr>
          <w:tcW w:w="2549" w:type="dxa"/>
          <w:vAlign w:val="center"/>
        </w:tcPr>
        <w:p w14:paraId="28B0B121" w14:textId="77777777" w:rsidR="0054159F" w:rsidRDefault="00CD19CB">
          <w:pPr>
            <w:spacing w:after="0" w:line="240" w:lineRule="auto"/>
            <w:jc w:val="right"/>
          </w:pPr>
          <w:r>
            <w:rPr>
              <w:sz w:val="20"/>
            </w:rPr>
            <w:t>3 August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F186E" w14:textId="77777777" w:rsidR="00CD19CB" w:rsidRDefault="00CD19CB">
      <w:pPr>
        <w:spacing w:after="0" w:line="240" w:lineRule="auto"/>
      </w:pPr>
      <w:r>
        <w:separator/>
      </w:r>
    </w:p>
  </w:footnote>
  <w:footnote w:type="continuationSeparator" w:id="0">
    <w:p w14:paraId="5E34A379" w14:textId="77777777" w:rsidR="00CD19CB" w:rsidRDefault="00CD1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6759" w14:textId="1C08A965" w:rsidR="007E1FB2" w:rsidRPr="007E1FB2" w:rsidRDefault="007E1FB2" w:rsidP="007E1FB2">
    <w:pPr>
      <w:pStyle w:val="Header"/>
      <w:jc w:val="right"/>
      <w:rPr>
        <w:sz w:val="22"/>
        <w:szCs w:val="20"/>
      </w:rPr>
    </w:pPr>
    <w:r w:rsidRPr="007E1FB2">
      <w:rPr>
        <w:sz w:val="22"/>
        <w:szCs w:val="20"/>
      </w:rPr>
      <w:t>Bangladesh World Fish Scaling Assessment and Coaching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644A2E"/>
    <w:multiLevelType w:val="hybridMultilevel"/>
    <w:tmpl w:val="2D487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1032498">
    <w:abstractNumId w:val="8"/>
  </w:num>
  <w:num w:numId="2" w16cid:durableId="1675379688">
    <w:abstractNumId w:val="6"/>
  </w:num>
  <w:num w:numId="3" w16cid:durableId="480804560">
    <w:abstractNumId w:val="5"/>
  </w:num>
  <w:num w:numId="4" w16cid:durableId="627198371">
    <w:abstractNumId w:val="4"/>
  </w:num>
  <w:num w:numId="5" w16cid:durableId="974524515">
    <w:abstractNumId w:val="7"/>
  </w:num>
  <w:num w:numId="6" w16cid:durableId="743066370">
    <w:abstractNumId w:val="3"/>
  </w:num>
  <w:num w:numId="7" w16cid:durableId="2136290766">
    <w:abstractNumId w:val="2"/>
  </w:num>
  <w:num w:numId="8" w16cid:durableId="1353919955">
    <w:abstractNumId w:val="1"/>
  </w:num>
  <w:num w:numId="9" w16cid:durableId="728917562">
    <w:abstractNumId w:val="0"/>
  </w:num>
  <w:num w:numId="10" w16cid:durableId="19946802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A8"/>
    <w:rsid w:val="00034616"/>
    <w:rsid w:val="00042BA8"/>
    <w:rsid w:val="000564EC"/>
    <w:rsid w:val="0006063C"/>
    <w:rsid w:val="0008252B"/>
    <w:rsid w:val="000A4F3F"/>
    <w:rsid w:val="000B25DA"/>
    <w:rsid w:val="0010683F"/>
    <w:rsid w:val="0015074B"/>
    <w:rsid w:val="00176BC0"/>
    <w:rsid w:val="001F40C7"/>
    <w:rsid w:val="00204229"/>
    <w:rsid w:val="00205C61"/>
    <w:rsid w:val="0029639D"/>
    <w:rsid w:val="002A3C22"/>
    <w:rsid w:val="002F63C6"/>
    <w:rsid w:val="0030459F"/>
    <w:rsid w:val="00310D7E"/>
    <w:rsid w:val="00325011"/>
    <w:rsid w:val="00326F90"/>
    <w:rsid w:val="00375680"/>
    <w:rsid w:val="003B37EC"/>
    <w:rsid w:val="003B601D"/>
    <w:rsid w:val="003C5FFE"/>
    <w:rsid w:val="00407FF8"/>
    <w:rsid w:val="00410751"/>
    <w:rsid w:val="00442C74"/>
    <w:rsid w:val="00452E35"/>
    <w:rsid w:val="004D4F95"/>
    <w:rsid w:val="004E4408"/>
    <w:rsid w:val="0054159F"/>
    <w:rsid w:val="0057107E"/>
    <w:rsid w:val="005918D7"/>
    <w:rsid w:val="005943E7"/>
    <w:rsid w:val="005B6D8D"/>
    <w:rsid w:val="005B72D7"/>
    <w:rsid w:val="005B7339"/>
    <w:rsid w:val="00634141"/>
    <w:rsid w:val="00647623"/>
    <w:rsid w:val="0067032A"/>
    <w:rsid w:val="00680098"/>
    <w:rsid w:val="00687CC4"/>
    <w:rsid w:val="0070222B"/>
    <w:rsid w:val="00746B1B"/>
    <w:rsid w:val="00746C93"/>
    <w:rsid w:val="007761F6"/>
    <w:rsid w:val="00794CF1"/>
    <w:rsid w:val="00796636"/>
    <w:rsid w:val="007D5791"/>
    <w:rsid w:val="007E1FB2"/>
    <w:rsid w:val="00801D0C"/>
    <w:rsid w:val="00873ECD"/>
    <w:rsid w:val="009676DD"/>
    <w:rsid w:val="009B11F1"/>
    <w:rsid w:val="009B750C"/>
    <w:rsid w:val="00A218BE"/>
    <w:rsid w:val="00AA1D8D"/>
    <w:rsid w:val="00B35B82"/>
    <w:rsid w:val="00B47730"/>
    <w:rsid w:val="00B84E02"/>
    <w:rsid w:val="00BA2157"/>
    <w:rsid w:val="00BA6866"/>
    <w:rsid w:val="00BB1A8F"/>
    <w:rsid w:val="00C829D3"/>
    <w:rsid w:val="00C84DF6"/>
    <w:rsid w:val="00CA4B48"/>
    <w:rsid w:val="00CB0664"/>
    <w:rsid w:val="00CD19CB"/>
    <w:rsid w:val="00D54F84"/>
    <w:rsid w:val="00E038B6"/>
    <w:rsid w:val="00E30578"/>
    <w:rsid w:val="00E35240"/>
    <w:rsid w:val="00E42A39"/>
    <w:rsid w:val="00E57807"/>
    <w:rsid w:val="00EA2875"/>
    <w:rsid w:val="00EC6A5D"/>
    <w:rsid w:val="00F14466"/>
    <w:rsid w:val="00F2629C"/>
    <w:rsid w:val="00F27931"/>
    <w:rsid w:val="00F36EF7"/>
    <w:rsid w:val="00F77B9C"/>
    <w:rsid w:val="00FA7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62F1CF0-0697-4EDE-8914-F8F2D9180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000000"/>
      <w:sz w:val="24"/>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sz w:val="28"/>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13</Pages>
  <Words>5649</Words>
  <Characters>32201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WorldFish Bangladesh Scaling Assessment and Coaching Recommendations - Revised</dc:title>
  <dc:subject>Dual-pillar scaling assessment: early-generation supply and systems strengthening</dc:subject>
  <dc:creator>Dr. Richard Kohl, Strategy and Scale LLC</dc:creator>
  <cp:keywords>WorldFish, Bangladesh, scaling, fish genetics, early generation seed, S4I</cp:keywords>
  <dc:description>Prepared from the 3 August 2026 coaching transcript and supporting field documents.</dc:description>
  <cp:lastModifiedBy>Richard Kohl</cp:lastModifiedBy>
  <cp:revision>37</cp:revision>
  <dcterms:created xsi:type="dcterms:W3CDTF">2026-08-04T01:12:00Z</dcterms:created>
  <dcterms:modified xsi:type="dcterms:W3CDTF">2026-08-04T12:08:00Z</dcterms:modified>
  <cp:category/>
</cp:coreProperties>
</file>