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2E46B7" w14:textId="77777777" w:rsidR="00BA3083" w:rsidRDefault="00000000">
      <w:pPr>
        <w:spacing w:before="900"/>
      </w:pPr>
      <w:r>
        <w:rPr>
          <w:b/>
          <w:bCs/>
          <w:color w:val="1B5E4F"/>
          <w:spacing w:val="40"/>
          <w:sz w:val="20"/>
          <w:szCs w:val="20"/>
        </w:rPr>
        <w:t>SCALING INTELLIGENCE OPERATING SYSTEM</w:t>
      </w:r>
    </w:p>
    <w:p w14:paraId="035BAE8E" w14:textId="77777777" w:rsidR="00BA3083" w:rsidRDefault="00BA3083">
      <w:pPr>
        <w:pBdr>
          <w:bottom w:val="single" w:sz="12" w:space="8" w:color="6A1B9A"/>
        </w:pBdr>
        <w:spacing w:before="40"/>
      </w:pPr>
    </w:p>
    <w:p w14:paraId="6F44296B" w14:textId="77777777" w:rsidR="00BA3083" w:rsidRDefault="00000000">
      <w:pPr>
        <w:spacing w:before="260"/>
      </w:pPr>
      <w:r>
        <w:rPr>
          <w:b/>
          <w:bCs/>
          <w:sz w:val="44"/>
          <w:szCs w:val="44"/>
        </w:rPr>
        <w:t>Integrated Assessment &amp; Richard Kohl Coaching Preparation</w:t>
      </w:r>
    </w:p>
    <w:p w14:paraId="24F5D1AD" w14:textId="77777777" w:rsidR="00BA3083" w:rsidRDefault="00000000">
      <w:pPr>
        <w:spacing w:before="120"/>
      </w:pPr>
      <w:r>
        <w:rPr>
          <w:color w:val="5A5A5A"/>
          <w:sz w:val="26"/>
          <w:szCs w:val="26"/>
        </w:rPr>
        <w:t>Solution Track: Bundled Digital Financial Services — Kenya &amp; India</w:t>
      </w:r>
    </w:p>
    <w:p w14:paraId="0579B198" w14:textId="77777777" w:rsidR="00BA3083" w:rsidRDefault="00000000">
      <w:pPr>
        <w:spacing w:before="40"/>
      </w:pPr>
      <w:r>
        <w:rPr>
          <w:i/>
          <w:iCs/>
          <w:color w:val="5A5A5A"/>
          <w:sz w:val="22"/>
          <w:szCs w:val="22"/>
        </w:rPr>
        <w:t>CGIAR Scaling for Impact (S4I) · Area of Work 2</w:t>
      </w:r>
    </w:p>
    <w:p w14:paraId="289EBC3B" w14:textId="77777777" w:rsidR="00BA3083" w:rsidRDefault="00BA3083">
      <w:pPr>
        <w:spacing w:before="340"/>
      </w:pPr>
    </w:p>
    <w:tbl>
      <w:tblPr>
        <w:tblW w:w="9360" w:type="dxa"/>
        <w:tblBorders>
          <w:left w:val="single" w:sz="24" w:space="0" w:color="6A1B9A"/>
        </w:tblBorders>
        <w:tblCellMar>
          <w:left w:w="10" w:type="dxa"/>
          <w:right w:w="10" w:type="dxa"/>
        </w:tblCellMar>
        <w:tblLook w:val="04A0" w:firstRow="1" w:lastRow="0" w:firstColumn="1" w:lastColumn="0" w:noHBand="0" w:noVBand="1"/>
      </w:tblPr>
      <w:tblGrid>
        <w:gridCol w:w="9360"/>
      </w:tblGrid>
      <w:tr w:rsidR="00BA3083" w14:paraId="3ADF901C" w14:textId="77777777">
        <w:tblPrEx>
          <w:tblCellMar>
            <w:top w:w="0" w:type="dxa"/>
            <w:bottom w:w="0" w:type="dxa"/>
          </w:tblCellMar>
        </w:tblPrEx>
        <w:tc>
          <w:tcPr>
            <w:tcW w:w="9360" w:type="dxa"/>
            <w:shd w:val="clear" w:color="auto" w:fill="EEF3F1"/>
            <w:tcMar>
              <w:top w:w="120" w:type="dxa"/>
              <w:left w:w="200" w:type="dxa"/>
              <w:bottom w:w="120" w:type="dxa"/>
              <w:right w:w="160" w:type="dxa"/>
            </w:tcMar>
          </w:tcPr>
          <w:p w14:paraId="6CA7FD1F" w14:textId="77777777" w:rsidR="00BA3083" w:rsidRDefault="00000000">
            <w:pPr>
              <w:spacing w:after="60"/>
            </w:pPr>
            <w:r>
              <w:rPr>
                <w:b/>
                <w:bCs/>
                <w:color w:val="6A1B9A"/>
              </w:rPr>
              <w:t>How to read this report</w:t>
            </w:r>
          </w:p>
          <w:p w14:paraId="03A6785D" w14:textId="77777777" w:rsidR="00BA3083" w:rsidRDefault="00000000">
            <w:pPr>
              <w:spacing w:after="50" w:line="258" w:lineRule="auto"/>
            </w:pPr>
            <w:r>
              <w:t xml:space="preserve">This is a </w:t>
            </w:r>
            <w:r>
              <w:rPr>
                <w:b/>
                <w:bCs/>
              </w:rPr>
              <w:t>blind, evidence-based assessment</w:t>
            </w:r>
            <w:r>
              <w:t>. Its purpose is not to confirm scaling readiness but to determine what is proven, what remains assumption, and what the most upstream constraint is.</w:t>
            </w:r>
          </w:p>
          <w:p w14:paraId="2464430E" w14:textId="77777777" w:rsidR="00BA3083" w:rsidRDefault="00000000">
            <w:pPr>
              <w:spacing w:after="50" w:line="258" w:lineRule="auto"/>
            </w:pPr>
            <w:r>
              <w:t xml:space="preserve">Three disciplines were applied collaboratively — </w:t>
            </w:r>
            <w:r>
              <w:rPr>
                <w:b/>
                <w:bCs/>
                <w:color w:val="1B5E4F"/>
              </w:rPr>
              <w:t>Librarian</w:t>
            </w:r>
            <w:r>
              <w:t xml:space="preserve"> (what is known), </w:t>
            </w:r>
            <w:r>
              <w:rPr>
                <w:b/>
                <w:bCs/>
                <w:color w:val="0B5394"/>
              </w:rPr>
              <w:t>Analyst</w:t>
            </w:r>
            <w:r>
              <w:t xml:space="preserve"> (what it means), and </w:t>
            </w:r>
            <w:r>
              <w:rPr>
                <w:b/>
                <w:bCs/>
                <w:color w:val="6A1B9A"/>
              </w:rPr>
              <w:t>Strategy Coach</w:t>
            </w:r>
            <w:r>
              <w:t xml:space="preserve"> (Kohl-style systems reasoning). Where they disagree, the disagreement is preserved.</w:t>
            </w:r>
          </w:p>
          <w:p w14:paraId="356D3D90" w14:textId="77777777" w:rsidR="00BA3083" w:rsidRDefault="00000000">
            <w:pPr>
              <w:spacing w:after="50" w:line="258" w:lineRule="auto"/>
            </w:pPr>
            <w:r>
              <w:t xml:space="preserve">Every substantive line is tagged: </w:t>
            </w:r>
            <w:r>
              <w:rPr>
                <w:b/>
                <w:bCs/>
                <w:color w:val="1B5E4F"/>
                <w:sz w:val="18"/>
                <w:szCs w:val="18"/>
              </w:rPr>
              <w:t>EVIDENCE</w:t>
            </w:r>
            <w:r>
              <w:t xml:space="preserve"> · </w:t>
            </w:r>
            <w:r>
              <w:rPr>
                <w:b/>
                <w:bCs/>
                <w:color w:val="0B5394"/>
                <w:sz w:val="18"/>
                <w:szCs w:val="18"/>
              </w:rPr>
              <w:t>INTERPRETATION</w:t>
            </w:r>
            <w:r>
              <w:t xml:space="preserve"> · </w:t>
            </w:r>
            <w:r>
              <w:rPr>
                <w:b/>
                <w:bCs/>
                <w:color w:val="6A1B9A"/>
                <w:sz w:val="18"/>
                <w:szCs w:val="18"/>
              </w:rPr>
              <w:t>JUDGEMENT</w:t>
            </w:r>
            <w:r>
              <w:t xml:space="preserve"> · </w:t>
            </w:r>
            <w:r>
              <w:rPr>
                <w:b/>
                <w:bCs/>
                <w:color w:val="8A6D00"/>
                <w:sz w:val="18"/>
                <w:szCs w:val="18"/>
              </w:rPr>
              <w:t>RECOMMENDATION</w:t>
            </w:r>
            <w:r>
              <w:t xml:space="preserve"> · </w:t>
            </w:r>
            <w:r>
              <w:rPr>
                <w:b/>
                <w:bCs/>
                <w:color w:val="8B2635"/>
                <w:sz w:val="18"/>
                <w:szCs w:val="18"/>
              </w:rPr>
              <w:t>UNKNOWN</w:t>
            </w:r>
            <w:r>
              <w:t>.</w:t>
            </w:r>
          </w:p>
        </w:tc>
      </w:tr>
    </w:tbl>
    <w:p w14:paraId="2DA850FF" w14:textId="77777777" w:rsidR="00BA3083" w:rsidRDefault="00000000">
      <w:pPr>
        <w:spacing w:before="260"/>
      </w:pPr>
      <w:r>
        <w:rPr>
          <w:b/>
          <w:bCs/>
          <w:color w:val="1B5E4F"/>
          <w:sz w:val="20"/>
          <w:szCs w:val="20"/>
        </w:rPr>
        <w:t>Evidence base reviewed</w:t>
      </w:r>
    </w:p>
    <w:p w14:paraId="2D3823C6" w14:textId="77777777" w:rsidR="00BA3083" w:rsidRDefault="00000000">
      <w:pPr>
        <w:pStyle w:val="ListParagraph"/>
        <w:numPr>
          <w:ilvl w:val="0"/>
          <w:numId w:val="2"/>
        </w:numPr>
        <w:spacing w:after="60" w:line="258" w:lineRule="auto"/>
      </w:pPr>
      <w:r>
        <w:t>Expression of Interest (EoI) — Scaling bundled DFS, incl. two Letters of Support (</w:t>
      </w:r>
      <w:proofErr w:type="spellStart"/>
      <w:r>
        <w:t>Dvara</w:t>
      </w:r>
      <w:proofErr w:type="spellEnd"/>
      <w:r>
        <w:t xml:space="preserve"> 19 Sep 2025; ACRE, undated)</w:t>
      </w:r>
    </w:p>
    <w:p w14:paraId="5DC1344D" w14:textId="77777777" w:rsidR="00BA3083" w:rsidRDefault="00000000">
      <w:pPr>
        <w:pStyle w:val="ListParagraph"/>
        <w:numPr>
          <w:ilvl w:val="0"/>
          <w:numId w:val="2"/>
        </w:numPr>
        <w:spacing w:after="60" w:line="258" w:lineRule="auto"/>
      </w:pPr>
      <w:r>
        <w:t>Solution Track Profile v1.0 (Feb 2026; reviewed 27/05/2026)</w:t>
      </w:r>
    </w:p>
    <w:p w14:paraId="580051DA" w14:textId="77777777" w:rsidR="00BA3083" w:rsidRDefault="00000000">
      <w:pPr>
        <w:pStyle w:val="ListParagraph"/>
        <w:numPr>
          <w:ilvl w:val="0"/>
          <w:numId w:val="2"/>
        </w:numPr>
        <w:spacing w:after="60" w:line="258" w:lineRule="auto"/>
      </w:pPr>
      <w:r>
        <w:t>Inception meeting deck (10 Jan 2026), meeting minutes (16 Jan 2026), and full meeting transcript (16 Jan 2026)</w:t>
      </w:r>
    </w:p>
    <w:p w14:paraId="1F50F6E8" w14:textId="77777777" w:rsidR="00BA3083" w:rsidRDefault="00000000">
      <w:pPr>
        <w:pStyle w:val="ListParagraph"/>
        <w:numPr>
          <w:ilvl w:val="0"/>
          <w:numId w:val="2"/>
        </w:numPr>
        <w:spacing w:after="60" w:line="258" w:lineRule="auto"/>
      </w:pPr>
      <w:r>
        <w:t>Cited-but-unsupplied: 6 academic papers/discussion papers; TAAT catalogue entry; several media links</w:t>
      </w:r>
    </w:p>
    <w:p w14:paraId="001CEC8A" w14:textId="77777777" w:rsidR="00BA3083" w:rsidRDefault="00000000">
      <w:pPr>
        <w:spacing w:before="120"/>
      </w:pPr>
      <w:r>
        <w:rPr>
          <w:i/>
          <w:iCs/>
          <w:color w:val="5A5A5A"/>
          <w:sz w:val="18"/>
          <w:szCs w:val="18"/>
        </w:rPr>
        <w:t>Status: Working analysis — not yet reviewed into the repository.</w:t>
      </w:r>
    </w:p>
    <w:p w14:paraId="70AB1DD5" w14:textId="77777777" w:rsidR="00BA3083" w:rsidRDefault="00000000">
      <w:r>
        <w:br w:type="page"/>
      </w:r>
    </w:p>
    <w:p w14:paraId="6FA45AF4" w14:textId="77777777" w:rsidR="00BA3083" w:rsidRDefault="00000000">
      <w:pPr>
        <w:pStyle w:val="Heading1"/>
        <w:spacing w:before="320" w:after="140"/>
      </w:pPr>
      <w:bookmarkStart w:id="0" w:name="_Toc234870950"/>
      <w:r>
        <w:lastRenderedPageBreak/>
        <w:t>Contents</w:t>
      </w:r>
      <w:bookmarkEnd w:id="0"/>
    </w:p>
    <w:sdt>
      <w:sdtPr>
        <w:alias w:val="Contents"/>
        <w:id w:val="-1829669092"/>
      </w:sdtPr>
      <w:sdtContent>
        <w:p w14:paraId="0F424458" w14:textId="77777777" w:rsidR="007B04B1" w:rsidRDefault="00000000">
          <w:pPr>
            <w:pStyle w:val="TOC1"/>
            <w:tabs>
              <w:tab w:val="right" w:leader="dot" w:pos="9350"/>
            </w:tabs>
            <w:rPr>
              <w:noProof/>
            </w:rPr>
          </w:pPr>
          <w:r>
            <w:fldChar w:fldCharType="begin"/>
          </w:r>
          <w:r>
            <w:instrText>TOC \h \o "1-2"</w:instrText>
          </w:r>
          <w:r>
            <w:fldChar w:fldCharType="separate"/>
          </w:r>
          <w:hyperlink w:anchor="_Toc234870950" w:history="1">
            <w:r w:rsidR="007B04B1" w:rsidRPr="00F6524F">
              <w:rPr>
                <w:rStyle w:val="Hyperlink"/>
                <w:noProof/>
              </w:rPr>
              <w:t>Contents</w:t>
            </w:r>
            <w:r w:rsidR="007B04B1">
              <w:rPr>
                <w:noProof/>
              </w:rPr>
              <w:tab/>
            </w:r>
            <w:r w:rsidR="007B04B1">
              <w:rPr>
                <w:noProof/>
              </w:rPr>
              <w:fldChar w:fldCharType="begin"/>
            </w:r>
            <w:r w:rsidR="007B04B1">
              <w:rPr>
                <w:noProof/>
              </w:rPr>
              <w:instrText xml:space="preserve"> PAGEREF _Toc234870950 \h </w:instrText>
            </w:r>
            <w:r w:rsidR="007B04B1">
              <w:rPr>
                <w:noProof/>
              </w:rPr>
            </w:r>
            <w:r w:rsidR="007B04B1">
              <w:rPr>
                <w:noProof/>
              </w:rPr>
              <w:fldChar w:fldCharType="separate"/>
            </w:r>
            <w:r w:rsidR="007B04B1">
              <w:rPr>
                <w:noProof/>
              </w:rPr>
              <w:t>2</w:t>
            </w:r>
            <w:r w:rsidR="007B04B1">
              <w:rPr>
                <w:noProof/>
              </w:rPr>
              <w:fldChar w:fldCharType="end"/>
            </w:r>
          </w:hyperlink>
        </w:p>
        <w:p w14:paraId="7C44A7A0" w14:textId="77777777" w:rsidR="007B04B1" w:rsidRDefault="007B04B1">
          <w:pPr>
            <w:pStyle w:val="TOC1"/>
            <w:tabs>
              <w:tab w:val="right" w:leader="dot" w:pos="9350"/>
            </w:tabs>
            <w:rPr>
              <w:noProof/>
            </w:rPr>
          </w:pPr>
          <w:hyperlink w:anchor="_Toc234870951" w:history="1">
            <w:r w:rsidRPr="00F6524F">
              <w:rPr>
                <w:rStyle w:val="Hyperlink"/>
                <w:noProof/>
              </w:rPr>
              <w:t>1 · Executive Summary</w:t>
            </w:r>
            <w:r>
              <w:rPr>
                <w:noProof/>
              </w:rPr>
              <w:tab/>
            </w:r>
            <w:r>
              <w:rPr>
                <w:noProof/>
              </w:rPr>
              <w:fldChar w:fldCharType="begin"/>
            </w:r>
            <w:r>
              <w:rPr>
                <w:noProof/>
              </w:rPr>
              <w:instrText xml:space="preserve"> PAGEREF _Toc234870951 \h </w:instrText>
            </w:r>
            <w:r>
              <w:rPr>
                <w:noProof/>
              </w:rPr>
            </w:r>
            <w:r>
              <w:rPr>
                <w:noProof/>
              </w:rPr>
              <w:fldChar w:fldCharType="separate"/>
            </w:r>
            <w:r>
              <w:rPr>
                <w:noProof/>
              </w:rPr>
              <w:t>4</w:t>
            </w:r>
            <w:r>
              <w:rPr>
                <w:noProof/>
              </w:rPr>
              <w:fldChar w:fldCharType="end"/>
            </w:r>
          </w:hyperlink>
        </w:p>
        <w:p w14:paraId="70DFA626" w14:textId="77777777" w:rsidR="007B04B1" w:rsidRDefault="007B04B1">
          <w:pPr>
            <w:pStyle w:val="TOC1"/>
            <w:tabs>
              <w:tab w:val="right" w:leader="dot" w:pos="9350"/>
            </w:tabs>
            <w:rPr>
              <w:noProof/>
            </w:rPr>
          </w:pPr>
          <w:hyperlink w:anchor="_Toc234870952" w:history="1">
            <w:r w:rsidRPr="00F6524F">
              <w:rPr>
                <w:rStyle w:val="Hyperlink"/>
                <w:noProof/>
              </w:rPr>
              <w:t>2 · Scaling Knowledge Summary</w:t>
            </w:r>
            <w:r>
              <w:rPr>
                <w:noProof/>
              </w:rPr>
              <w:tab/>
            </w:r>
            <w:r>
              <w:rPr>
                <w:noProof/>
              </w:rPr>
              <w:fldChar w:fldCharType="begin"/>
            </w:r>
            <w:r>
              <w:rPr>
                <w:noProof/>
              </w:rPr>
              <w:instrText xml:space="preserve"> PAGEREF _Toc234870952 \h </w:instrText>
            </w:r>
            <w:r>
              <w:rPr>
                <w:noProof/>
              </w:rPr>
            </w:r>
            <w:r>
              <w:rPr>
                <w:noProof/>
              </w:rPr>
              <w:fldChar w:fldCharType="separate"/>
            </w:r>
            <w:r>
              <w:rPr>
                <w:noProof/>
              </w:rPr>
              <w:t>5</w:t>
            </w:r>
            <w:r>
              <w:rPr>
                <w:noProof/>
              </w:rPr>
              <w:fldChar w:fldCharType="end"/>
            </w:r>
          </w:hyperlink>
        </w:p>
        <w:p w14:paraId="4EF5F7C4" w14:textId="77777777" w:rsidR="007B04B1" w:rsidRDefault="007B04B1">
          <w:pPr>
            <w:pStyle w:val="TOC2"/>
            <w:tabs>
              <w:tab w:val="right" w:leader="dot" w:pos="9350"/>
            </w:tabs>
            <w:rPr>
              <w:noProof/>
            </w:rPr>
          </w:pPr>
          <w:hyperlink w:anchor="_Toc234870953" w:history="1">
            <w:r w:rsidRPr="00F6524F">
              <w:rPr>
                <w:rStyle w:val="Hyperlink"/>
                <w:noProof/>
              </w:rPr>
              <w:t>2.1 Key knowledge objects &amp; provenance</w:t>
            </w:r>
            <w:r>
              <w:rPr>
                <w:noProof/>
              </w:rPr>
              <w:tab/>
            </w:r>
            <w:r>
              <w:rPr>
                <w:noProof/>
              </w:rPr>
              <w:fldChar w:fldCharType="begin"/>
            </w:r>
            <w:r>
              <w:rPr>
                <w:noProof/>
              </w:rPr>
              <w:instrText xml:space="preserve"> PAGEREF _Toc234870953 \h </w:instrText>
            </w:r>
            <w:r>
              <w:rPr>
                <w:noProof/>
              </w:rPr>
            </w:r>
            <w:r>
              <w:rPr>
                <w:noProof/>
              </w:rPr>
              <w:fldChar w:fldCharType="separate"/>
            </w:r>
            <w:r>
              <w:rPr>
                <w:noProof/>
              </w:rPr>
              <w:t>5</w:t>
            </w:r>
            <w:r>
              <w:rPr>
                <w:noProof/>
              </w:rPr>
              <w:fldChar w:fldCharType="end"/>
            </w:r>
          </w:hyperlink>
        </w:p>
        <w:p w14:paraId="4D2EECB3" w14:textId="77777777" w:rsidR="007B04B1" w:rsidRDefault="007B04B1">
          <w:pPr>
            <w:pStyle w:val="TOC2"/>
            <w:tabs>
              <w:tab w:val="right" w:leader="dot" w:pos="9350"/>
            </w:tabs>
            <w:rPr>
              <w:noProof/>
            </w:rPr>
          </w:pPr>
          <w:hyperlink w:anchor="_Toc234870954" w:history="1">
            <w:r w:rsidRPr="00F6524F">
              <w:rPr>
                <w:rStyle w:val="Hyperlink"/>
                <w:noProof/>
              </w:rPr>
              <w:t>2.2 Document assertion vs. observed evidence</w:t>
            </w:r>
            <w:r>
              <w:rPr>
                <w:noProof/>
              </w:rPr>
              <w:tab/>
            </w:r>
            <w:r>
              <w:rPr>
                <w:noProof/>
              </w:rPr>
              <w:fldChar w:fldCharType="begin"/>
            </w:r>
            <w:r>
              <w:rPr>
                <w:noProof/>
              </w:rPr>
              <w:instrText xml:space="preserve"> PAGEREF _Toc234870954 \h </w:instrText>
            </w:r>
            <w:r>
              <w:rPr>
                <w:noProof/>
              </w:rPr>
            </w:r>
            <w:r>
              <w:rPr>
                <w:noProof/>
              </w:rPr>
              <w:fldChar w:fldCharType="separate"/>
            </w:r>
            <w:r>
              <w:rPr>
                <w:noProof/>
              </w:rPr>
              <w:t>5</w:t>
            </w:r>
            <w:r>
              <w:rPr>
                <w:noProof/>
              </w:rPr>
              <w:fldChar w:fldCharType="end"/>
            </w:r>
          </w:hyperlink>
        </w:p>
        <w:p w14:paraId="1C3B6858" w14:textId="77777777" w:rsidR="007B04B1" w:rsidRDefault="007B04B1">
          <w:pPr>
            <w:pStyle w:val="TOC2"/>
            <w:tabs>
              <w:tab w:val="right" w:leader="dot" w:pos="9350"/>
            </w:tabs>
            <w:rPr>
              <w:noProof/>
            </w:rPr>
          </w:pPr>
          <w:hyperlink w:anchor="_Toc234870955" w:history="1">
            <w:r w:rsidRPr="00F6524F">
              <w:rPr>
                <w:rStyle w:val="Hyperlink"/>
                <w:noProof/>
              </w:rPr>
              <w:t>2.3 Cross-document inconsistencies (must-resolve)</w:t>
            </w:r>
            <w:r>
              <w:rPr>
                <w:noProof/>
              </w:rPr>
              <w:tab/>
            </w:r>
            <w:r>
              <w:rPr>
                <w:noProof/>
              </w:rPr>
              <w:fldChar w:fldCharType="begin"/>
            </w:r>
            <w:r>
              <w:rPr>
                <w:noProof/>
              </w:rPr>
              <w:instrText xml:space="preserve"> PAGEREF _Toc234870955 \h </w:instrText>
            </w:r>
            <w:r>
              <w:rPr>
                <w:noProof/>
              </w:rPr>
            </w:r>
            <w:r>
              <w:rPr>
                <w:noProof/>
              </w:rPr>
              <w:fldChar w:fldCharType="separate"/>
            </w:r>
            <w:r>
              <w:rPr>
                <w:noProof/>
              </w:rPr>
              <w:t>5</w:t>
            </w:r>
            <w:r>
              <w:rPr>
                <w:noProof/>
              </w:rPr>
              <w:fldChar w:fldCharType="end"/>
            </w:r>
          </w:hyperlink>
        </w:p>
        <w:p w14:paraId="2E1EBF3A" w14:textId="77777777" w:rsidR="007B04B1" w:rsidRDefault="007B04B1">
          <w:pPr>
            <w:pStyle w:val="TOC2"/>
            <w:tabs>
              <w:tab w:val="right" w:leader="dot" w:pos="9350"/>
            </w:tabs>
            <w:rPr>
              <w:noProof/>
            </w:rPr>
          </w:pPr>
          <w:hyperlink w:anchor="_Toc234870956" w:history="1">
            <w:r w:rsidRPr="00F6524F">
              <w:rPr>
                <w:rStyle w:val="Hyperlink"/>
                <w:noProof/>
              </w:rPr>
              <w:t>2.4 Cited-but-unsupplied &amp; evidence gaps</w:t>
            </w:r>
            <w:r>
              <w:rPr>
                <w:noProof/>
              </w:rPr>
              <w:tab/>
            </w:r>
            <w:r>
              <w:rPr>
                <w:noProof/>
              </w:rPr>
              <w:fldChar w:fldCharType="begin"/>
            </w:r>
            <w:r>
              <w:rPr>
                <w:noProof/>
              </w:rPr>
              <w:instrText xml:space="preserve"> PAGEREF _Toc234870956 \h </w:instrText>
            </w:r>
            <w:r>
              <w:rPr>
                <w:noProof/>
              </w:rPr>
            </w:r>
            <w:r>
              <w:rPr>
                <w:noProof/>
              </w:rPr>
              <w:fldChar w:fldCharType="separate"/>
            </w:r>
            <w:r>
              <w:rPr>
                <w:noProof/>
              </w:rPr>
              <w:t>6</w:t>
            </w:r>
            <w:r>
              <w:rPr>
                <w:noProof/>
              </w:rPr>
              <w:fldChar w:fldCharType="end"/>
            </w:r>
          </w:hyperlink>
        </w:p>
        <w:p w14:paraId="6C9AE3F1" w14:textId="77777777" w:rsidR="007B04B1" w:rsidRDefault="007B04B1">
          <w:pPr>
            <w:pStyle w:val="TOC2"/>
            <w:tabs>
              <w:tab w:val="right" w:leader="dot" w:pos="9350"/>
            </w:tabs>
            <w:rPr>
              <w:noProof/>
            </w:rPr>
          </w:pPr>
          <w:hyperlink w:anchor="_Toc234870957" w:history="1">
            <w:r w:rsidRPr="00F6524F">
              <w:rPr>
                <w:rStyle w:val="Hyperlink"/>
                <w:noProof/>
              </w:rPr>
              <w:t>2.5 Recommended Knowledge Cards</w:t>
            </w:r>
            <w:r>
              <w:rPr>
                <w:noProof/>
              </w:rPr>
              <w:tab/>
            </w:r>
            <w:r>
              <w:rPr>
                <w:noProof/>
              </w:rPr>
              <w:fldChar w:fldCharType="begin"/>
            </w:r>
            <w:r>
              <w:rPr>
                <w:noProof/>
              </w:rPr>
              <w:instrText xml:space="preserve"> PAGEREF _Toc234870957 \h </w:instrText>
            </w:r>
            <w:r>
              <w:rPr>
                <w:noProof/>
              </w:rPr>
            </w:r>
            <w:r>
              <w:rPr>
                <w:noProof/>
              </w:rPr>
              <w:fldChar w:fldCharType="separate"/>
            </w:r>
            <w:r>
              <w:rPr>
                <w:noProof/>
              </w:rPr>
              <w:t>6</w:t>
            </w:r>
            <w:r>
              <w:rPr>
                <w:noProof/>
              </w:rPr>
              <w:fldChar w:fldCharType="end"/>
            </w:r>
          </w:hyperlink>
        </w:p>
        <w:p w14:paraId="0D278685" w14:textId="77777777" w:rsidR="007B04B1" w:rsidRDefault="007B04B1">
          <w:pPr>
            <w:pStyle w:val="TOC1"/>
            <w:tabs>
              <w:tab w:val="right" w:leader="dot" w:pos="9350"/>
            </w:tabs>
            <w:rPr>
              <w:noProof/>
            </w:rPr>
          </w:pPr>
          <w:hyperlink w:anchor="_Toc234870958" w:history="1">
            <w:r w:rsidRPr="00F6524F">
              <w:rPr>
                <w:rStyle w:val="Hyperlink"/>
                <w:noProof/>
              </w:rPr>
              <w:t>3 · Scaling Intelligence Assessment</w:t>
            </w:r>
            <w:r>
              <w:rPr>
                <w:noProof/>
              </w:rPr>
              <w:tab/>
            </w:r>
            <w:r>
              <w:rPr>
                <w:noProof/>
              </w:rPr>
              <w:fldChar w:fldCharType="begin"/>
            </w:r>
            <w:r>
              <w:rPr>
                <w:noProof/>
              </w:rPr>
              <w:instrText xml:space="preserve"> PAGEREF _Toc234870958 \h </w:instrText>
            </w:r>
            <w:r>
              <w:rPr>
                <w:noProof/>
              </w:rPr>
            </w:r>
            <w:r>
              <w:rPr>
                <w:noProof/>
              </w:rPr>
              <w:fldChar w:fldCharType="separate"/>
            </w:r>
            <w:r>
              <w:rPr>
                <w:noProof/>
              </w:rPr>
              <w:t>7</w:t>
            </w:r>
            <w:r>
              <w:rPr>
                <w:noProof/>
              </w:rPr>
              <w:fldChar w:fldCharType="end"/>
            </w:r>
          </w:hyperlink>
        </w:p>
        <w:p w14:paraId="40605A6F" w14:textId="77777777" w:rsidR="007B04B1" w:rsidRDefault="007B04B1">
          <w:pPr>
            <w:pStyle w:val="TOC2"/>
            <w:tabs>
              <w:tab w:val="right" w:leader="dot" w:pos="9350"/>
            </w:tabs>
            <w:rPr>
              <w:noProof/>
            </w:rPr>
          </w:pPr>
          <w:hyperlink w:anchor="_Toc234870959" w:history="1">
            <w:r w:rsidRPr="00F6524F">
              <w:rPr>
                <w:rStyle w:val="Hyperlink"/>
                <w:noProof/>
              </w:rPr>
              <w:t>3.1 Ambition, denominator &amp; theory of scaling</w:t>
            </w:r>
            <w:r>
              <w:rPr>
                <w:noProof/>
              </w:rPr>
              <w:tab/>
            </w:r>
            <w:r>
              <w:rPr>
                <w:noProof/>
              </w:rPr>
              <w:fldChar w:fldCharType="begin"/>
            </w:r>
            <w:r>
              <w:rPr>
                <w:noProof/>
              </w:rPr>
              <w:instrText xml:space="preserve"> PAGEREF _Toc234870959 \h </w:instrText>
            </w:r>
            <w:r>
              <w:rPr>
                <w:noProof/>
              </w:rPr>
            </w:r>
            <w:r>
              <w:rPr>
                <w:noProof/>
              </w:rPr>
              <w:fldChar w:fldCharType="separate"/>
            </w:r>
            <w:r>
              <w:rPr>
                <w:noProof/>
              </w:rPr>
              <w:t>7</w:t>
            </w:r>
            <w:r>
              <w:rPr>
                <w:noProof/>
              </w:rPr>
              <w:fldChar w:fldCharType="end"/>
            </w:r>
          </w:hyperlink>
        </w:p>
        <w:p w14:paraId="4B7A1E0E" w14:textId="77777777" w:rsidR="007B04B1" w:rsidRDefault="007B04B1">
          <w:pPr>
            <w:pStyle w:val="TOC2"/>
            <w:tabs>
              <w:tab w:val="right" w:leader="dot" w:pos="9350"/>
            </w:tabs>
            <w:rPr>
              <w:noProof/>
            </w:rPr>
          </w:pPr>
          <w:hyperlink w:anchor="_Toc234870960" w:history="1">
            <w:r w:rsidRPr="00F6524F">
              <w:rPr>
                <w:rStyle w:val="Hyperlink"/>
                <w:noProof/>
              </w:rPr>
              <w:t>3.2 Innovation package &amp; adoptability</w:t>
            </w:r>
            <w:r>
              <w:rPr>
                <w:noProof/>
              </w:rPr>
              <w:tab/>
            </w:r>
            <w:r>
              <w:rPr>
                <w:noProof/>
              </w:rPr>
              <w:fldChar w:fldCharType="begin"/>
            </w:r>
            <w:r>
              <w:rPr>
                <w:noProof/>
              </w:rPr>
              <w:instrText xml:space="preserve"> PAGEREF _Toc234870960 \h </w:instrText>
            </w:r>
            <w:r>
              <w:rPr>
                <w:noProof/>
              </w:rPr>
            </w:r>
            <w:r>
              <w:rPr>
                <w:noProof/>
              </w:rPr>
              <w:fldChar w:fldCharType="separate"/>
            </w:r>
            <w:r>
              <w:rPr>
                <w:noProof/>
              </w:rPr>
              <w:t>7</w:t>
            </w:r>
            <w:r>
              <w:rPr>
                <w:noProof/>
              </w:rPr>
              <w:fldChar w:fldCharType="end"/>
            </w:r>
          </w:hyperlink>
        </w:p>
        <w:p w14:paraId="26DFCEBD" w14:textId="77777777" w:rsidR="007B04B1" w:rsidRDefault="007B04B1">
          <w:pPr>
            <w:pStyle w:val="TOC2"/>
            <w:tabs>
              <w:tab w:val="right" w:leader="dot" w:pos="9350"/>
            </w:tabs>
            <w:rPr>
              <w:noProof/>
            </w:rPr>
          </w:pPr>
          <w:hyperlink w:anchor="_Toc234870961" w:history="1">
            <w:r w:rsidRPr="00F6524F">
              <w:rPr>
                <w:rStyle w:val="Hyperlink"/>
                <w:noProof/>
              </w:rPr>
              <w:t>3.3 Actor map &amp; incentive structure (scaling-system map)</w:t>
            </w:r>
            <w:r>
              <w:rPr>
                <w:noProof/>
              </w:rPr>
              <w:tab/>
            </w:r>
            <w:r>
              <w:rPr>
                <w:noProof/>
              </w:rPr>
              <w:fldChar w:fldCharType="begin"/>
            </w:r>
            <w:r>
              <w:rPr>
                <w:noProof/>
              </w:rPr>
              <w:instrText xml:space="preserve"> PAGEREF _Toc234870961 \h </w:instrText>
            </w:r>
            <w:r>
              <w:rPr>
                <w:noProof/>
              </w:rPr>
            </w:r>
            <w:r>
              <w:rPr>
                <w:noProof/>
              </w:rPr>
              <w:fldChar w:fldCharType="separate"/>
            </w:r>
            <w:r>
              <w:rPr>
                <w:noProof/>
              </w:rPr>
              <w:t>7</w:t>
            </w:r>
            <w:r>
              <w:rPr>
                <w:noProof/>
              </w:rPr>
              <w:fldChar w:fldCharType="end"/>
            </w:r>
          </w:hyperlink>
        </w:p>
        <w:p w14:paraId="730ADF5B" w14:textId="77777777" w:rsidR="007B04B1" w:rsidRDefault="007B04B1">
          <w:pPr>
            <w:pStyle w:val="TOC2"/>
            <w:tabs>
              <w:tab w:val="right" w:leader="dot" w:pos="9350"/>
            </w:tabs>
            <w:rPr>
              <w:noProof/>
            </w:rPr>
          </w:pPr>
          <w:hyperlink w:anchor="_Toc234870962" w:history="1">
            <w:r w:rsidRPr="00F6524F">
              <w:rPr>
                <w:rStyle w:val="Hyperlink"/>
                <w:noProof/>
              </w:rPr>
              <w:t>3.4 Demand analysis — five distinct demands</w:t>
            </w:r>
            <w:r>
              <w:rPr>
                <w:noProof/>
              </w:rPr>
              <w:tab/>
            </w:r>
            <w:r>
              <w:rPr>
                <w:noProof/>
              </w:rPr>
              <w:fldChar w:fldCharType="begin"/>
            </w:r>
            <w:r>
              <w:rPr>
                <w:noProof/>
              </w:rPr>
              <w:instrText xml:space="preserve"> PAGEREF _Toc234870962 \h </w:instrText>
            </w:r>
            <w:r>
              <w:rPr>
                <w:noProof/>
              </w:rPr>
            </w:r>
            <w:r>
              <w:rPr>
                <w:noProof/>
              </w:rPr>
              <w:fldChar w:fldCharType="separate"/>
            </w:r>
            <w:r>
              <w:rPr>
                <w:noProof/>
              </w:rPr>
              <w:t>7</w:t>
            </w:r>
            <w:r>
              <w:rPr>
                <w:noProof/>
              </w:rPr>
              <w:fldChar w:fldCharType="end"/>
            </w:r>
          </w:hyperlink>
        </w:p>
        <w:p w14:paraId="032796D4" w14:textId="77777777" w:rsidR="007B04B1" w:rsidRDefault="007B04B1">
          <w:pPr>
            <w:pStyle w:val="TOC2"/>
            <w:tabs>
              <w:tab w:val="right" w:leader="dot" w:pos="9350"/>
            </w:tabs>
            <w:rPr>
              <w:noProof/>
            </w:rPr>
          </w:pPr>
          <w:hyperlink w:anchor="_Toc234870963" w:history="1">
            <w:r w:rsidRPr="00F6524F">
              <w:rPr>
                <w:rStyle w:val="Hyperlink"/>
                <w:noProof/>
              </w:rPr>
              <w:t>3.5 Delivery, financing, institutional ownership, policy</w:t>
            </w:r>
            <w:r>
              <w:rPr>
                <w:noProof/>
              </w:rPr>
              <w:tab/>
            </w:r>
            <w:r>
              <w:rPr>
                <w:noProof/>
              </w:rPr>
              <w:fldChar w:fldCharType="begin"/>
            </w:r>
            <w:r>
              <w:rPr>
                <w:noProof/>
              </w:rPr>
              <w:instrText xml:space="preserve"> PAGEREF _Toc234870963 \h </w:instrText>
            </w:r>
            <w:r>
              <w:rPr>
                <w:noProof/>
              </w:rPr>
            </w:r>
            <w:r>
              <w:rPr>
                <w:noProof/>
              </w:rPr>
              <w:fldChar w:fldCharType="separate"/>
            </w:r>
            <w:r>
              <w:rPr>
                <w:noProof/>
              </w:rPr>
              <w:t>8</w:t>
            </w:r>
            <w:r>
              <w:rPr>
                <w:noProof/>
              </w:rPr>
              <w:fldChar w:fldCharType="end"/>
            </w:r>
          </w:hyperlink>
        </w:p>
        <w:p w14:paraId="20D204BB" w14:textId="77777777" w:rsidR="007B04B1" w:rsidRDefault="007B04B1">
          <w:pPr>
            <w:pStyle w:val="TOC2"/>
            <w:tabs>
              <w:tab w:val="right" w:leader="dot" w:pos="9350"/>
            </w:tabs>
            <w:rPr>
              <w:noProof/>
            </w:rPr>
          </w:pPr>
          <w:hyperlink w:anchor="_Toc234870964" w:history="1">
            <w:r w:rsidRPr="00F6524F">
              <w:rPr>
                <w:rStyle w:val="Hyperlink"/>
                <w:noProof/>
              </w:rPr>
              <w:t>3.6 Additionality test (S4I vs. existing platform)</w:t>
            </w:r>
            <w:r>
              <w:rPr>
                <w:noProof/>
              </w:rPr>
              <w:tab/>
            </w:r>
            <w:r>
              <w:rPr>
                <w:noProof/>
              </w:rPr>
              <w:fldChar w:fldCharType="begin"/>
            </w:r>
            <w:r>
              <w:rPr>
                <w:noProof/>
              </w:rPr>
              <w:instrText xml:space="preserve"> PAGEREF _Toc234870964 \h </w:instrText>
            </w:r>
            <w:r>
              <w:rPr>
                <w:noProof/>
              </w:rPr>
            </w:r>
            <w:r>
              <w:rPr>
                <w:noProof/>
              </w:rPr>
              <w:fldChar w:fldCharType="separate"/>
            </w:r>
            <w:r>
              <w:rPr>
                <w:noProof/>
              </w:rPr>
              <w:t>8</w:t>
            </w:r>
            <w:r>
              <w:rPr>
                <w:noProof/>
              </w:rPr>
              <w:fldChar w:fldCharType="end"/>
            </w:r>
          </w:hyperlink>
        </w:p>
        <w:p w14:paraId="340C38E0" w14:textId="77777777" w:rsidR="007B04B1" w:rsidRDefault="007B04B1">
          <w:pPr>
            <w:pStyle w:val="TOC2"/>
            <w:tabs>
              <w:tab w:val="right" w:leader="dot" w:pos="9350"/>
            </w:tabs>
            <w:rPr>
              <w:noProof/>
            </w:rPr>
          </w:pPr>
          <w:hyperlink w:anchor="_Toc234870965" w:history="1">
            <w:r w:rsidRPr="00F6524F">
              <w:rPr>
                <w:rStyle w:val="Hyperlink"/>
                <w:noProof/>
              </w:rPr>
              <w:t>3.7 Weakest-link analysis</w:t>
            </w:r>
            <w:r>
              <w:rPr>
                <w:noProof/>
              </w:rPr>
              <w:tab/>
            </w:r>
            <w:r>
              <w:rPr>
                <w:noProof/>
              </w:rPr>
              <w:fldChar w:fldCharType="begin"/>
            </w:r>
            <w:r>
              <w:rPr>
                <w:noProof/>
              </w:rPr>
              <w:instrText xml:space="preserve"> PAGEREF _Toc234870965 \h </w:instrText>
            </w:r>
            <w:r>
              <w:rPr>
                <w:noProof/>
              </w:rPr>
            </w:r>
            <w:r>
              <w:rPr>
                <w:noProof/>
              </w:rPr>
              <w:fldChar w:fldCharType="separate"/>
            </w:r>
            <w:r>
              <w:rPr>
                <w:noProof/>
              </w:rPr>
              <w:t>9</w:t>
            </w:r>
            <w:r>
              <w:rPr>
                <w:noProof/>
              </w:rPr>
              <w:fldChar w:fldCharType="end"/>
            </w:r>
          </w:hyperlink>
        </w:p>
        <w:p w14:paraId="53EECA08" w14:textId="77777777" w:rsidR="007B04B1" w:rsidRDefault="007B04B1">
          <w:pPr>
            <w:pStyle w:val="TOC2"/>
            <w:tabs>
              <w:tab w:val="right" w:leader="dot" w:pos="9350"/>
            </w:tabs>
            <w:rPr>
              <w:noProof/>
            </w:rPr>
          </w:pPr>
          <w:hyperlink w:anchor="_Toc234870966" w:history="1">
            <w:r w:rsidRPr="00F6524F">
              <w:rPr>
                <w:rStyle w:val="Hyperlink"/>
                <w:noProof/>
              </w:rPr>
              <w:t>3.8 Critical assumptions</w:t>
            </w:r>
            <w:r>
              <w:rPr>
                <w:noProof/>
              </w:rPr>
              <w:tab/>
            </w:r>
            <w:r>
              <w:rPr>
                <w:noProof/>
              </w:rPr>
              <w:fldChar w:fldCharType="begin"/>
            </w:r>
            <w:r>
              <w:rPr>
                <w:noProof/>
              </w:rPr>
              <w:instrText xml:space="preserve"> PAGEREF _Toc234870966 \h </w:instrText>
            </w:r>
            <w:r>
              <w:rPr>
                <w:noProof/>
              </w:rPr>
            </w:r>
            <w:r>
              <w:rPr>
                <w:noProof/>
              </w:rPr>
              <w:fldChar w:fldCharType="separate"/>
            </w:r>
            <w:r>
              <w:rPr>
                <w:noProof/>
              </w:rPr>
              <w:t>10</w:t>
            </w:r>
            <w:r>
              <w:rPr>
                <w:noProof/>
              </w:rPr>
              <w:fldChar w:fldCharType="end"/>
            </w:r>
          </w:hyperlink>
        </w:p>
        <w:p w14:paraId="0AC97AE3" w14:textId="77777777" w:rsidR="007B04B1" w:rsidRDefault="007B04B1">
          <w:pPr>
            <w:pStyle w:val="TOC2"/>
            <w:tabs>
              <w:tab w:val="right" w:leader="dot" w:pos="9350"/>
            </w:tabs>
            <w:rPr>
              <w:noProof/>
            </w:rPr>
          </w:pPr>
          <w:hyperlink w:anchor="_Toc234870967" w:history="1">
            <w:r w:rsidRPr="00F6524F">
              <w:rPr>
                <w:rStyle w:val="Hyperlink"/>
                <w:noProof/>
              </w:rPr>
              <w:t>3.9 Sustainability analysis</w:t>
            </w:r>
            <w:r>
              <w:rPr>
                <w:noProof/>
              </w:rPr>
              <w:tab/>
            </w:r>
            <w:r>
              <w:rPr>
                <w:noProof/>
              </w:rPr>
              <w:fldChar w:fldCharType="begin"/>
            </w:r>
            <w:r>
              <w:rPr>
                <w:noProof/>
              </w:rPr>
              <w:instrText xml:space="preserve"> PAGEREF _Toc234870967 \h </w:instrText>
            </w:r>
            <w:r>
              <w:rPr>
                <w:noProof/>
              </w:rPr>
            </w:r>
            <w:r>
              <w:rPr>
                <w:noProof/>
              </w:rPr>
              <w:fldChar w:fldCharType="separate"/>
            </w:r>
            <w:r>
              <w:rPr>
                <w:noProof/>
              </w:rPr>
              <w:t>10</w:t>
            </w:r>
            <w:r>
              <w:rPr>
                <w:noProof/>
              </w:rPr>
              <w:fldChar w:fldCharType="end"/>
            </w:r>
          </w:hyperlink>
        </w:p>
        <w:p w14:paraId="6E7C121B" w14:textId="77777777" w:rsidR="007B04B1" w:rsidRDefault="007B04B1">
          <w:pPr>
            <w:pStyle w:val="TOC2"/>
            <w:tabs>
              <w:tab w:val="right" w:leader="dot" w:pos="9350"/>
            </w:tabs>
            <w:rPr>
              <w:noProof/>
            </w:rPr>
          </w:pPr>
          <w:hyperlink w:anchor="_Toc234870968" w:history="1">
            <w:r w:rsidRPr="00F6524F">
              <w:rPr>
                <w:rStyle w:val="Hyperlink"/>
                <w:noProof/>
              </w:rPr>
              <w:t>3.10 Evidence quality &amp; confidence</w:t>
            </w:r>
            <w:r>
              <w:rPr>
                <w:noProof/>
              </w:rPr>
              <w:tab/>
            </w:r>
            <w:r>
              <w:rPr>
                <w:noProof/>
              </w:rPr>
              <w:fldChar w:fldCharType="begin"/>
            </w:r>
            <w:r>
              <w:rPr>
                <w:noProof/>
              </w:rPr>
              <w:instrText xml:space="preserve"> PAGEREF _Toc234870968 \h </w:instrText>
            </w:r>
            <w:r>
              <w:rPr>
                <w:noProof/>
              </w:rPr>
            </w:r>
            <w:r>
              <w:rPr>
                <w:noProof/>
              </w:rPr>
              <w:fldChar w:fldCharType="separate"/>
            </w:r>
            <w:r>
              <w:rPr>
                <w:noProof/>
              </w:rPr>
              <w:t>10</w:t>
            </w:r>
            <w:r>
              <w:rPr>
                <w:noProof/>
              </w:rPr>
              <w:fldChar w:fldCharType="end"/>
            </w:r>
          </w:hyperlink>
        </w:p>
        <w:p w14:paraId="28CF8621" w14:textId="77777777" w:rsidR="007B04B1" w:rsidRDefault="007B04B1">
          <w:pPr>
            <w:pStyle w:val="TOC1"/>
            <w:tabs>
              <w:tab w:val="right" w:leader="dot" w:pos="9350"/>
            </w:tabs>
            <w:rPr>
              <w:noProof/>
            </w:rPr>
          </w:pPr>
          <w:hyperlink w:anchor="_Toc234870969" w:history="1">
            <w:r w:rsidRPr="00F6524F">
              <w:rPr>
                <w:rStyle w:val="Hyperlink"/>
                <w:noProof/>
              </w:rPr>
              <w:t>4 · Stage-Gating Assessment</w:t>
            </w:r>
            <w:r>
              <w:rPr>
                <w:noProof/>
              </w:rPr>
              <w:tab/>
            </w:r>
            <w:r>
              <w:rPr>
                <w:noProof/>
              </w:rPr>
              <w:fldChar w:fldCharType="begin"/>
            </w:r>
            <w:r>
              <w:rPr>
                <w:noProof/>
              </w:rPr>
              <w:instrText xml:space="preserve"> PAGEREF _Toc234870969 \h </w:instrText>
            </w:r>
            <w:r>
              <w:rPr>
                <w:noProof/>
              </w:rPr>
            </w:r>
            <w:r>
              <w:rPr>
                <w:noProof/>
              </w:rPr>
              <w:fldChar w:fldCharType="separate"/>
            </w:r>
            <w:r>
              <w:rPr>
                <w:noProof/>
              </w:rPr>
              <w:t>12</w:t>
            </w:r>
            <w:r>
              <w:rPr>
                <w:noProof/>
              </w:rPr>
              <w:fldChar w:fldCharType="end"/>
            </w:r>
          </w:hyperlink>
        </w:p>
        <w:p w14:paraId="3C595E41" w14:textId="77777777" w:rsidR="007B04B1" w:rsidRDefault="007B04B1">
          <w:pPr>
            <w:pStyle w:val="TOC2"/>
            <w:tabs>
              <w:tab w:val="right" w:leader="dot" w:pos="9350"/>
            </w:tabs>
            <w:rPr>
              <w:noProof/>
            </w:rPr>
          </w:pPr>
          <w:hyperlink w:anchor="_Toc234870970" w:history="1">
            <w:r w:rsidRPr="00F6524F">
              <w:rPr>
                <w:rStyle w:val="Hyperlink"/>
                <w:noProof/>
              </w:rPr>
              <w:t>4.1 Component-level staging</w:t>
            </w:r>
            <w:r>
              <w:rPr>
                <w:noProof/>
              </w:rPr>
              <w:tab/>
            </w:r>
            <w:r>
              <w:rPr>
                <w:noProof/>
              </w:rPr>
              <w:fldChar w:fldCharType="begin"/>
            </w:r>
            <w:r>
              <w:rPr>
                <w:noProof/>
              </w:rPr>
              <w:instrText xml:space="preserve"> PAGEREF _Toc234870970 \h </w:instrText>
            </w:r>
            <w:r>
              <w:rPr>
                <w:noProof/>
              </w:rPr>
            </w:r>
            <w:r>
              <w:rPr>
                <w:noProof/>
              </w:rPr>
              <w:fldChar w:fldCharType="separate"/>
            </w:r>
            <w:r>
              <w:rPr>
                <w:noProof/>
              </w:rPr>
              <w:t>12</w:t>
            </w:r>
            <w:r>
              <w:rPr>
                <w:noProof/>
              </w:rPr>
              <w:fldChar w:fldCharType="end"/>
            </w:r>
          </w:hyperlink>
        </w:p>
        <w:p w14:paraId="4B81BB47" w14:textId="77777777" w:rsidR="007B04B1" w:rsidRDefault="007B04B1">
          <w:pPr>
            <w:pStyle w:val="TOC2"/>
            <w:tabs>
              <w:tab w:val="right" w:leader="dot" w:pos="9350"/>
            </w:tabs>
            <w:rPr>
              <w:noProof/>
            </w:rPr>
          </w:pPr>
          <w:hyperlink w:anchor="_Toc234870971" w:history="1">
            <w:r w:rsidRPr="00F6524F">
              <w:rPr>
                <w:rStyle w:val="Hyperlink"/>
                <w:noProof/>
              </w:rPr>
              <w:t>4.2 Entry / exit criteria &amp; gaps</w:t>
            </w:r>
            <w:r>
              <w:rPr>
                <w:noProof/>
              </w:rPr>
              <w:tab/>
            </w:r>
            <w:r>
              <w:rPr>
                <w:noProof/>
              </w:rPr>
              <w:fldChar w:fldCharType="begin"/>
            </w:r>
            <w:r>
              <w:rPr>
                <w:noProof/>
              </w:rPr>
              <w:instrText xml:space="preserve"> PAGEREF _Toc234870971 \h </w:instrText>
            </w:r>
            <w:r>
              <w:rPr>
                <w:noProof/>
              </w:rPr>
            </w:r>
            <w:r>
              <w:rPr>
                <w:noProof/>
              </w:rPr>
              <w:fldChar w:fldCharType="separate"/>
            </w:r>
            <w:r>
              <w:rPr>
                <w:noProof/>
              </w:rPr>
              <w:t>12</w:t>
            </w:r>
            <w:r>
              <w:rPr>
                <w:noProof/>
              </w:rPr>
              <w:fldChar w:fldCharType="end"/>
            </w:r>
          </w:hyperlink>
        </w:p>
        <w:p w14:paraId="4AFA8090" w14:textId="77777777" w:rsidR="007B04B1" w:rsidRDefault="007B04B1">
          <w:pPr>
            <w:pStyle w:val="TOC2"/>
            <w:tabs>
              <w:tab w:val="right" w:leader="dot" w:pos="9350"/>
            </w:tabs>
            <w:rPr>
              <w:noProof/>
            </w:rPr>
          </w:pPr>
          <w:hyperlink w:anchor="_Toc234870972" w:history="1">
            <w:r w:rsidRPr="00F6524F">
              <w:rPr>
                <w:rStyle w:val="Hyperlink"/>
                <w:noProof/>
              </w:rPr>
              <w:t>4.3 Integrated judgement</w:t>
            </w:r>
            <w:r>
              <w:rPr>
                <w:noProof/>
              </w:rPr>
              <w:tab/>
            </w:r>
            <w:r>
              <w:rPr>
                <w:noProof/>
              </w:rPr>
              <w:fldChar w:fldCharType="begin"/>
            </w:r>
            <w:r>
              <w:rPr>
                <w:noProof/>
              </w:rPr>
              <w:instrText xml:space="preserve"> PAGEREF _Toc234870972 \h </w:instrText>
            </w:r>
            <w:r>
              <w:rPr>
                <w:noProof/>
              </w:rPr>
            </w:r>
            <w:r>
              <w:rPr>
                <w:noProof/>
              </w:rPr>
              <w:fldChar w:fldCharType="separate"/>
            </w:r>
            <w:r>
              <w:rPr>
                <w:noProof/>
              </w:rPr>
              <w:t>12</w:t>
            </w:r>
            <w:r>
              <w:rPr>
                <w:noProof/>
              </w:rPr>
              <w:fldChar w:fldCharType="end"/>
            </w:r>
          </w:hyperlink>
        </w:p>
        <w:p w14:paraId="0722F220" w14:textId="77777777" w:rsidR="007B04B1" w:rsidRDefault="007B04B1">
          <w:pPr>
            <w:pStyle w:val="TOC1"/>
            <w:tabs>
              <w:tab w:val="right" w:leader="dot" w:pos="9350"/>
            </w:tabs>
            <w:rPr>
              <w:noProof/>
            </w:rPr>
          </w:pPr>
          <w:hyperlink w:anchor="_Toc234870973" w:history="1">
            <w:r w:rsidRPr="00F6524F">
              <w:rPr>
                <w:rStyle w:val="Hyperlink"/>
                <w:noProof/>
              </w:rPr>
              <w:t>5 · Scaling Strategy Review</w:t>
            </w:r>
            <w:r>
              <w:rPr>
                <w:noProof/>
              </w:rPr>
              <w:tab/>
            </w:r>
            <w:r>
              <w:rPr>
                <w:noProof/>
              </w:rPr>
              <w:fldChar w:fldCharType="begin"/>
            </w:r>
            <w:r>
              <w:rPr>
                <w:noProof/>
              </w:rPr>
              <w:instrText xml:space="preserve"> PAGEREF _Toc234870973 \h </w:instrText>
            </w:r>
            <w:r>
              <w:rPr>
                <w:noProof/>
              </w:rPr>
            </w:r>
            <w:r>
              <w:rPr>
                <w:noProof/>
              </w:rPr>
              <w:fldChar w:fldCharType="separate"/>
            </w:r>
            <w:r>
              <w:rPr>
                <w:noProof/>
              </w:rPr>
              <w:t>13</w:t>
            </w:r>
            <w:r>
              <w:rPr>
                <w:noProof/>
              </w:rPr>
              <w:fldChar w:fldCharType="end"/>
            </w:r>
          </w:hyperlink>
        </w:p>
        <w:p w14:paraId="62AF78FC" w14:textId="77777777" w:rsidR="007B04B1" w:rsidRDefault="007B04B1">
          <w:pPr>
            <w:pStyle w:val="TOC2"/>
            <w:tabs>
              <w:tab w:val="right" w:leader="dot" w:pos="9350"/>
            </w:tabs>
            <w:rPr>
              <w:noProof/>
            </w:rPr>
          </w:pPr>
          <w:hyperlink w:anchor="_Toc234870974" w:history="1">
            <w:r w:rsidRPr="00F6524F">
              <w:rPr>
                <w:rStyle w:val="Hyperlink"/>
                <w:noProof/>
              </w:rPr>
              <w:t>5.1 Strategic diagnosis</w:t>
            </w:r>
            <w:r>
              <w:rPr>
                <w:noProof/>
              </w:rPr>
              <w:tab/>
            </w:r>
            <w:r>
              <w:rPr>
                <w:noProof/>
              </w:rPr>
              <w:fldChar w:fldCharType="begin"/>
            </w:r>
            <w:r>
              <w:rPr>
                <w:noProof/>
              </w:rPr>
              <w:instrText xml:space="preserve"> PAGEREF _Toc234870974 \h </w:instrText>
            </w:r>
            <w:r>
              <w:rPr>
                <w:noProof/>
              </w:rPr>
            </w:r>
            <w:r>
              <w:rPr>
                <w:noProof/>
              </w:rPr>
              <w:fldChar w:fldCharType="separate"/>
            </w:r>
            <w:r>
              <w:rPr>
                <w:noProof/>
              </w:rPr>
              <w:t>13</w:t>
            </w:r>
            <w:r>
              <w:rPr>
                <w:noProof/>
              </w:rPr>
              <w:fldChar w:fldCharType="end"/>
            </w:r>
          </w:hyperlink>
        </w:p>
        <w:p w14:paraId="00C140B4" w14:textId="77777777" w:rsidR="007B04B1" w:rsidRDefault="007B04B1">
          <w:pPr>
            <w:pStyle w:val="TOC2"/>
            <w:tabs>
              <w:tab w:val="right" w:leader="dot" w:pos="9350"/>
            </w:tabs>
            <w:rPr>
              <w:noProof/>
            </w:rPr>
          </w:pPr>
          <w:hyperlink w:anchor="_Toc234870975" w:history="1">
            <w:r w:rsidRPr="00F6524F">
              <w:rPr>
                <w:rStyle w:val="Hyperlink"/>
                <w:noProof/>
              </w:rPr>
              <w:t>5.2 Priority actions</w:t>
            </w:r>
            <w:r>
              <w:rPr>
                <w:noProof/>
              </w:rPr>
              <w:tab/>
            </w:r>
            <w:r>
              <w:rPr>
                <w:noProof/>
              </w:rPr>
              <w:fldChar w:fldCharType="begin"/>
            </w:r>
            <w:r>
              <w:rPr>
                <w:noProof/>
              </w:rPr>
              <w:instrText xml:space="preserve"> PAGEREF _Toc234870975 \h </w:instrText>
            </w:r>
            <w:r>
              <w:rPr>
                <w:noProof/>
              </w:rPr>
            </w:r>
            <w:r>
              <w:rPr>
                <w:noProof/>
              </w:rPr>
              <w:fldChar w:fldCharType="separate"/>
            </w:r>
            <w:r>
              <w:rPr>
                <w:noProof/>
              </w:rPr>
              <w:t>13</w:t>
            </w:r>
            <w:r>
              <w:rPr>
                <w:noProof/>
              </w:rPr>
              <w:fldChar w:fldCharType="end"/>
            </w:r>
          </w:hyperlink>
        </w:p>
        <w:p w14:paraId="10DBF51D" w14:textId="77777777" w:rsidR="007B04B1" w:rsidRDefault="007B04B1">
          <w:pPr>
            <w:pStyle w:val="TOC2"/>
            <w:tabs>
              <w:tab w:val="right" w:leader="dot" w:pos="9350"/>
            </w:tabs>
            <w:rPr>
              <w:noProof/>
            </w:rPr>
          </w:pPr>
          <w:hyperlink w:anchor="_Toc234870976" w:history="1">
            <w:r w:rsidRPr="00F6524F">
              <w:rPr>
                <w:rStyle w:val="Hyperlink"/>
                <w:noProof/>
              </w:rPr>
              <w:t>5.3 Owner-specific recommendations</w:t>
            </w:r>
            <w:r>
              <w:rPr>
                <w:noProof/>
              </w:rPr>
              <w:tab/>
            </w:r>
            <w:r>
              <w:rPr>
                <w:noProof/>
              </w:rPr>
              <w:fldChar w:fldCharType="begin"/>
            </w:r>
            <w:r>
              <w:rPr>
                <w:noProof/>
              </w:rPr>
              <w:instrText xml:space="preserve"> PAGEREF _Toc234870976 \h </w:instrText>
            </w:r>
            <w:r>
              <w:rPr>
                <w:noProof/>
              </w:rPr>
            </w:r>
            <w:r>
              <w:rPr>
                <w:noProof/>
              </w:rPr>
              <w:fldChar w:fldCharType="separate"/>
            </w:r>
            <w:r>
              <w:rPr>
                <w:noProof/>
              </w:rPr>
              <w:t>13</w:t>
            </w:r>
            <w:r>
              <w:rPr>
                <w:noProof/>
              </w:rPr>
              <w:fldChar w:fldCharType="end"/>
            </w:r>
          </w:hyperlink>
        </w:p>
        <w:p w14:paraId="61570418" w14:textId="77777777" w:rsidR="007B04B1" w:rsidRDefault="007B04B1">
          <w:pPr>
            <w:pStyle w:val="TOC2"/>
            <w:tabs>
              <w:tab w:val="right" w:leader="dot" w:pos="9350"/>
            </w:tabs>
            <w:rPr>
              <w:noProof/>
            </w:rPr>
          </w:pPr>
          <w:hyperlink w:anchor="_Toc234870977" w:history="1">
            <w:r w:rsidRPr="00F6524F">
              <w:rPr>
                <w:rStyle w:val="Hyperlink"/>
                <w:noProof/>
              </w:rPr>
              <w:t>5.4 Adaptive management (decision rules, not fixed plans)</w:t>
            </w:r>
            <w:r>
              <w:rPr>
                <w:noProof/>
              </w:rPr>
              <w:tab/>
            </w:r>
            <w:r>
              <w:rPr>
                <w:noProof/>
              </w:rPr>
              <w:fldChar w:fldCharType="begin"/>
            </w:r>
            <w:r>
              <w:rPr>
                <w:noProof/>
              </w:rPr>
              <w:instrText xml:space="preserve"> PAGEREF _Toc234870977 \h </w:instrText>
            </w:r>
            <w:r>
              <w:rPr>
                <w:noProof/>
              </w:rPr>
            </w:r>
            <w:r>
              <w:rPr>
                <w:noProof/>
              </w:rPr>
              <w:fldChar w:fldCharType="separate"/>
            </w:r>
            <w:r>
              <w:rPr>
                <w:noProof/>
              </w:rPr>
              <w:t>13</w:t>
            </w:r>
            <w:r>
              <w:rPr>
                <w:noProof/>
              </w:rPr>
              <w:fldChar w:fldCharType="end"/>
            </w:r>
          </w:hyperlink>
        </w:p>
        <w:p w14:paraId="6244F8A7" w14:textId="77777777" w:rsidR="007B04B1" w:rsidRDefault="007B04B1">
          <w:pPr>
            <w:pStyle w:val="TOC2"/>
            <w:tabs>
              <w:tab w:val="right" w:leader="dot" w:pos="9350"/>
            </w:tabs>
            <w:rPr>
              <w:noProof/>
            </w:rPr>
          </w:pPr>
          <w:hyperlink w:anchor="_Toc234870978" w:history="1">
            <w:r w:rsidRPr="00F6524F">
              <w:rPr>
                <w:rStyle w:val="Hyperlink"/>
                <w:noProof/>
              </w:rPr>
              <w:t>5.5 Institutionalization assessment</w:t>
            </w:r>
            <w:r>
              <w:rPr>
                <w:noProof/>
              </w:rPr>
              <w:tab/>
            </w:r>
            <w:r>
              <w:rPr>
                <w:noProof/>
              </w:rPr>
              <w:fldChar w:fldCharType="begin"/>
            </w:r>
            <w:r>
              <w:rPr>
                <w:noProof/>
              </w:rPr>
              <w:instrText xml:space="preserve"> PAGEREF _Toc234870978 \h </w:instrText>
            </w:r>
            <w:r>
              <w:rPr>
                <w:noProof/>
              </w:rPr>
            </w:r>
            <w:r>
              <w:rPr>
                <w:noProof/>
              </w:rPr>
              <w:fldChar w:fldCharType="separate"/>
            </w:r>
            <w:r>
              <w:rPr>
                <w:noProof/>
              </w:rPr>
              <w:t>14</w:t>
            </w:r>
            <w:r>
              <w:rPr>
                <w:noProof/>
              </w:rPr>
              <w:fldChar w:fldCharType="end"/>
            </w:r>
          </w:hyperlink>
        </w:p>
        <w:p w14:paraId="0B03FE6E" w14:textId="77777777" w:rsidR="007B04B1" w:rsidRDefault="007B04B1">
          <w:pPr>
            <w:pStyle w:val="TOC2"/>
            <w:tabs>
              <w:tab w:val="right" w:leader="dot" w:pos="9350"/>
            </w:tabs>
            <w:rPr>
              <w:noProof/>
            </w:rPr>
          </w:pPr>
          <w:hyperlink w:anchor="_Toc234870979" w:history="1">
            <w:r w:rsidRPr="00F6524F">
              <w:rPr>
                <w:rStyle w:val="Hyperlink"/>
                <w:noProof/>
              </w:rPr>
              <w:t>5.6 Learning experiments</w:t>
            </w:r>
            <w:r>
              <w:rPr>
                <w:noProof/>
              </w:rPr>
              <w:tab/>
            </w:r>
            <w:r>
              <w:rPr>
                <w:noProof/>
              </w:rPr>
              <w:fldChar w:fldCharType="begin"/>
            </w:r>
            <w:r>
              <w:rPr>
                <w:noProof/>
              </w:rPr>
              <w:instrText xml:space="preserve"> PAGEREF _Toc234870979 \h </w:instrText>
            </w:r>
            <w:r>
              <w:rPr>
                <w:noProof/>
              </w:rPr>
            </w:r>
            <w:r>
              <w:rPr>
                <w:noProof/>
              </w:rPr>
              <w:fldChar w:fldCharType="separate"/>
            </w:r>
            <w:r>
              <w:rPr>
                <w:noProof/>
              </w:rPr>
              <w:t>14</w:t>
            </w:r>
            <w:r>
              <w:rPr>
                <w:noProof/>
              </w:rPr>
              <w:fldChar w:fldCharType="end"/>
            </w:r>
          </w:hyperlink>
        </w:p>
        <w:p w14:paraId="33447AAF" w14:textId="77777777" w:rsidR="007B04B1" w:rsidRDefault="007B04B1">
          <w:pPr>
            <w:pStyle w:val="TOC1"/>
            <w:tabs>
              <w:tab w:val="right" w:leader="dot" w:pos="9350"/>
            </w:tabs>
            <w:rPr>
              <w:noProof/>
            </w:rPr>
          </w:pPr>
          <w:hyperlink w:anchor="_Toc234870980" w:history="1">
            <w:r w:rsidRPr="00F6524F">
              <w:rPr>
                <w:rStyle w:val="Hyperlink"/>
                <w:noProof/>
              </w:rPr>
              <w:t>6 · Richard Kohl Coaching Preparation Brief</w:t>
            </w:r>
            <w:r>
              <w:rPr>
                <w:noProof/>
              </w:rPr>
              <w:tab/>
            </w:r>
            <w:r>
              <w:rPr>
                <w:noProof/>
              </w:rPr>
              <w:fldChar w:fldCharType="begin"/>
            </w:r>
            <w:r>
              <w:rPr>
                <w:noProof/>
              </w:rPr>
              <w:instrText xml:space="preserve"> PAGEREF _Toc234870980 \h </w:instrText>
            </w:r>
            <w:r>
              <w:rPr>
                <w:noProof/>
              </w:rPr>
            </w:r>
            <w:r>
              <w:rPr>
                <w:noProof/>
              </w:rPr>
              <w:fldChar w:fldCharType="separate"/>
            </w:r>
            <w:r>
              <w:rPr>
                <w:noProof/>
              </w:rPr>
              <w:t>15</w:t>
            </w:r>
            <w:r>
              <w:rPr>
                <w:noProof/>
              </w:rPr>
              <w:fldChar w:fldCharType="end"/>
            </w:r>
          </w:hyperlink>
        </w:p>
        <w:p w14:paraId="6523524E" w14:textId="77777777" w:rsidR="007B04B1" w:rsidRDefault="007B04B1">
          <w:pPr>
            <w:pStyle w:val="TOC2"/>
            <w:tabs>
              <w:tab w:val="right" w:leader="dot" w:pos="9350"/>
            </w:tabs>
            <w:rPr>
              <w:noProof/>
            </w:rPr>
          </w:pPr>
          <w:hyperlink w:anchor="_Toc234870981" w:history="1">
            <w:r w:rsidRPr="00F6524F">
              <w:rPr>
                <w:rStyle w:val="Hyperlink"/>
                <w:noProof/>
              </w:rPr>
              <w:t>6.1 Executive coaching summary</w:t>
            </w:r>
            <w:r>
              <w:rPr>
                <w:noProof/>
              </w:rPr>
              <w:tab/>
            </w:r>
            <w:r>
              <w:rPr>
                <w:noProof/>
              </w:rPr>
              <w:fldChar w:fldCharType="begin"/>
            </w:r>
            <w:r>
              <w:rPr>
                <w:noProof/>
              </w:rPr>
              <w:instrText xml:space="preserve"> PAGEREF _Toc234870981 \h </w:instrText>
            </w:r>
            <w:r>
              <w:rPr>
                <w:noProof/>
              </w:rPr>
            </w:r>
            <w:r>
              <w:rPr>
                <w:noProof/>
              </w:rPr>
              <w:fldChar w:fldCharType="separate"/>
            </w:r>
            <w:r>
              <w:rPr>
                <w:noProof/>
              </w:rPr>
              <w:t>15</w:t>
            </w:r>
            <w:r>
              <w:rPr>
                <w:noProof/>
              </w:rPr>
              <w:fldChar w:fldCharType="end"/>
            </w:r>
          </w:hyperlink>
        </w:p>
        <w:p w14:paraId="17196629" w14:textId="77777777" w:rsidR="007B04B1" w:rsidRDefault="007B04B1">
          <w:pPr>
            <w:pStyle w:val="TOC2"/>
            <w:tabs>
              <w:tab w:val="right" w:leader="dot" w:pos="9350"/>
            </w:tabs>
            <w:rPr>
              <w:noProof/>
            </w:rPr>
          </w:pPr>
          <w:hyperlink w:anchor="_Toc234870982" w:history="1">
            <w:r w:rsidRPr="00F6524F">
              <w:rPr>
                <w:rStyle w:val="Hyperlink"/>
                <w:noProof/>
              </w:rPr>
              <w:t>6.2 Five questions Richard is most likely to ask</w:t>
            </w:r>
            <w:r>
              <w:rPr>
                <w:noProof/>
              </w:rPr>
              <w:tab/>
            </w:r>
            <w:r>
              <w:rPr>
                <w:noProof/>
              </w:rPr>
              <w:fldChar w:fldCharType="begin"/>
            </w:r>
            <w:r>
              <w:rPr>
                <w:noProof/>
              </w:rPr>
              <w:instrText xml:space="preserve"> PAGEREF _Toc234870982 \h </w:instrText>
            </w:r>
            <w:r>
              <w:rPr>
                <w:noProof/>
              </w:rPr>
            </w:r>
            <w:r>
              <w:rPr>
                <w:noProof/>
              </w:rPr>
              <w:fldChar w:fldCharType="separate"/>
            </w:r>
            <w:r>
              <w:rPr>
                <w:noProof/>
              </w:rPr>
              <w:t>15</w:t>
            </w:r>
            <w:r>
              <w:rPr>
                <w:noProof/>
              </w:rPr>
              <w:fldChar w:fldCharType="end"/>
            </w:r>
          </w:hyperlink>
        </w:p>
        <w:p w14:paraId="4470F4FB" w14:textId="77777777" w:rsidR="007B04B1" w:rsidRDefault="007B04B1">
          <w:pPr>
            <w:pStyle w:val="TOC2"/>
            <w:tabs>
              <w:tab w:val="right" w:leader="dot" w:pos="9350"/>
            </w:tabs>
            <w:rPr>
              <w:noProof/>
            </w:rPr>
          </w:pPr>
          <w:hyperlink w:anchor="_Toc234870983" w:history="1">
            <w:r w:rsidRPr="00F6524F">
              <w:rPr>
                <w:rStyle w:val="Hyperlink"/>
                <w:noProof/>
              </w:rPr>
              <w:t>6.3 Five assumptions he is most likely to challenge</w:t>
            </w:r>
            <w:r>
              <w:rPr>
                <w:noProof/>
              </w:rPr>
              <w:tab/>
            </w:r>
            <w:r>
              <w:rPr>
                <w:noProof/>
              </w:rPr>
              <w:fldChar w:fldCharType="begin"/>
            </w:r>
            <w:r>
              <w:rPr>
                <w:noProof/>
              </w:rPr>
              <w:instrText xml:space="preserve"> PAGEREF _Toc234870983 \h </w:instrText>
            </w:r>
            <w:r>
              <w:rPr>
                <w:noProof/>
              </w:rPr>
            </w:r>
            <w:r>
              <w:rPr>
                <w:noProof/>
              </w:rPr>
              <w:fldChar w:fldCharType="separate"/>
            </w:r>
            <w:r>
              <w:rPr>
                <w:noProof/>
              </w:rPr>
              <w:t>15</w:t>
            </w:r>
            <w:r>
              <w:rPr>
                <w:noProof/>
              </w:rPr>
              <w:fldChar w:fldCharType="end"/>
            </w:r>
          </w:hyperlink>
        </w:p>
        <w:p w14:paraId="3C7322F7" w14:textId="77777777" w:rsidR="007B04B1" w:rsidRDefault="007B04B1">
          <w:pPr>
            <w:pStyle w:val="TOC2"/>
            <w:tabs>
              <w:tab w:val="right" w:leader="dot" w:pos="9350"/>
            </w:tabs>
            <w:rPr>
              <w:noProof/>
            </w:rPr>
          </w:pPr>
          <w:hyperlink w:anchor="_Toc234870984" w:history="1">
            <w:r w:rsidRPr="00F6524F">
              <w:rPr>
                <w:rStyle w:val="Hyperlink"/>
                <w:noProof/>
              </w:rPr>
              <w:t>6.4 Three areas where the team is likely overestimating readiness</w:t>
            </w:r>
            <w:r>
              <w:rPr>
                <w:noProof/>
              </w:rPr>
              <w:tab/>
            </w:r>
            <w:r>
              <w:rPr>
                <w:noProof/>
              </w:rPr>
              <w:fldChar w:fldCharType="begin"/>
            </w:r>
            <w:r>
              <w:rPr>
                <w:noProof/>
              </w:rPr>
              <w:instrText xml:space="preserve"> PAGEREF _Toc234870984 \h </w:instrText>
            </w:r>
            <w:r>
              <w:rPr>
                <w:noProof/>
              </w:rPr>
            </w:r>
            <w:r>
              <w:rPr>
                <w:noProof/>
              </w:rPr>
              <w:fldChar w:fldCharType="separate"/>
            </w:r>
            <w:r>
              <w:rPr>
                <w:noProof/>
              </w:rPr>
              <w:t>15</w:t>
            </w:r>
            <w:r>
              <w:rPr>
                <w:noProof/>
              </w:rPr>
              <w:fldChar w:fldCharType="end"/>
            </w:r>
          </w:hyperlink>
        </w:p>
        <w:p w14:paraId="28113925" w14:textId="77777777" w:rsidR="007B04B1" w:rsidRDefault="007B04B1">
          <w:pPr>
            <w:pStyle w:val="TOC2"/>
            <w:tabs>
              <w:tab w:val="right" w:leader="dot" w:pos="9350"/>
            </w:tabs>
            <w:rPr>
              <w:noProof/>
            </w:rPr>
          </w:pPr>
          <w:hyperlink w:anchor="_Toc234870985" w:history="1">
            <w:r w:rsidRPr="00F6524F">
              <w:rPr>
                <w:rStyle w:val="Hyperlink"/>
                <w:noProof/>
              </w:rPr>
              <w:t>6.5 Three strengths Richard is likely to recognize</w:t>
            </w:r>
            <w:r>
              <w:rPr>
                <w:noProof/>
              </w:rPr>
              <w:tab/>
            </w:r>
            <w:r>
              <w:rPr>
                <w:noProof/>
              </w:rPr>
              <w:fldChar w:fldCharType="begin"/>
            </w:r>
            <w:r>
              <w:rPr>
                <w:noProof/>
              </w:rPr>
              <w:instrText xml:space="preserve"> PAGEREF _Toc234870985 \h </w:instrText>
            </w:r>
            <w:r>
              <w:rPr>
                <w:noProof/>
              </w:rPr>
            </w:r>
            <w:r>
              <w:rPr>
                <w:noProof/>
              </w:rPr>
              <w:fldChar w:fldCharType="separate"/>
            </w:r>
            <w:r>
              <w:rPr>
                <w:noProof/>
              </w:rPr>
              <w:t>15</w:t>
            </w:r>
            <w:r>
              <w:rPr>
                <w:noProof/>
              </w:rPr>
              <w:fldChar w:fldCharType="end"/>
            </w:r>
          </w:hyperlink>
        </w:p>
        <w:p w14:paraId="37CA0AFF" w14:textId="77777777" w:rsidR="007B04B1" w:rsidRDefault="007B04B1">
          <w:pPr>
            <w:pStyle w:val="TOC2"/>
            <w:tabs>
              <w:tab w:val="right" w:leader="dot" w:pos="9350"/>
            </w:tabs>
            <w:rPr>
              <w:noProof/>
            </w:rPr>
          </w:pPr>
          <w:hyperlink w:anchor="_Toc234870986" w:history="1">
            <w:r w:rsidRPr="00F6524F">
              <w:rPr>
                <w:rStyle w:val="Hyperlink"/>
                <w:noProof/>
              </w:rPr>
              <w:t>6.6 Evidence the team should have available</w:t>
            </w:r>
            <w:r>
              <w:rPr>
                <w:noProof/>
              </w:rPr>
              <w:tab/>
            </w:r>
            <w:r>
              <w:rPr>
                <w:noProof/>
              </w:rPr>
              <w:fldChar w:fldCharType="begin"/>
            </w:r>
            <w:r>
              <w:rPr>
                <w:noProof/>
              </w:rPr>
              <w:instrText xml:space="preserve"> PAGEREF _Toc234870986 \h </w:instrText>
            </w:r>
            <w:r>
              <w:rPr>
                <w:noProof/>
              </w:rPr>
            </w:r>
            <w:r>
              <w:rPr>
                <w:noProof/>
              </w:rPr>
              <w:fldChar w:fldCharType="separate"/>
            </w:r>
            <w:r>
              <w:rPr>
                <w:noProof/>
              </w:rPr>
              <w:t>16</w:t>
            </w:r>
            <w:r>
              <w:rPr>
                <w:noProof/>
              </w:rPr>
              <w:fldChar w:fldCharType="end"/>
            </w:r>
          </w:hyperlink>
        </w:p>
        <w:p w14:paraId="5D14A836" w14:textId="77777777" w:rsidR="007B04B1" w:rsidRDefault="007B04B1">
          <w:pPr>
            <w:pStyle w:val="TOC2"/>
            <w:tabs>
              <w:tab w:val="right" w:leader="dot" w:pos="9350"/>
            </w:tabs>
            <w:rPr>
              <w:noProof/>
            </w:rPr>
          </w:pPr>
          <w:hyperlink w:anchor="_Toc234870987" w:history="1">
            <w:r w:rsidRPr="00F6524F">
              <w:rPr>
                <w:rStyle w:val="Hyperlink"/>
                <w:noProof/>
              </w:rPr>
              <w:t>6.7 Evidence currently missing</w:t>
            </w:r>
            <w:r>
              <w:rPr>
                <w:noProof/>
              </w:rPr>
              <w:tab/>
            </w:r>
            <w:r>
              <w:rPr>
                <w:noProof/>
              </w:rPr>
              <w:fldChar w:fldCharType="begin"/>
            </w:r>
            <w:r>
              <w:rPr>
                <w:noProof/>
              </w:rPr>
              <w:instrText xml:space="preserve"> PAGEREF _Toc234870987 \h </w:instrText>
            </w:r>
            <w:r>
              <w:rPr>
                <w:noProof/>
              </w:rPr>
            </w:r>
            <w:r>
              <w:rPr>
                <w:noProof/>
              </w:rPr>
              <w:fldChar w:fldCharType="separate"/>
            </w:r>
            <w:r>
              <w:rPr>
                <w:noProof/>
              </w:rPr>
              <w:t>16</w:t>
            </w:r>
            <w:r>
              <w:rPr>
                <w:noProof/>
              </w:rPr>
              <w:fldChar w:fldCharType="end"/>
            </w:r>
          </w:hyperlink>
        </w:p>
        <w:p w14:paraId="7C85F5B5" w14:textId="77777777" w:rsidR="007B04B1" w:rsidRDefault="007B04B1">
          <w:pPr>
            <w:pStyle w:val="TOC2"/>
            <w:tabs>
              <w:tab w:val="right" w:leader="dot" w:pos="9350"/>
            </w:tabs>
            <w:rPr>
              <w:noProof/>
            </w:rPr>
          </w:pPr>
          <w:hyperlink w:anchor="_Toc234870988" w:history="1">
            <w:r w:rsidRPr="00F6524F">
              <w:rPr>
                <w:rStyle w:val="Hyperlink"/>
                <w:noProof/>
              </w:rPr>
              <w:t>6.8 Recommended 90-minute coaching agenda</w:t>
            </w:r>
            <w:r>
              <w:rPr>
                <w:noProof/>
              </w:rPr>
              <w:tab/>
            </w:r>
            <w:r>
              <w:rPr>
                <w:noProof/>
              </w:rPr>
              <w:fldChar w:fldCharType="begin"/>
            </w:r>
            <w:r>
              <w:rPr>
                <w:noProof/>
              </w:rPr>
              <w:instrText xml:space="preserve"> PAGEREF _Toc234870988 \h </w:instrText>
            </w:r>
            <w:r>
              <w:rPr>
                <w:noProof/>
              </w:rPr>
            </w:r>
            <w:r>
              <w:rPr>
                <w:noProof/>
              </w:rPr>
              <w:fldChar w:fldCharType="separate"/>
            </w:r>
            <w:r>
              <w:rPr>
                <w:noProof/>
              </w:rPr>
              <w:t>16</w:t>
            </w:r>
            <w:r>
              <w:rPr>
                <w:noProof/>
              </w:rPr>
              <w:fldChar w:fldCharType="end"/>
            </w:r>
          </w:hyperlink>
        </w:p>
        <w:p w14:paraId="3A3015A5" w14:textId="77777777" w:rsidR="007B04B1" w:rsidRDefault="007B04B1">
          <w:pPr>
            <w:pStyle w:val="TOC2"/>
            <w:tabs>
              <w:tab w:val="right" w:leader="dot" w:pos="9350"/>
            </w:tabs>
            <w:rPr>
              <w:noProof/>
            </w:rPr>
          </w:pPr>
          <w:hyperlink w:anchor="_Toc234870989" w:history="1">
            <w:r w:rsidRPr="00F6524F">
              <w:rPr>
                <w:rStyle w:val="Hyperlink"/>
                <w:noProof/>
              </w:rPr>
              <w:t>6.9 Three conversations the team should have internally first</w:t>
            </w:r>
            <w:r>
              <w:rPr>
                <w:noProof/>
              </w:rPr>
              <w:tab/>
            </w:r>
            <w:r>
              <w:rPr>
                <w:noProof/>
              </w:rPr>
              <w:fldChar w:fldCharType="begin"/>
            </w:r>
            <w:r>
              <w:rPr>
                <w:noProof/>
              </w:rPr>
              <w:instrText xml:space="preserve"> PAGEREF _Toc234870989 \h </w:instrText>
            </w:r>
            <w:r>
              <w:rPr>
                <w:noProof/>
              </w:rPr>
            </w:r>
            <w:r>
              <w:rPr>
                <w:noProof/>
              </w:rPr>
              <w:fldChar w:fldCharType="separate"/>
            </w:r>
            <w:r>
              <w:rPr>
                <w:noProof/>
              </w:rPr>
              <w:t>16</w:t>
            </w:r>
            <w:r>
              <w:rPr>
                <w:noProof/>
              </w:rPr>
              <w:fldChar w:fldCharType="end"/>
            </w:r>
          </w:hyperlink>
        </w:p>
        <w:p w14:paraId="61BB1C34" w14:textId="77777777" w:rsidR="007B04B1" w:rsidRDefault="007B04B1">
          <w:pPr>
            <w:pStyle w:val="TOC2"/>
            <w:tabs>
              <w:tab w:val="right" w:leader="dot" w:pos="9350"/>
            </w:tabs>
            <w:rPr>
              <w:noProof/>
            </w:rPr>
          </w:pPr>
          <w:hyperlink w:anchor="_Toc234870990" w:history="1">
            <w:r w:rsidRPr="00F6524F">
              <w:rPr>
                <w:rStyle w:val="Hyperlink"/>
                <w:noProof/>
              </w:rPr>
              <w:t>6.10 If Richard remembered only one thing six months later</w:t>
            </w:r>
            <w:r>
              <w:rPr>
                <w:noProof/>
              </w:rPr>
              <w:tab/>
            </w:r>
            <w:r>
              <w:rPr>
                <w:noProof/>
              </w:rPr>
              <w:fldChar w:fldCharType="begin"/>
            </w:r>
            <w:r>
              <w:rPr>
                <w:noProof/>
              </w:rPr>
              <w:instrText xml:space="preserve"> PAGEREF _Toc234870990 \h </w:instrText>
            </w:r>
            <w:r>
              <w:rPr>
                <w:noProof/>
              </w:rPr>
            </w:r>
            <w:r>
              <w:rPr>
                <w:noProof/>
              </w:rPr>
              <w:fldChar w:fldCharType="separate"/>
            </w:r>
            <w:r>
              <w:rPr>
                <w:noProof/>
              </w:rPr>
              <w:t>16</w:t>
            </w:r>
            <w:r>
              <w:rPr>
                <w:noProof/>
              </w:rPr>
              <w:fldChar w:fldCharType="end"/>
            </w:r>
          </w:hyperlink>
        </w:p>
        <w:p w14:paraId="6235D8BF" w14:textId="77777777" w:rsidR="007B04B1" w:rsidRDefault="007B04B1">
          <w:pPr>
            <w:pStyle w:val="TOC1"/>
            <w:tabs>
              <w:tab w:val="right" w:leader="dot" w:pos="9350"/>
            </w:tabs>
            <w:rPr>
              <w:noProof/>
            </w:rPr>
          </w:pPr>
          <w:hyperlink w:anchor="_Toc234870991" w:history="1">
            <w:r w:rsidRPr="00F6524F">
              <w:rPr>
                <w:rStyle w:val="Hyperlink"/>
                <w:noProof/>
              </w:rPr>
              <w:t>7 · Operating System Improvement Recommendations</w:t>
            </w:r>
            <w:r>
              <w:rPr>
                <w:noProof/>
              </w:rPr>
              <w:tab/>
            </w:r>
            <w:r>
              <w:rPr>
                <w:noProof/>
              </w:rPr>
              <w:fldChar w:fldCharType="begin"/>
            </w:r>
            <w:r>
              <w:rPr>
                <w:noProof/>
              </w:rPr>
              <w:instrText xml:space="preserve"> PAGEREF _Toc234870991 \h </w:instrText>
            </w:r>
            <w:r>
              <w:rPr>
                <w:noProof/>
              </w:rPr>
            </w:r>
            <w:r>
              <w:rPr>
                <w:noProof/>
              </w:rPr>
              <w:fldChar w:fldCharType="separate"/>
            </w:r>
            <w:r>
              <w:rPr>
                <w:noProof/>
              </w:rPr>
              <w:t>17</w:t>
            </w:r>
            <w:r>
              <w:rPr>
                <w:noProof/>
              </w:rPr>
              <w:fldChar w:fldCharType="end"/>
            </w:r>
          </w:hyperlink>
        </w:p>
        <w:p w14:paraId="46C8F9C4" w14:textId="77777777" w:rsidR="007B04B1" w:rsidRDefault="007B04B1">
          <w:pPr>
            <w:pStyle w:val="TOC2"/>
            <w:tabs>
              <w:tab w:val="right" w:leader="dot" w:pos="9350"/>
            </w:tabs>
            <w:rPr>
              <w:noProof/>
            </w:rPr>
          </w:pPr>
          <w:hyperlink w:anchor="_Toc234870992" w:history="1">
            <w:r w:rsidRPr="00F6524F">
              <w:rPr>
                <w:rStyle w:val="Hyperlink"/>
                <w:noProof/>
              </w:rPr>
              <w:t>7.1 By component</w:t>
            </w:r>
            <w:r>
              <w:rPr>
                <w:noProof/>
              </w:rPr>
              <w:tab/>
            </w:r>
            <w:r>
              <w:rPr>
                <w:noProof/>
              </w:rPr>
              <w:fldChar w:fldCharType="begin"/>
            </w:r>
            <w:r>
              <w:rPr>
                <w:noProof/>
              </w:rPr>
              <w:instrText xml:space="preserve"> PAGEREF _Toc234870992 \h </w:instrText>
            </w:r>
            <w:r>
              <w:rPr>
                <w:noProof/>
              </w:rPr>
            </w:r>
            <w:r>
              <w:rPr>
                <w:noProof/>
              </w:rPr>
              <w:fldChar w:fldCharType="separate"/>
            </w:r>
            <w:r>
              <w:rPr>
                <w:noProof/>
              </w:rPr>
              <w:t>17</w:t>
            </w:r>
            <w:r>
              <w:rPr>
                <w:noProof/>
              </w:rPr>
              <w:fldChar w:fldCharType="end"/>
            </w:r>
          </w:hyperlink>
        </w:p>
        <w:p w14:paraId="2722C100" w14:textId="77777777" w:rsidR="007B04B1" w:rsidRDefault="007B04B1">
          <w:pPr>
            <w:pStyle w:val="TOC2"/>
            <w:tabs>
              <w:tab w:val="right" w:leader="dot" w:pos="9350"/>
            </w:tabs>
            <w:rPr>
              <w:noProof/>
            </w:rPr>
          </w:pPr>
          <w:hyperlink w:anchor="_Toc234870993" w:history="1">
            <w:r w:rsidRPr="00F6524F">
              <w:rPr>
                <w:rStyle w:val="Hyperlink"/>
                <w:noProof/>
              </w:rPr>
              <w:t>7.2 Highest-value OS change</w:t>
            </w:r>
            <w:r>
              <w:rPr>
                <w:noProof/>
              </w:rPr>
              <w:tab/>
            </w:r>
            <w:r>
              <w:rPr>
                <w:noProof/>
              </w:rPr>
              <w:fldChar w:fldCharType="begin"/>
            </w:r>
            <w:r>
              <w:rPr>
                <w:noProof/>
              </w:rPr>
              <w:instrText xml:space="preserve"> PAGEREF _Toc234870993 \h </w:instrText>
            </w:r>
            <w:r>
              <w:rPr>
                <w:noProof/>
              </w:rPr>
            </w:r>
            <w:r>
              <w:rPr>
                <w:noProof/>
              </w:rPr>
              <w:fldChar w:fldCharType="separate"/>
            </w:r>
            <w:r>
              <w:rPr>
                <w:noProof/>
              </w:rPr>
              <w:t>17</w:t>
            </w:r>
            <w:r>
              <w:rPr>
                <w:noProof/>
              </w:rPr>
              <w:fldChar w:fldCharType="end"/>
            </w:r>
          </w:hyperlink>
        </w:p>
        <w:p w14:paraId="7B52ECF2" w14:textId="77777777" w:rsidR="007B04B1" w:rsidRDefault="007B04B1">
          <w:pPr>
            <w:pStyle w:val="TOC2"/>
            <w:tabs>
              <w:tab w:val="right" w:leader="dot" w:pos="9350"/>
            </w:tabs>
            <w:rPr>
              <w:noProof/>
            </w:rPr>
          </w:pPr>
          <w:hyperlink w:anchor="_Toc234870994" w:history="1">
            <w:r w:rsidRPr="00F6524F">
              <w:rPr>
                <w:rStyle w:val="Hyperlink"/>
                <w:noProof/>
              </w:rPr>
              <w:t>7.3 Assessor's provenance note</w:t>
            </w:r>
            <w:r>
              <w:rPr>
                <w:noProof/>
              </w:rPr>
              <w:tab/>
            </w:r>
            <w:r>
              <w:rPr>
                <w:noProof/>
              </w:rPr>
              <w:fldChar w:fldCharType="begin"/>
            </w:r>
            <w:r>
              <w:rPr>
                <w:noProof/>
              </w:rPr>
              <w:instrText xml:space="preserve"> PAGEREF _Toc234870994 \h </w:instrText>
            </w:r>
            <w:r>
              <w:rPr>
                <w:noProof/>
              </w:rPr>
            </w:r>
            <w:r>
              <w:rPr>
                <w:noProof/>
              </w:rPr>
              <w:fldChar w:fldCharType="separate"/>
            </w:r>
            <w:r>
              <w:rPr>
                <w:noProof/>
              </w:rPr>
              <w:t>17</w:t>
            </w:r>
            <w:r>
              <w:rPr>
                <w:noProof/>
              </w:rPr>
              <w:fldChar w:fldCharType="end"/>
            </w:r>
          </w:hyperlink>
        </w:p>
        <w:p w14:paraId="3758F8D9" w14:textId="77777777" w:rsidR="00BA3083" w:rsidRDefault="00000000">
          <w:r>
            <w:fldChar w:fldCharType="end"/>
          </w:r>
        </w:p>
      </w:sdtContent>
    </w:sdt>
    <w:p w14:paraId="6B4F7D1D" w14:textId="77777777" w:rsidR="00BA3083" w:rsidRDefault="00000000">
      <w:r>
        <w:br w:type="page"/>
      </w:r>
    </w:p>
    <w:p w14:paraId="637FAB08" w14:textId="77777777" w:rsidR="00BA3083" w:rsidRDefault="00000000">
      <w:pPr>
        <w:pStyle w:val="Heading1"/>
        <w:spacing w:before="320" w:after="140"/>
      </w:pPr>
      <w:bookmarkStart w:id="1" w:name="_Toc234870951"/>
      <w:r>
        <w:lastRenderedPageBreak/>
        <w:t>1 · Executive Summary</w:t>
      </w:r>
      <w:bookmarkEnd w:id="1"/>
    </w:p>
    <w:tbl>
      <w:tblPr>
        <w:tblW w:w="9360" w:type="dxa"/>
        <w:tblBorders>
          <w:left w:val="single" w:sz="24" w:space="0" w:color="6A1B9A"/>
        </w:tblBorders>
        <w:tblCellMar>
          <w:left w:w="10" w:type="dxa"/>
          <w:right w:w="10" w:type="dxa"/>
        </w:tblCellMar>
        <w:tblLook w:val="04A0" w:firstRow="1" w:lastRow="0" w:firstColumn="1" w:lastColumn="0" w:noHBand="0" w:noVBand="1"/>
      </w:tblPr>
      <w:tblGrid>
        <w:gridCol w:w="9360"/>
      </w:tblGrid>
      <w:tr w:rsidR="00BA3083" w14:paraId="4758CC32" w14:textId="77777777">
        <w:tblPrEx>
          <w:tblCellMar>
            <w:top w:w="0" w:type="dxa"/>
            <w:bottom w:w="0" w:type="dxa"/>
          </w:tblCellMar>
        </w:tblPrEx>
        <w:tc>
          <w:tcPr>
            <w:tcW w:w="9360" w:type="dxa"/>
            <w:shd w:val="clear" w:color="auto" w:fill="EEF3F1"/>
            <w:tcMar>
              <w:top w:w="120" w:type="dxa"/>
              <w:left w:w="200" w:type="dxa"/>
              <w:bottom w:w="120" w:type="dxa"/>
              <w:right w:w="160" w:type="dxa"/>
            </w:tcMar>
          </w:tcPr>
          <w:p w14:paraId="33D14885" w14:textId="77777777" w:rsidR="00BA3083" w:rsidRDefault="00000000">
            <w:pPr>
              <w:spacing w:after="60"/>
            </w:pPr>
            <w:r>
              <w:rPr>
                <w:b/>
                <w:bCs/>
                <w:color w:val="6A1B9A"/>
              </w:rPr>
              <w:t>Executive judgement (Strategy Coach, Kohl-style)</w:t>
            </w:r>
          </w:p>
          <w:p w14:paraId="7ED7DE65" w14:textId="77777777" w:rsidR="00BA3083" w:rsidRDefault="00000000">
            <w:pPr>
              <w:spacing w:after="50" w:line="258" w:lineRule="auto"/>
            </w:pPr>
            <w:r>
              <w:rPr>
                <w:b/>
                <w:bCs/>
              </w:rPr>
              <w:t xml:space="preserve">Stage-gate classification: </w:t>
            </w:r>
            <w:r>
              <w:rPr>
                <w:b/>
                <w:bCs/>
                <w:color w:val="6A1B9A"/>
              </w:rPr>
              <w:t>Transition to Scale — with a targeted bottleneck condition.</w:t>
            </w:r>
          </w:p>
          <w:p w14:paraId="3A7BBEDB" w14:textId="77777777" w:rsidR="00BA3083" w:rsidRDefault="00000000">
            <w:pPr>
              <w:spacing w:after="50" w:line="258" w:lineRule="auto"/>
            </w:pPr>
            <w:r>
              <w:rPr>
                <w:b/>
                <w:bCs/>
              </w:rPr>
              <w:t xml:space="preserve">One-sentence rationale: </w:t>
            </w:r>
            <w:r>
              <w:t>The innovation is technically validated and commercially live at small scale, but the scaling ambition (100,000 farmers) depends on an unproven insurance risk-diversification and subsidy-financing pathway that no supplied evidence addresses.</w:t>
            </w:r>
          </w:p>
          <w:p w14:paraId="38559C45" w14:textId="77777777" w:rsidR="00BA3083" w:rsidRDefault="00000000">
            <w:pPr>
              <w:spacing w:after="50" w:line="258" w:lineRule="auto"/>
            </w:pPr>
            <w:r>
              <w:rPr>
                <w:b/>
                <w:bCs/>
              </w:rPr>
              <w:t xml:space="preserve">Main weakest link: </w:t>
            </w:r>
            <w:r>
              <w:t>Financing sustainability of the insurance leg at scale — specifically, who pays for customer acquisition and subsidies on the journey from ~15,000 to hundreds of thousands of farmers, and whether the insurance pool ever reaches viable risk diversification.</w:t>
            </w:r>
          </w:p>
        </w:tc>
      </w:tr>
    </w:tbl>
    <w:p w14:paraId="349E7ECB" w14:textId="77777777" w:rsidR="00BA3083" w:rsidRDefault="00000000">
      <w:pPr>
        <w:pStyle w:val="Heading3"/>
        <w:spacing w:before="160" w:after="70"/>
      </w:pPr>
      <w:r>
        <w:t>What is genuinely proven</w:t>
      </w:r>
    </w:p>
    <w:p w14:paraId="3F73096A" w14:textId="77777777" w:rsidR="00BA3083" w:rsidRDefault="00000000">
      <w:pPr>
        <w:spacing w:after="110" w:line="264" w:lineRule="auto"/>
        <w:ind w:left="120"/>
      </w:pPr>
      <w:proofErr w:type="gramStart"/>
      <w:r>
        <w:rPr>
          <w:b/>
          <w:bCs/>
          <w:color w:val="1B5E4F"/>
          <w:sz w:val="17"/>
          <w:szCs w:val="17"/>
        </w:rPr>
        <w:t xml:space="preserve">EVIDENCE  </w:t>
      </w:r>
      <w:r>
        <w:t>RCTs</w:t>
      </w:r>
      <w:proofErr w:type="gramEnd"/>
      <w:r>
        <w:t xml:space="preserve"> with ~5,000 farmers in India (Odisha, 2 states) and Kenya (7 counties) show the </w:t>
      </w:r>
      <w:r>
        <w:rPr>
          <w:b/>
          <w:bCs/>
        </w:rPr>
        <w:t>product works for end-users</w:t>
      </w:r>
      <w:r>
        <w:t>: +20 pp formal credit use (India), +20% insurance take-up and +10 pp fertilizer use (Kenya), +~US$250 household agricultural income, and improved women's empowerment / lower stress. Innovation Readiness = 9, Use = 9.</w:t>
      </w:r>
    </w:p>
    <w:p w14:paraId="3B3CEEEA" w14:textId="77777777" w:rsidR="00BA3083" w:rsidRDefault="00000000">
      <w:pPr>
        <w:spacing w:after="110" w:line="264" w:lineRule="auto"/>
        <w:ind w:left="120"/>
      </w:pPr>
      <w:proofErr w:type="gramStart"/>
      <w:r>
        <w:rPr>
          <w:b/>
          <w:bCs/>
          <w:color w:val="1B5E4F"/>
          <w:sz w:val="17"/>
          <w:szCs w:val="17"/>
        </w:rPr>
        <w:t xml:space="preserve">EVIDENCE  </w:t>
      </w:r>
      <w:r>
        <w:t>Two</w:t>
      </w:r>
      <w:proofErr w:type="gramEnd"/>
      <w:r>
        <w:t xml:space="preserve"> enterprises are </w:t>
      </w:r>
      <w:r>
        <w:rPr>
          <w:b/>
          <w:bCs/>
        </w:rPr>
        <w:t>already operating commercially</w:t>
      </w:r>
      <w:r>
        <w:t xml:space="preserve">: </w:t>
      </w:r>
      <w:proofErr w:type="spellStart"/>
      <w:r>
        <w:t>Dvara</w:t>
      </w:r>
      <w:proofErr w:type="spellEnd"/>
      <w:r>
        <w:t xml:space="preserve"> is lending to 15,000 farmers via </w:t>
      </w:r>
      <w:proofErr w:type="spellStart"/>
      <w:r>
        <w:t>KhetScore</w:t>
      </w:r>
      <w:proofErr w:type="spellEnd"/>
      <w:r>
        <w:t xml:space="preserve"> (EoI text also says 23,000 in one place — see inconsistency log); ACRE has placed PBI products commercially via TARA.</w:t>
      </w:r>
    </w:p>
    <w:p w14:paraId="2BA664D2" w14:textId="77777777" w:rsidR="00BA3083" w:rsidRDefault="00000000">
      <w:pPr>
        <w:pStyle w:val="Heading3"/>
        <w:spacing w:before="160" w:after="70"/>
      </w:pPr>
      <w:r>
        <w:t>What remains assumption</w:t>
      </w:r>
    </w:p>
    <w:p w14:paraId="29768FA7" w14:textId="77777777" w:rsidR="00BA3083" w:rsidRDefault="00000000">
      <w:pPr>
        <w:spacing w:after="110" w:line="264" w:lineRule="auto"/>
        <w:ind w:left="120"/>
      </w:pPr>
      <w:proofErr w:type="gramStart"/>
      <w:r>
        <w:rPr>
          <w:b/>
          <w:bCs/>
          <w:color w:val="0B5394"/>
          <w:sz w:val="17"/>
          <w:szCs w:val="17"/>
        </w:rPr>
        <w:t xml:space="preserve">INTERPRETATION  </w:t>
      </w:r>
      <w:r>
        <w:t>The</w:t>
      </w:r>
      <w:proofErr w:type="gramEnd"/>
      <w:r>
        <w:t xml:space="preserve"> evidence proves </w:t>
      </w:r>
      <w:r>
        <w:rPr>
          <w:b/>
          <w:bCs/>
        </w:rPr>
        <w:t>problem–solution fit and adoptability</w:t>
      </w:r>
      <w:r>
        <w:t xml:space="preserve">, not </w:t>
      </w:r>
      <w:r>
        <w:rPr>
          <w:b/>
          <w:bCs/>
        </w:rPr>
        <w:t>scaling-system viability</w:t>
      </w:r>
      <w:r>
        <w:t>. Kohl's core distinction — technical effectiveness ≠ scaling readiness — is the central tension in this track.</w:t>
      </w:r>
    </w:p>
    <w:p w14:paraId="4471B875" w14:textId="77777777" w:rsidR="00BA3083" w:rsidRDefault="00000000">
      <w:pPr>
        <w:spacing w:after="110" w:line="264" w:lineRule="auto"/>
        <w:ind w:left="120"/>
      </w:pPr>
      <w:r>
        <w:rPr>
          <w:b/>
          <w:bCs/>
          <w:color w:val="8B2635"/>
          <w:sz w:val="17"/>
          <w:szCs w:val="17"/>
        </w:rPr>
        <w:t xml:space="preserve">UNKNOWN  </w:t>
      </w:r>
      <w:r>
        <w:t>No supplied document contains evidence on (a) the minimum pool size for insurance viability, (b) the source and quantity of subsidy/FLDG financing beyond 2026, (c) claims-settlement speed relative to the planting cycle, or (d) how climate risk is priced when historical series are no longer predictive.</w:t>
      </w:r>
    </w:p>
    <w:p w14:paraId="59BE4295" w14:textId="77777777" w:rsidR="00BA3083" w:rsidRDefault="00000000">
      <w:pPr>
        <w:pStyle w:val="Heading3"/>
        <w:spacing w:before="160" w:after="70"/>
      </w:pPr>
      <w:r>
        <w:t>The three headline messages</w:t>
      </w:r>
    </w:p>
    <w:p w14:paraId="730D4569" w14:textId="77777777" w:rsidR="00BA3083" w:rsidRDefault="00000000">
      <w:pPr>
        <w:pStyle w:val="ListParagraph"/>
        <w:numPr>
          <w:ilvl w:val="0"/>
          <w:numId w:val="3"/>
        </w:numPr>
        <w:spacing w:after="60" w:line="258" w:lineRule="auto"/>
      </w:pPr>
      <w:r>
        <w:t xml:space="preserve">The track is a strong </w:t>
      </w:r>
      <w:r>
        <w:rPr>
          <w:b/>
          <w:bCs/>
        </w:rPr>
        <w:t>Transition-to-Scale</w:t>
      </w:r>
      <w:r>
        <w:t xml:space="preserve"> case, not yet an active-scaling case. Treat the 100,000-farmer figure as an ambition, not a validated trajectory.</w:t>
      </w:r>
    </w:p>
    <w:p w14:paraId="5F2CD3F0" w14:textId="77777777" w:rsidR="00BA3083" w:rsidRDefault="00000000">
      <w:pPr>
        <w:pStyle w:val="ListParagraph"/>
        <w:numPr>
          <w:ilvl w:val="0"/>
          <w:numId w:val="3"/>
        </w:numPr>
        <w:spacing w:after="60" w:line="258" w:lineRule="auto"/>
      </w:pPr>
      <w:r>
        <w:t xml:space="preserve">The binding constraint is </w:t>
      </w:r>
      <w:r>
        <w:rPr>
          <w:b/>
          <w:bCs/>
        </w:rPr>
        <w:t>upstream and financial</w:t>
      </w:r>
      <w:r>
        <w:t xml:space="preserve">, not delivery or demand. Richard Kohl already </w:t>
      </w:r>
      <w:proofErr w:type="spellStart"/>
      <w:r>
        <w:t>signalled</w:t>
      </w:r>
      <w:proofErr w:type="spellEnd"/>
      <w:r>
        <w:t xml:space="preserve"> this in the 16 Jan meeting via the Syngenta Foundation precedent.</w:t>
      </w:r>
    </w:p>
    <w:p w14:paraId="55CB95B2" w14:textId="77777777" w:rsidR="00BA3083" w:rsidRDefault="00000000">
      <w:pPr>
        <w:pStyle w:val="ListParagraph"/>
        <w:numPr>
          <w:ilvl w:val="0"/>
          <w:numId w:val="3"/>
        </w:numPr>
        <w:spacing w:after="60" w:line="258" w:lineRule="auto"/>
      </w:pPr>
      <w:r>
        <w:t xml:space="preserve">The most valuable near-term move is a set of </w:t>
      </w:r>
      <w:r>
        <w:rPr>
          <w:b/>
          <w:bCs/>
        </w:rPr>
        <w:t>small, decisive learning experiments</w:t>
      </w:r>
      <w:r>
        <w:t xml:space="preserve"> (insurance-viability math, claims-speed data, subsidy-exit test) that could resolve the largest uncertainties at low cost before further investment.</w:t>
      </w:r>
    </w:p>
    <w:p w14:paraId="7E3AC300" w14:textId="77777777" w:rsidR="00BA3083" w:rsidRDefault="00000000">
      <w:r>
        <w:br w:type="page"/>
      </w:r>
    </w:p>
    <w:p w14:paraId="2F57C213" w14:textId="77777777" w:rsidR="00BA3083" w:rsidRDefault="00000000">
      <w:pPr>
        <w:pStyle w:val="Heading1"/>
        <w:spacing w:before="320" w:after="140"/>
      </w:pPr>
      <w:bookmarkStart w:id="2" w:name="_Toc234870952"/>
      <w:r>
        <w:lastRenderedPageBreak/>
        <w:t>2 · Scaling Knowledge Summary</w:t>
      </w:r>
      <w:bookmarkEnd w:id="2"/>
    </w:p>
    <w:p w14:paraId="54BD1C1B" w14:textId="77777777" w:rsidR="00BA3083" w:rsidRDefault="00000000">
      <w:pPr>
        <w:spacing w:after="120" w:line="264" w:lineRule="auto"/>
      </w:pPr>
      <w:r>
        <w:rPr>
          <w:b/>
          <w:bCs/>
        </w:rPr>
        <w:t xml:space="preserve">Discipline lead: </w:t>
      </w:r>
      <w:r>
        <w:rPr>
          <w:b/>
          <w:bCs/>
          <w:color w:val="1B5E4F"/>
        </w:rPr>
        <w:t>Scaling Librarian</w:t>
      </w:r>
      <w:r>
        <w:t xml:space="preserve">. This section </w:t>
      </w:r>
      <w:proofErr w:type="spellStart"/>
      <w:r>
        <w:t>organises</w:t>
      </w:r>
      <w:proofErr w:type="spellEnd"/>
      <w:r>
        <w:t xml:space="preserve"> what the evidence base contains, preserves provenance, and separates document </w:t>
      </w:r>
      <w:r>
        <w:rPr>
          <w:i/>
          <w:iCs/>
        </w:rPr>
        <w:t>assertions</w:t>
      </w:r>
      <w:r>
        <w:t xml:space="preserve"> from </w:t>
      </w:r>
      <w:r>
        <w:rPr>
          <w:i/>
          <w:iCs/>
        </w:rPr>
        <w:t>observed evidence</w:t>
      </w:r>
      <w:r>
        <w:t>. It makes no strategic judgement.</w:t>
      </w:r>
    </w:p>
    <w:p w14:paraId="75EC2367" w14:textId="77777777" w:rsidR="00BA3083" w:rsidRDefault="00000000">
      <w:pPr>
        <w:pStyle w:val="Heading2"/>
        <w:spacing w:before="220" w:after="100"/>
      </w:pPr>
      <w:bookmarkStart w:id="3" w:name="_Toc234870953"/>
      <w:r>
        <w:t>2.1 Key knowledge objects &amp; provenance</w:t>
      </w:r>
      <w:bookmarkEnd w:id="3"/>
    </w:p>
    <w:tbl>
      <w:tblPr>
        <w:tblW w:w="9360" w:type="dxa"/>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left w:w="10" w:type="dxa"/>
          <w:right w:w="10" w:type="dxa"/>
        </w:tblCellMar>
        <w:tblLook w:val="04A0" w:firstRow="1" w:lastRow="0" w:firstColumn="1" w:lastColumn="0" w:noHBand="0" w:noVBand="1"/>
      </w:tblPr>
      <w:tblGrid>
        <w:gridCol w:w="1900"/>
        <w:gridCol w:w="2350"/>
        <w:gridCol w:w="2050"/>
        <w:gridCol w:w="3060"/>
      </w:tblGrid>
      <w:tr w:rsidR="00BA3083" w14:paraId="02F0DE9C" w14:textId="77777777">
        <w:tblPrEx>
          <w:tblCellMar>
            <w:top w:w="0" w:type="dxa"/>
            <w:bottom w:w="0" w:type="dxa"/>
          </w:tblCellMar>
        </w:tblPrEx>
        <w:trPr>
          <w:tblHeader/>
        </w:trPr>
        <w:tc>
          <w:tcPr>
            <w:tcW w:w="1900" w:type="dxa"/>
            <w:shd w:val="clear" w:color="auto" w:fill="1B5E4F"/>
            <w:tcMar>
              <w:top w:w="60" w:type="dxa"/>
              <w:left w:w="90" w:type="dxa"/>
              <w:bottom w:w="60" w:type="dxa"/>
              <w:right w:w="90" w:type="dxa"/>
            </w:tcMar>
          </w:tcPr>
          <w:p w14:paraId="7F172053" w14:textId="77777777" w:rsidR="00BA3083" w:rsidRDefault="00000000">
            <w:pPr>
              <w:spacing w:after="20"/>
            </w:pPr>
            <w:r>
              <w:rPr>
                <w:b/>
                <w:bCs/>
                <w:color w:val="FFFFFF"/>
                <w:sz w:val="19"/>
                <w:szCs w:val="19"/>
              </w:rPr>
              <w:t>Knowledge object</w:t>
            </w:r>
          </w:p>
        </w:tc>
        <w:tc>
          <w:tcPr>
            <w:tcW w:w="2350" w:type="dxa"/>
            <w:shd w:val="clear" w:color="auto" w:fill="1B5E4F"/>
            <w:tcMar>
              <w:top w:w="60" w:type="dxa"/>
              <w:left w:w="90" w:type="dxa"/>
              <w:bottom w:w="60" w:type="dxa"/>
              <w:right w:w="90" w:type="dxa"/>
            </w:tcMar>
          </w:tcPr>
          <w:p w14:paraId="353FFE5F" w14:textId="77777777" w:rsidR="00BA3083" w:rsidRDefault="00000000">
            <w:pPr>
              <w:spacing w:after="20"/>
            </w:pPr>
            <w:r>
              <w:rPr>
                <w:b/>
                <w:bCs/>
                <w:color w:val="FFFFFF"/>
                <w:sz w:val="19"/>
                <w:szCs w:val="19"/>
              </w:rPr>
              <w:t>Source (provenance)</w:t>
            </w:r>
          </w:p>
        </w:tc>
        <w:tc>
          <w:tcPr>
            <w:tcW w:w="2050" w:type="dxa"/>
            <w:shd w:val="clear" w:color="auto" w:fill="1B5E4F"/>
            <w:tcMar>
              <w:top w:w="60" w:type="dxa"/>
              <w:left w:w="90" w:type="dxa"/>
              <w:bottom w:w="60" w:type="dxa"/>
              <w:right w:w="90" w:type="dxa"/>
            </w:tcMar>
          </w:tcPr>
          <w:p w14:paraId="730E63D7" w14:textId="77777777" w:rsidR="00BA3083" w:rsidRDefault="00000000">
            <w:pPr>
              <w:spacing w:after="20"/>
            </w:pPr>
            <w:r>
              <w:rPr>
                <w:b/>
                <w:bCs/>
                <w:color w:val="FFFFFF"/>
                <w:sz w:val="19"/>
                <w:szCs w:val="19"/>
              </w:rPr>
              <w:t>Evidence type</w:t>
            </w:r>
          </w:p>
        </w:tc>
        <w:tc>
          <w:tcPr>
            <w:tcW w:w="3060" w:type="dxa"/>
            <w:shd w:val="clear" w:color="auto" w:fill="1B5E4F"/>
            <w:tcMar>
              <w:top w:w="60" w:type="dxa"/>
              <w:left w:w="90" w:type="dxa"/>
              <w:bottom w:w="60" w:type="dxa"/>
              <w:right w:w="90" w:type="dxa"/>
            </w:tcMar>
          </w:tcPr>
          <w:p w14:paraId="0A192D70" w14:textId="77777777" w:rsidR="00BA3083" w:rsidRDefault="00000000">
            <w:pPr>
              <w:spacing w:after="20"/>
            </w:pPr>
            <w:r>
              <w:rPr>
                <w:b/>
                <w:bCs/>
                <w:color w:val="FFFFFF"/>
                <w:sz w:val="19"/>
                <w:szCs w:val="19"/>
              </w:rPr>
              <w:t>Note</w:t>
            </w:r>
          </w:p>
        </w:tc>
      </w:tr>
      <w:tr w:rsidR="00BA3083" w14:paraId="602E0F88" w14:textId="77777777">
        <w:tblPrEx>
          <w:tblCellMar>
            <w:top w:w="0" w:type="dxa"/>
            <w:bottom w:w="0" w:type="dxa"/>
          </w:tblCellMar>
        </w:tblPrEx>
        <w:tc>
          <w:tcPr>
            <w:tcW w:w="1900" w:type="dxa"/>
            <w:tcMar>
              <w:top w:w="60" w:type="dxa"/>
              <w:left w:w="90" w:type="dxa"/>
              <w:bottom w:w="60" w:type="dxa"/>
              <w:right w:w="90" w:type="dxa"/>
            </w:tcMar>
          </w:tcPr>
          <w:p w14:paraId="6D98ADA2" w14:textId="77777777" w:rsidR="00BA3083" w:rsidRDefault="00000000">
            <w:pPr>
              <w:spacing w:after="20"/>
            </w:pPr>
            <w:r>
              <w:rPr>
                <w:sz w:val="19"/>
                <w:szCs w:val="19"/>
              </w:rPr>
              <w:t>Bundled credit + PBI product</w:t>
            </w:r>
          </w:p>
        </w:tc>
        <w:tc>
          <w:tcPr>
            <w:tcW w:w="2350" w:type="dxa"/>
            <w:tcMar>
              <w:top w:w="60" w:type="dxa"/>
              <w:left w:w="90" w:type="dxa"/>
              <w:bottom w:w="60" w:type="dxa"/>
              <w:right w:w="90" w:type="dxa"/>
            </w:tcMar>
          </w:tcPr>
          <w:p w14:paraId="154A0B14" w14:textId="77777777" w:rsidR="00BA3083" w:rsidRDefault="00000000">
            <w:pPr>
              <w:spacing w:after="20"/>
            </w:pPr>
            <w:r>
              <w:rPr>
                <w:sz w:val="19"/>
                <w:szCs w:val="19"/>
              </w:rPr>
              <w:t>EoI §1; Profile §2; deck s2</w:t>
            </w:r>
          </w:p>
        </w:tc>
        <w:tc>
          <w:tcPr>
            <w:tcW w:w="2050" w:type="dxa"/>
            <w:tcMar>
              <w:top w:w="60" w:type="dxa"/>
              <w:left w:w="90" w:type="dxa"/>
              <w:bottom w:w="60" w:type="dxa"/>
              <w:right w:w="90" w:type="dxa"/>
            </w:tcMar>
          </w:tcPr>
          <w:p w14:paraId="5497C5F9" w14:textId="77777777" w:rsidR="00BA3083" w:rsidRDefault="00000000">
            <w:pPr>
              <w:spacing w:after="20"/>
            </w:pPr>
            <w:r>
              <w:rPr>
                <w:sz w:val="19"/>
                <w:szCs w:val="19"/>
              </w:rPr>
              <w:t>Innovation description</w:t>
            </w:r>
          </w:p>
        </w:tc>
        <w:tc>
          <w:tcPr>
            <w:tcW w:w="3060" w:type="dxa"/>
            <w:tcMar>
              <w:top w:w="60" w:type="dxa"/>
              <w:left w:w="90" w:type="dxa"/>
              <w:bottom w:w="60" w:type="dxa"/>
              <w:right w:w="90" w:type="dxa"/>
            </w:tcMar>
          </w:tcPr>
          <w:p w14:paraId="5D92B4C7" w14:textId="77777777" w:rsidR="00BA3083" w:rsidRDefault="00000000">
            <w:pPr>
              <w:spacing w:after="20"/>
            </w:pPr>
            <w:r>
              <w:rPr>
                <w:sz w:val="19"/>
                <w:szCs w:val="19"/>
              </w:rPr>
              <w:t>Consistent across sources</w:t>
            </w:r>
          </w:p>
        </w:tc>
      </w:tr>
      <w:tr w:rsidR="00BA3083" w14:paraId="11C3C54F" w14:textId="77777777">
        <w:tblPrEx>
          <w:tblCellMar>
            <w:top w:w="0" w:type="dxa"/>
            <w:bottom w:w="0" w:type="dxa"/>
          </w:tblCellMar>
        </w:tblPrEx>
        <w:tc>
          <w:tcPr>
            <w:tcW w:w="1900" w:type="dxa"/>
            <w:shd w:val="clear" w:color="auto" w:fill="F5F8F7"/>
            <w:tcMar>
              <w:top w:w="60" w:type="dxa"/>
              <w:left w:w="90" w:type="dxa"/>
              <w:bottom w:w="60" w:type="dxa"/>
              <w:right w:w="90" w:type="dxa"/>
            </w:tcMar>
          </w:tcPr>
          <w:p w14:paraId="6216BB0E" w14:textId="77777777" w:rsidR="00BA3083" w:rsidRDefault="00000000">
            <w:pPr>
              <w:spacing w:after="20"/>
            </w:pPr>
            <w:r>
              <w:rPr>
                <w:sz w:val="19"/>
                <w:szCs w:val="19"/>
              </w:rPr>
              <w:t>RCT impact results (India)</w:t>
            </w:r>
          </w:p>
        </w:tc>
        <w:tc>
          <w:tcPr>
            <w:tcW w:w="2350" w:type="dxa"/>
            <w:shd w:val="clear" w:color="auto" w:fill="F5F8F7"/>
            <w:tcMar>
              <w:top w:w="60" w:type="dxa"/>
              <w:left w:w="90" w:type="dxa"/>
              <w:bottom w:w="60" w:type="dxa"/>
              <w:right w:w="90" w:type="dxa"/>
            </w:tcMar>
          </w:tcPr>
          <w:p w14:paraId="1D130272" w14:textId="77777777" w:rsidR="00BA3083" w:rsidRDefault="00000000">
            <w:pPr>
              <w:spacing w:after="20"/>
            </w:pPr>
            <w:r>
              <w:rPr>
                <w:sz w:val="19"/>
                <w:szCs w:val="19"/>
              </w:rPr>
              <w:t>Kramer et al. 2024 IFPRI DP2288; 2025 AAEA paper</w:t>
            </w:r>
          </w:p>
        </w:tc>
        <w:tc>
          <w:tcPr>
            <w:tcW w:w="2050" w:type="dxa"/>
            <w:shd w:val="clear" w:color="auto" w:fill="F5F8F7"/>
            <w:tcMar>
              <w:top w:w="60" w:type="dxa"/>
              <w:left w:w="90" w:type="dxa"/>
              <w:bottom w:w="60" w:type="dxa"/>
              <w:right w:w="90" w:type="dxa"/>
            </w:tcMar>
          </w:tcPr>
          <w:p w14:paraId="7D519AA3" w14:textId="77777777" w:rsidR="00BA3083" w:rsidRDefault="00000000">
            <w:pPr>
              <w:spacing w:after="20"/>
            </w:pPr>
            <w:r>
              <w:rPr>
                <w:sz w:val="19"/>
                <w:szCs w:val="19"/>
              </w:rPr>
              <w:t>Independently designed RCT</w:t>
            </w:r>
          </w:p>
        </w:tc>
        <w:tc>
          <w:tcPr>
            <w:tcW w:w="3060" w:type="dxa"/>
            <w:shd w:val="clear" w:color="auto" w:fill="F5F8F7"/>
            <w:tcMar>
              <w:top w:w="60" w:type="dxa"/>
              <w:left w:w="90" w:type="dxa"/>
              <w:bottom w:w="60" w:type="dxa"/>
              <w:right w:w="90" w:type="dxa"/>
            </w:tcMar>
          </w:tcPr>
          <w:p w14:paraId="3EA66D81" w14:textId="77777777" w:rsidR="00BA3083" w:rsidRDefault="00000000">
            <w:pPr>
              <w:spacing w:after="20"/>
            </w:pPr>
            <w:r>
              <w:rPr>
                <w:sz w:val="19"/>
                <w:szCs w:val="19"/>
              </w:rPr>
              <w:t>Papers cited, not supplied</w:t>
            </w:r>
          </w:p>
        </w:tc>
      </w:tr>
      <w:tr w:rsidR="00BA3083" w14:paraId="79D3A9A3" w14:textId="77777777">
        <w:tblPrEx>
          <w:tblCellMar>
            <w:top w:w="0" w:type="dxa"/>
            <w:bottom w:w="0" w:type="dxa"/>
          </w:tblCellMar>
        </w:tblPrEx>
        <w:tc>
          <w:tcPr>
            <w:tcW w:w="1900" w:type="dxa"/>
            <w:tcMar>
              <w:top w:w="60" w:type="dxa"/>
              <w:left w:w="90" w:type="dxa"/>
              <w:bottom w:w="60" w:type="dxa"/>
              <w:right w:w="90" w:type="dxa"/>
            </w:tcMar>
          </w:tcPr>
          <w:p w14:paraId="1E751A34" w14:textId="77777777" w:rsidR="00BA3083" w:rsidRDefault="00000000">
            <w:pPr>
              <w:spacing w:after="20"/>
            </w:pPr>
            <w:r>
              <w:rPr>
                <w:sz w:val="19"/>
                <w:szCs w:val="19"/>
              </w:rPr>
              <w:t>RCT impact results (Kenya)</w:t>
            </w:r>
          </w:p>
        </w:tc>
        <w:tc>
          <w:tcPr>
            <w:tcW w:w="2350" w:type="dxa"/>
            <w:tcMar>
              <w:top w:w="60" w:type="dxa"/>
              <w:left w:w="90" w:type="dxa"/>
              <w:bottom w:w="60" w:type="dxa"/>
              <w:right w:w="90" w:type="dxa"/>
            </w:tcMar>
          </w:tcPr>
          <w:p w14:paraId="0D7B00B4" w14:textId="77777777" w:rsidR="00BA3083" w:rsidRDefault="00000000">
            <w:pPr>
              <w:spacing w:after="20"/>
            </w:pPr>
            <w:r>
              <w:rPr>
                <w:sz w:val="19"/>
                <w:szCs w:val="19"/>
              </w:rPr>
              <w:t>Kramer et al. 2023, 2024 AAEA papers</w:t>
            </w:r>
          </w:p>
        </w:tc>
        <w:tc>
          <w:tcPr>
            <w:tcW w:w="2050" w:type="dxa"/>
            <w:tcMar>
              <w:top w:w="60" w:type="dxa"/>
              <w:left w:w="90" w:type="dxa"/>
              <w:bottom w:w="60" w:type="dxa"/>
              <w:right w:w="90" w:type="dxa"/>
            </w:tcMar>
          </w:tcPr>
          <w:p w14:paraId="42D6BBA1" w14:textId="77777777" w:rsidR="00BA3083" w:rsidRDefault="00000000">
            <w:pPr>
              <w:spacing w:after="20"/>
            </w:pPr>
            <w:r>
              <w:rPr>
                <w:sz w:val="19"/>
                <w:szCs w:val="19"/>
              </w:rPr>
              <w:t>RCT / experimental</w:t>
            </w:r>
          </w:p>
        </w:tc>
        <w:tc>
          <w:tcPr>
            <w:tcW w:w="3060" w:type="dxa"/>
            <w:tcMar>
              <w:top w:w="60" w:type="dxa"/>
              <w:left w:w="90" w:type="dxa"/>
              <w:bottom w:w="60" w:type="dxa"/>
              <w:right w:w="90" w:type="dxa"/>
            </w:tcMar>
          </w:tcPr>
          <w:p w14:paraId="42E8D8D8" w14:textId="77777777" w:rsidR="00BA3083" w:rsidRDefault="00000000">
            <w:pPr>
              <w:spacing w:after="20"/>
            </w:pPr>
            <w:r>
              <w:rPr>
                <w:sz w:val="19"/>
                <w:szCs w:val="19"/>
              </w:rPr>
              <w:t>Papers cited, not supplied</w:t>
            </w:r>
          </w:p>
        </w:tc>
      </w:tr>
      <w:tr w:rsidR="00BA3083" w14:paraId="58413FBF" w14:textId="77777777">
        <w:tblPrEx>
          <w:tblCellMar>
            <w:top w:w="0" w:type="dxa"/>
            <w:bottom w:w="0" w:type="dxa"/>
          </w:tblCellMar>
        </w:tblPrEx>
        <w:tc>
          <w:tcPr>
            <w:tcW w:w="1900" w:type="dxa"/>
            <w:shd w:val="clear" w:color="auto" w:fill="F5F8F7"/>
            <w:tcMar>
              <w:top w:w="60" w:type="dxa"/>
              <w:left w:w="90" w:type="dxa"/>
              <w:bottom w:w="60" w:type="dxa"/>
              <w:right w:w="90" w:type="dxa"/>
            </w:tcMar>
          </w:tcPr>
          <w:p w14:paraId="481FC3E2" w14:textId="77777777" w:rsidR="00BA3083" w:rsidRDefault="00000000">
            <w:pPr>
              <w:spacing w:after="20"/>
            </w:pPr>
            <w:r>
              <w:rPr>
                <w:sz w:val="19"/>
                <w:szCs w:val="19"/>
              </w:rPr>
              <w:t>Readiness score 9 / Use score 9</w:t>
            </w:r>
          </w:p>
        </w:tc>
        <w:tc>
          <w:tcPr>
            <w:tcW w:w="2350" w:type="dxa"/>
            <w:shd w:val="clear" w:color="auto" w:fill="F5F8F7"/>
            <w:tcMar>
              <w:top w:w="60" w:type="dxa"/>
              <w:left w:w="90" w:type="dxa"/>
              <w:bottom w:w="60" w:type="dxa"/>
              <w:right w:w="90" w:type="dxa"/>
            </w:tcMar>
          </w:tcPr>
          <w:p w14:paraId="05AA7DB6" w14:textId="77777777" w:rsidR="00BA3083" w:rsidRDefault="00000000">
            <w:pPr>
              <w:spacing w:after="20"/>
            </w:pPr>
            <w:r>
              <w:rPr>
                <w:sz w:val="19"/>
                <w:szCs w:val="19"/>
              </w:rPr>
              <w:t>EoI §3 annex (screenshots)</w:t>
            </w:r>
          </w:p>
        </w:tc>
        <w:tc>
          <w:tcPr>
            <w:tcW w:w="2050" w:type="dxa"/>
            <w:shd w:val="clear" w:color="auto" w:fill="F5F8F7"/>
            <w:tcMar>
              <w:top w:w="60" w:type="dxa"/>
              <w:left w:w="90" w:type="dxa"/>
              <w:bottom w:w="60" w:type="dxa"/>
              <w:right w:w="90" w:type="dxa"/>
            </w:tcMar>
          </w:tcPr>
          <w:p w14:paraId="78A562F7" w14:textId="77777777" w:rsidR="00BA3083" w:rsidRDefault="00000000">
            <w:pPr>
              <w:spacing w:after="20"/>
            </w:pPr>
            <w:r>
              <w:rPr>
                <w:sz w:val="19"/>
                <w:szCs w:val="19"/>
              </w:rPr>
              <w:t>Self-assessment (IPSR calculator)</w:t>
            </w:r>
          </w:p>
        </w:tc>
        <w:tc>
          <w:tcPr>
            <w:tcW w:w="3060" w:type="dxa"/>
            <w:shd w:val="clear" w:color="auto" w:fill="F5F8F7"/>
            <w:tcMar>
              <w:top w:w="60" w:type="dxa"/>
              <w:left w:w="90" w:type="dxa"/>
              <w:bottom w:w="60" w:type="dxa"/>
              <w:right w:w="90" w:type="dxa"/>
            </w:tcMar>
          </w:tcPr>
          <w:p w14:paraId="7BD2923E" w14:textId="77777777" w:rsidR="00BA3083" w:rsidRDefault="00000000">
            <w:pPr>
              <w:spacing w:after="20"/>
            </w:pPr>
            <w:r>
              <w:rPr>
                <w:sz w:val="19"/>
                <w:szCs w:val="19"/>
              </w:rPr>
              <w:t>Participant self-report, not third-party</w:t>
            </w:r>
          </w:p>
        </w:tc>
      </w:tr>
      <w:tr w:rsidR="00BA3083" w14:paraId="3343A6C4" w14:textId="77777777">
        <w:tblPrEx>
          <w:tblCellMar>
            <w:top w:w="0" w:type="dxa"/>
            <w:bottom w:w="0" w:type="dxa"/>
          </w:tblCellMar>
        </w:tblPrEx>
        <w:tc>
          <w:tcPr>
            <w:tcW w:w="1900" w:type="dxa"/>
            <w:tcMar>
              <w:top w:w="60" w:type="dxa"/>
              <w:left w:w="90" w:type="dxa"/>
              <w:bottom w:w="60" w:type="dxa"/>
              <w:right w:w="90" w:type="dxa"/>
            </w:tcMar>
          </w:tcPr>
          <w:p w14:paraId="5A375987" w14:textId="77777777" w:rsidR="00BA3083" w:rsidRDefault="00000000">
            <w:pPr>
              <w:spacing w:after="20"/>
            </w:pPr>
            <w:r>
              <w:rPr>
                <w:sz w:val="19"/>
                <w:szCs w:val="19"/>
              </w:rPr>
              <w:t>Commercial traction (</w:t>
            </w:r>
            <w:proofErr w:type="spellStart"/>
            <w:r>
              <w:rPr>
                <w:sz w:val="19"/>
                <w:szCs w:val="19"/>
              </w:rPr>
              <w:t>Dvara</w:t>
            </w:r>
            <w:proofErr w:type="spellEnd"/>
            <w:r>
              <w:rPr>
                <w:sz w:val="19"/>
                <w:szCs w:val="19"/>
              </w:rPr>
              <w:t xml:space="preserve"> 15k; ACRE via NCBA/SBM)</w:t>
            </w:r>
          </w:p>
        </w:tc>
        <w:tc>
          <w:tcPr>
            <w:tcW w:w="2350" w:type="dxa"/>
            <w:tcMar>
              <w:top w:w="60" w:type="dxa"/>
              <w:left w:w="90" w:type="dxa"/>
              <w:bottom w:w="60" w:type="dxa"/>
              <w:right w:w="90" w:type="dxa"/>
            </w:tcMar>
          </w:tcPr>
          <w:p w14:paraId="18727367" w14:textId="77777777" w:rsidR="00BA3083" w:rsidRDefault="00000000">
            <w:pPr>
              <w:spacing w:after="20"/>
            </w:pPr>
            <w:r>
              <w:rPr>
                <w:sz w:val="19"/>
                <w:szCs w:val="19"/>
              </w:rPr>
              <w:t xml:space="preserve">EoI §2/§3; </w:t>
            </w:r>
            <w:proofErr w:type="spellStart"/>
            <w:r>
              <w:rPr>
                <w:sz w:val="19"/>
                <w:szCs w:val="19"/>
              </w:rPr>
              <w:t>LoS</w:t>
            </w:r>
            <w:proofErr w:type="spellEnd"/>
            <w:r>
              <w:rPr>
                <w:sz w:val="19"/>
                <w:szCs w:val="19"/>
              </w:rPr>
              <w:t xml:space="preserve"> </w:t>
            </w:r>
            <w:proofErr w:type="spellStart"/>
            <w:r>
              <w:rPr>
                <w:sz w:val="19"/>
                <w:szCs w:val="19"/>
              </w:rPr>
              <w:t>Dvara</w:t>
            </w:r>
            <w:proofErr w:type="spellEnd"/>
          </w:p>
        </w:tc>
        <w:tc>
          <w:tcPr>
            <w:tcW w:w="2050" w:type="dxa"/>
            <w:tcMar>
              <w:top w:w="60" w:type="dxa"/>
              <w:left w:w="90" w:type="dxa"/>
              <w:bottom w:w="60" w:type="dxa"/>
              <w:right w:w="90" w:type="dxa"/>
            </w:tcMar>
          </w:tcPr>
          <w:p w14:paraId="79C1E459" w14:textId="77777777" w:rsidR="00BA3083" w:rsidRDefault="00000000">
            <w:pPr>
              <w:spacing w:after="20"/>
            </w:pPr>
            <w:r>
              <w:rPr>
                <w:sz w:val="19"/>
                <w:szCs w:val="19"/>
              </w:rPr>
              <w:t>Partner assertion / monitoring</w:t>
            </w:r>
          </w:p>
        </w:tc>
        <w:tc>
          <w:tcPr>
            <w:tcW w:w="3060" w:type="dxa"/>
            <w:tcMar>
              <w:top w:w="60" w:type="dxa"/>
              <w:left w:w="90" w:type="dxa"/>
              <w:bottom w:w="60" w:type="dxa"/>
              <w:right w:w="90" w:type="dxa"/>
            </w:tcMar>
          </w:tcPr>
          <w:p w14:paraId="1E621170" w14:textId="77777777" w:rsidR="00BA3083" w:rsidRDefault="00000000">
            <w:pPr>
              <w:spacing w:after="20"/>
            </w:pPr>
            <w:r>
              <w:rPr>
                <w:sz w:val="19"/>
                <w:szCs w:val="19"/>
              </w:rPr>
              <w:t>Numbers vary by document</w:t>
            </w:r>
          </w:p>
        </w:tc>
      </w:tr>
      <w:tr w:rsidR="00BA3083" w14:paraId="1AFE0BE2" w14:textId="77777777">
        <w:tblPrEx>
          <w:tblCellMar>
            <w:top w:w="0" w:type="dxa"/>
            <w:bottom w:w="0" w:type="dxa"/>
          </w:tblCellMar>
        </w:tblPrEx>
        <w:tc>
          <w:tcPr>
            <w:tcW w:w="1900" w:type="dxa"/>
            <w:shd w:val="clear" w:color="auto" w:fill="F5F8F7"/>
            <w:tcMar>
              <w:top w:w="60" w:type="dxa"/>
              <w:left w:w="90" w:type="dxa"/>
              <w:bottom w:w="60" w:type="dxa"/>
              <w:right w:w="90" w:type="dxa"/>
            </w:tcMar>
          </w:tcPr>
          <w:p w14:paraId="45618611" w14:textId="77777777" w:rsidR="00BA3083" w:rsidRDefault="00000000">
            <w:pPr>
              <w:spacing w:after="20"/>
            </w:pPr>
            <w:r>
              <w:rPr>
                <w:sz w:val="19"/>
                <w:szCs w:val="19"/>
              </w:rPr>
              <w:t>Business-model unit economics</w:t>
            </w:r>
          </w:p>
        </w:tc>
        <w:tc>
          <w:tcPr>
            <w:tcW w:w="2350" w:type="dxa"/>
            <w:shd w:val="clear" w:color="auto" w:fill="F5F8F7"/>
            <w:tcMar>
              <w:top w:w="60" w:type="dxa"/>
              <w:left w:w="90" w:type="dxa"/>
              <w:bottom w:w="60" w:type="dxa"/>
              <w:right w:w="90" w:type="dxa"/>
            </w:tcMar>
          </w:tcPr>
          <w:p w14:paraId="49612459" w14:textId="77777777" w:rsidR="00BA3083" w:rsidRDefault="00000000">
            <w:pPr>
              <w:spacing w:after="20"/>
            </w:pPr>
            <w:r>
              <w:rPr>
                <w:sz w:val="19"/>
                <w:szCs w:val="19"/>
              </w:rPr>
              <w:t>EoI §2 (cost/revenue %)</w:t>
            </w:r>
          </w:p>
        </w:tc>
        <w:tc>
          <w:tcPr>
            <w:tcW w:w="2050" w:type="dxa"/>
            <w:shd w:val="clear" w:color="auto" w:fill="F5F8F7"/>
            <w:tcMar>
              <w:top w:w="60" w:type="dxa"/>
              <w:left w:w="90" w:type="dxa"/>
              <w:bottom w:w="60" w:type="dxa"/>
              <w:right w:w="90" w:type="dxa"/>
            </w:tcMar>
          </w:tcPr>
          <w:p w14:paraId="2EBC52EF" w14:textId="77777777" w:rsidR="00BA3083" w:rsidRDefault="00000000">
            <w:pPr>
              <w:spacing w:after="20"/>
            </w:pPr>
            <w:r>
              <w:rPr>
                <w:sz w:val="19"/>
                <w:szCs w:val="19"/>
              </w:rPr>
              <w:t>Partner-reported figures</w:t>
            </w:r>
          </w:p>
        </w:tc>
        <w:tc>
          <w:tcPr>
            <w:tcW w:w="3060" w:type="dxa"/>
            <w:shd w:val="clear" w:color="auto" w:fill="F5F8F7"/>
            <w:tcMar>
              <w:top w:w="60" w:type="dxa"/>
              <w:left w:w="90" w:type="dxa"/>
              <w:bottom w:w="60" w:type="dxa"/>
              <w:right w:w="90" w:type="dxa"/>
            </w:tcMar>
          </w:tcPr>
          <w:p w14:paraId="09C6642F" w14:textId="77777777" w:rsidR="00BA3083" w:rsidRDefault="00000000">
            <w:pPr>
              <w:spacing w:after="20"/>
            </w:pPr>
            <w:r>
              <w:rPr>
                <w:sz w:val="19"/>
                <w:szCs w:val="19"/>
              </w:rPr>
              <w:t>Not independently audited</w:t>
            </w:r>
          </w:p>
        </w:tc>
      </w:tr>
      <w:tr w:rsidR="00BA3083" w14:paraId="2D7B6ADE" w14:textId="77777777">
        <w:tblPrEx>
          <w:tblCellMar>
            <w:top w:w="0" w:type="dxa"/>
            <w:bottom w:w="0" w:type="dxa"/>
          </w:tblCellMar>
        </w:tblPrEx>
        <w:tc>
          <w:tcPr>
            <w:tcW w:w="1900" w:type="dxa"/>
            <w:tcMar>
              <w:top w:w="60" w:type="dxa"/>
              <w:left w:w="90" w:type="dxa"/>
              <w:bottom w:w="60" w:type="dxa"/>
              <w:right w:w="90" w:type="dxa"/>
            </w:tcMar>
          </w:tcPr>
          <w:p w14:paraId="1F1AA868" w14:textId="77777777" w:rsidR="00BA3083" w:rsidRDefault="00000000">
            <w:pPr>
              <w:spacing w:after="20"/>
            </w:pPr>
            <w:r>
              <w:rPr>
                <w:sz w:val="19"/>
                <w:szCs w:val="19"/>
              </w:rPr>
              <w:t>Scaling targets &amp; timeline</w:t>
            </w:r>
          </w:p>
        </w:tc>
        <w:tc>
          <w:tcPr>
            <w:tcW w:w="2350" w:type="dxa"/>
            <w:tcMar>
              <w:top w:w="60" w:type="dxa"/>
              <w:left w:w="90" w:type="dxa"/>
              <w:bottom w:w="60" w:type="dxa"/>
              <w:right w:w="90" w:type="dxa"/>
            </w:tcMar>
          </w:tcPr>
          <w:p w14:paraId="5CBB664F" w14:textId="77777777" w:rsidR="00BA3083" w:rsidRDefault="00000000">
            <w:pPr>
              <w:spacing w:after="20"/>
            </w:pPr>
            <w:r>
              <w:rPr>
                <w:sz w:val="19"/>
                <w:szCs w:val="19"/>
              </w:rPr>
              <w:t>EoI §3; Profile §2; deck s7</w:t>
            </w:r>
          </w:p>
        </w:tc>
        <w:tc>
          <w:tcPr>
            <w:tcW w:w="2050" w:type="dxa"/>
            <w:tcMar>
              <w:top w:w="60" w:type="dxa"/>
              <w:left w:w="90" w:type="dxa"/>
              <w:bottom w:w="60" w:type="dxa"/>
              <w:right w:w="90" w:type="dxa"/>
            </w:tcMar>
          </w:tcPr>
          <w:p w14:paraId="1C50DE4F" w14:textId="77777777" w:rsidR="00BA3083" w:rsidRDefault="00000000">
            <w:pPr>
              <w:spacing w:after="20"/>
            </w:pPr>
            <w:r>
              <w:rPr>
                <w:sz w:val="19"/>
                <w:szCs w:val="19"/>
              </w:rPr>
              <w:t>Plan / projection</w:t>
            </w:r>
          </w:p>
        </w:tc>
        <w:tc>
          <w:tcPr>
            <w:tcW w:w="3060" w:type="dxa"/>
            <w:tcMar>
              <w:top w:w="60" w:type="dxa"/>
              <w:left w:w="90" w:type="dxa"/>
              <w:bottom w:w="60" w:type="dxa"/>
              <w:right w:w="90" w:type="dxa"/>
            </w:tcMar>
          </w:tcPr>
          <w:p w14:paraId="656D4EF8" w14:textId="77777777" w:rsidR="00BA3083" w:rsidRDefault="00000000">
            <w:pPr>
              <w:spacing w:after="20"/>
            </w:pPr>
            <w:r>
              <w:rPr>
                <w:sz w:val="19"/>
                <w:szCs w:val="19"/>
              </w:rPr>
              <w:t>Revised down 100k→15k for 2026</w:t>
            </w:r>
          </w:p>
        </w:tc>
      </w:tr>
      <w:tr w:rsidR="00BA3083" w14:paraId="36993603" w14:textId="77777777">
        <w:tblPrEx>
          <w:tblCellMar>
            <w:top w:w="0" w:type="dxa"/>
            <w:bottom w:w="0" w:type="dxa"/>
          </w:tblCellMar>
        </w:tblPrEx>
        <w:tc>
          <w:tcPr>
            <w:tcW w:w="1900" w:type="dxa"/>
            <w:shd w:val="clear" w:color="auto" w:fill="F5F8F7"/>
            <w:tcMar>
              <w:top w:w="60" w:type="dxa"/>
              <w:left w:w="90" w:type="dxa"/>
              <w:bottom w:w="60" w:type="dxa"/>
              <w:right w:w="90" w:type="dxa"/>
            </w:tcMar>
          </w:tcPr>
          <w:p w14:paraId="72BF9A44" w14:textId="77777777" w:rsidR="00BA3083" w:rsidRDefault="00000000">
            <w:pPr>
              <w:spacing w:after="20"/>
            </w:pPr>
            <w:r>
              <w:rPr>
                <w:sz w:val="19"/>
                <w:szCs w:val="19"/>
              </w:rPr>
              <w:t>Partner commitments</w:t>
            </w:r>
          </w:p>
        </w:tc>
        <w:tc>
          <w:tcPr>
            <w:tcW w:w="2350" w:type="dxa"/>
            <w:shd w:val="clear" w:color="auto" w:fill="F5F8F7"/>
            <w:tcMar>
              <w:top w:w="60" w:type="dxa"/>
              <w:left w:w="90" w:type="dxa"/>
              <w:bottom w:w="60" w:type="dxa"/>
              <w:right w:w="90" w:type="dxa"/>
            </w:tcMar>
          </w:tcPr>
          <w:p w14:paraId="3B8E17D1" w14:textId="77777777" w:rsidR="00BA3083" w:rsidRDefault="00000000">
            <w:pPr>
              <w:spacing w:after="20"/>
            </w:pPr>
            <w:proofErr w:type="spellStart"/>
            <w:r>
              <w:rPr>
                <w:sz w:val="19"/>
                <w:szCs w:val="19"/>
              </w:rPr>
              <w:t>LoS</w:t>
            </w:r>
            <w:proofErr w:type="spellEnd"/>
            <w:r>
              <w:rPr>
                <w:sz w:val="19"/>
                <w:szCs w:val="19"/>
              </w:rPr>
              <w:t xml:space="preserve"> </w:t>
            </w:r>
            <w:proofErr w:type="spellStart"/>
            <w:r>
              <w:rPr>
                <w:sz w:val="19"/>
                <w:szCs w:val="19"/>
              </w:rPr>
              <w:t>Dvara</w:t>
            </w:r>
            <w:proofErr w:type="spellEnd"/>
            <w:r>
              <w:rPr>
                <w:sz w:val="19"/>
                <w:szCs w:val="19"/>
              </w:rPr>
              <w:t xml:space="preserve"> (19/9/25), </w:t>
            </w:r>
            <w:proofErr w:type="spellStart"/>
            <w:r>
              <w:rPr>
                <w:sz w:val="19"/>
                <w:szCs w:val="19"/>
              </w:rPr>
              <w:t>LoS</w:t>
            </w:r>
            <w:proofErr w:type="spellEnd"/>
            <w:r>
              <w:rPr>
                <w:sz w:val="19"/>
                <w:szCs w:val="19"/>
              </w:rPr>
              <w:t xml:space="preserve"> ACRE (undated)</w:t>
            </w:r>
          </w:p>
        </w:tc>
        <w:tc>
          <w:tcPr>
            <w:tcW w:w="2050" w:type="dxa"/>
            <w:shd w:val="clear" w:color="auto" w:fill="F5F8F7"/>
            <w:tcMar>
              <w:top w:w="60" w:type="dxa"/>
              <w:left w:w="90" w:type="dxa"/>
              <w:bottom w:w="60" w:type="dxa"/>
              <w:right w:w="90" w:type="dxa"/>
            </w:tcMar>
          </w:tcPr>
          <w:p w14:paraId="5534832B" w14:textId="77777777" w:rsidR="00BA3083" w:rsidRDefault="00000000">
            <w:pPr>
              <w:spacing w:after="20"/>
            </w:pPr>
            <w:r>
              <w:rPr>
                <w:sz w:val="19"/>
                <w:szCs w:val="19"/>
              </w:rPr>
              <w:t>Letters of support</w:t>
            </w:r>
          </w:p>
        </w:tc>
        <w:tc>
          <w:tcPr>
            <w:tcW w:w="3060" w:type="dxa"/>
            <w:shd w:val="clear" w:color="auto" w:fill="F5F8F7"/>
            <w:tcMar>
              <w:top w:w="60" w:type="dxa"/>
              <w:left w:w="90" w:type="dxa"/>
              <w:bottom w:w="60" w:type="dxa"/>
              <w:right w:w="90" w:type="dxa"/>
            </w:tcMar>
          </w:tcPr>
          <w:p w14:paraId="5A98E515" w14:textId="77777777" w:rsidR="00BA3083" w:rsidRDefault="00000000">
            <w:pPr>
              <w:spacing w:after="20"/>
            </w:pPr>
            <w:r>
              <w:rPr>
                <w:sz w:val="19"/>
                <w:szCs w:val="19"/>
              </w:rPr>
              <w:t>Endorsement, not binding co-investment</w:t>
            </w:r>
          </w:p>
        </w:tc>
      </w:tr>
    </w:tbl>
    <w:p w14:paraId="2EB9F3B2" w14:textId="77777777" w:rsidR="00BA3083" w:rsidRDefault="00000000">
      <w:pPr>
        <w:pStyle w:val="Heading2"/>
        <w:spacing w:before="220" w:after="100"/>
      </w:pPr>
      <w:bookmarkStart w:id="4" w:name="_Toc234870954"/>
      <w:r>
        <w:t>2.2 Document assertion vs. observed evidence</w:t>
      </w:r>
      <w:bookmarkEnd w:id="4"/>
    </w:p>
    <w:p w14:paraId="2EC6CF01" w14:textId="77777777" w:rsidR="00BA3083" w:rsidRDefault="00000000">
      <w:pPr>
        <w:spacing w:after="110" w:line="264" w:lineRule="auto"/>
        <w:ind w:left="120"/>
      </w:pPr>
      <w:proofErr w:type="gramStart"/>
      <w:r>
        <w:rPr>
          <w:b/>
          <w:bCs/>
          <w:color w:val="1B5E4F"/>
          <w:sz w:val="17"/>
          <w:szCs w:val="17"/>
        </w:rPr>
        <w:t xml:space="preserve">EVIDENCE  </w:t>
      </w:r>
      <w:r>
        <w:t>Observed</w:t>
      </w:r>
      <w:proofErr w:type="gramEnd"/>
      <w:r>
        <w:t xml:space="preserve"> (in-hand): the </w:t>
      </w:r>
      <w:r>
        <w:rPr>
          <w:b/>
          <w:bCs/>
        </w:rPr>
        <w:t>EoI, Profile, deck, minutes and transcript</w:t>
      </w:r>
      <w:r>
        <w:t xml:space="preserve"> — these are primary S4I documents </w:t>
      </w:r>
      <w:proofErr w:type="gramStart"/>
      <w:r>
        <w:t>actually supplied</w:t>
      </w:r>
      <w:proofErr w:type="gramEnd"/>
      <w:r>
        <w:t xml:space="preserve"> and readable.</w:t>
      </w:r>
    </w:p>
    <w:p w14:paraId="1C001CF3" w14:textId="77777777" w:rsidR="00BA3083" w:rsidRDefault="00000000">
      <w:pPr>
        <w:spacing w:after="110" w:line="264" w:lineRule="auto"/>
        <w:ind w:left="120"/>
      </w:pPr>
      <w:proofErr w:type="gramStart"/>
      <w:r>
        <w:rPr>
          <w:b/>
          <w:bCs/>
          <w:color w:val="0B5394"/>
          <w:sz w:val="17"/>
          <w:szCs w:val="17"/>
        </w:rPr>
        <w:t xml:space="preserve">INTERPRETATION  </w:t>
      </w:r>
      <w:r>
        <w:t>Asserted</w:t>
      </w:r>
      <w:proofErr w:type="gramEnd"/>
      <w:r>
        <w:t xml:space="preserve">-but-unobserved: all six </w:t>
      </w:r>
      <w:r>
        <w:rPr>
          <w:b/>
          <w:bCs/>
        </w:rPr>
        <w:t>RCT/impact papers are cited but not supplied</w:t>
      </w:r>
      <w:r>
        <w:t>. The impact claims that anchor the entire readiness case therefore rest on assertions the assessor cannot verify against source. This is the single largest provenance gap.</w:t>
      </w:r>
    </w:p>
    <w:p w14:paraId="4B6369F9" w14:textId="77777777" w:rsidR="00BA3083" w:rsidRDefault="00000000">
      <w:pPr>
        <w:pStyle w:val="Heading2"/>
        <w:spacing w:before="220" w:after="100"/>
      </w:pPr>
      <w:bookmarkStart w:id="5" w:name="_Toc234870955"/>
      <w:r>
        <w:t>2.3 Cross-document inconsistencies (must-resolve)</w:t>
      </w:r>
      <w:bookmarkEnd w:id="5"/>
    </w:p>
    <w:tbl>
      <w:tblPr>
        <w:tblW w:w="9360" w:type="dxa"/>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left w:w="10" w:type="dxa"/>
          <w:right w:w="10" w:type="dxa"/>
        </w:tblCellMar>
        <w:tblLook w:val="04A0" w:firstRow="1" w:lastRow="0" w:firstColumn="1" w:lastColumn="0" w:noHBand="0" w:noVBand="1"/>
      </w:tblPr>
      <w:tblGrid>
        <w:gridCol w:w="2600"/>
        <w:gridCol w:w="3400"/>
        <w:gridCol w:w="3360"/>
      </w:tblGrid>
      <w:tr w:rsidR="00BA3083" w14:paraId="71D9ECEE" w14:textId="77777777">
        <w:tblPrEx>
          <w:tblCellMar>
            <w:top w:w="0" w:type="dxa"/>
            <w:bottom w:w="0" w:type="dxa"/>
          </w:tblCellMar>
        </w:tblPrEx>
        <w:trPr>
          <w:tblHeader/>
        </w:trPr>
        <w:tc>
          <w:tcPr>
            <w:tcW w:w="2600" w:type="dxa"/>
            <w:shd w:val="clear" w:color="auto" w:fill="1B5E4F"/>
            <w:tcMar>
              <w:top w:w="60" w:type="dxa"/>
              <w:left w:w="90" w:type="dxa"/>
              <w:bottom w:w="60" w:type="dxa"/>
              <w:right w:w="90" w:type="dxa"/>
            </w:tcMar>
          </w:tcPr>
          <w:p w14:paraId="3FE54B2D" w14:textId="77777777" w:rsidR="00BA3083" w:rsidRDefault="00000000">
            <w:pPr>
              <w:spacing w:after="20"/>
            </w:pPr>
            <w:r>
              <w:rPr>
                <w:b/>
                <w:bCs/>
                <w:color w:val="FFFFFF"/>
                <w:sz w:val="19"/>
                <w:szCs w:val="19"/>
              </w:rPr>
              <w:t>Item</w:t>
            </w:r>
          </w:p>
        </w:tc>
        <w:tc>
          <w:tcPr>
            <w:tcW w:w="3400" w:type="dxa"/>
            <w:shd w:val="clear" w:color="auto" w:fill="1B5E4F"/>
            <w:tcMar>
              <w:top w:w="60" w:type="dxa"/>
              <w:left w:w="90" w:type="dxa"/>
              <w:bottom w:w="60" w:type="dxa"/>
              <w:right w:w="90" w:type="dxa"/>
            </w:tcMar>
          </w:tcPr>
          <w:p w14:paraId="5A81CF65" w14:textId="77777777" w:rsidR="00BA3083" w:rsidRDefault="00000000">
            <w:pPr>
              <w:spacing w:after="20"/>
            </w:pPr>
            <w:r>
              <w:rPr>
                <w:b/>
                <w:bCs/>
                <w:color w:val="FFFFFF"/>
                <w:sz w:val="19"/>
                <w:szCs w:val="19"/>
              </w:rPr>
              <w:t>Conflict</w:t>
            </w:r>
          </w:p>
        </w:tc>
        <w:tc>
          <w:tcPr>
            <w:tcW w:w="3360" w:type="dxa"/>
            <w:shd w:val="clear" w:color="auto" w:fill="1B5E4F"/>
            <w:tcMar>
              <w:top w:w="60" w:type="dxa"/>
              <w:left w:w="90" w:type="dxa"/>
              <w:bottom w:w="60" w:type="dxa"/>
              <w:right w:w="90" w:type="dxa"/>
            </w:tcMar>
          </w:tcPr>
          <w:p w14:paraId="40FE2B8F" w14:textId="77777777" w:rsidR="00BA3083" w:rsidRDefault="00000000">
            <w:pPr>
              <w:spacing w:after="20"/>
            </w:pPr>
            <w:r>
              <w:rPr>
                <w:b/>
                <w:bCs/>
                <w:color w:val="FFFFFF"/>
                <w:sz w:val="19"/>
                <w:szCs w:val="19"/>
              </w:rPr>
              <w:t>Where</w:t>
            </w:r>
          </w:p>
        </w:tc>
      </w:tr>
      <w:tr w:rsidR="00BA3083" w14:paraId="0CD9FBDF" w14:textId="77777777">
        <w:tblPrEx>
          <w:tblCellMar>
            <w:top w:w="0" w:type="dxa"/>
            <w:bottom w:w="0" w:type="dxa"/>
          </w:tblCellMar>
        </w:tblPrEx>
        <w:tc>
          <w:tcPr>
            <w:tcW w:w="2600" w:type="dxa"/>
            <w:tcMar>
              <w:top w:w="60" w:type="dxa"/>
              <w:left w:w="90" w:type="dxa"/>
              <w:bottom w:w="60" w:type="dxa"/>
              <w:right w:w="90" w:type="dxa"/>
            </w:tcMar>
          </w:tcPr>
          <w:p w14:paraId="50635A73" w14:textId="77777777" w:rsidR="00BA3083" w:rsidRDefault="00000000">
            <w:pPr>
              <w:spacing w:after="20"/>
            </w:pPr>
            <w:proofErr w:type="spellStart"/>
            <w:r>
              <w:rPr>
                <w:sz w:val="19"/>
                <w:szCs w:val="19"/>
              </w:rPr>
              <w:t>Dvara</w:t>
            </w:r>
            <w:proofErr w:type="spellEnd"/>
            <w:r>
              <w:rPr>
                <w:sz w:val="19"/>
                <w:szCs w:val="19"/>
              </w:rPr>
              <w:t xml:space="preserve"> reach</w:t>
            </w:r>
          </w:p>
        </w:tc>
        <w:tc>
          <w:tcPr>
            <w:tcW w:w="3400" w:type="dxa"/>
            <w:tcMar>
              <w:top w:w="60" w:type="dxa"/>
              <w:left w:w="90" w:type="dxa"/>
              <w:bottom w:w="60" w:type="dxa"/>
              <w:right w:w="90" w:type="dxa"/>
            </w:tcMar>
          </w:tcPr>
          <w:p w14:paraId="0E91CE83" w14:textId="77777777" w:rsidR="00BA3083" w:rsidRDefault="00000000">
            <w:pPr>
              <w:spacing w:after="20"/>
            </w:pPr>
            <w:r>
              <w:rPr>
                <w:sz w:val="19"/>
                <w:szCs w:val="19"/>
              </w:rPr>
              <w:t>"15,000 farmers" vs. "</w:t>
            </w:r>
            <w:proofErr w:type="spellStart"/>
            <w:r>
              <w:rPr>
                <w:sz w:val="19"/>
                <w:szCs w:val="19"/>
              </w:rPr>
              <w:t>KhetScore</w:t>
            </w:r>
            <w:proofErr w:type="spellEnd"/>
            <w:r>
              <w:rPr>
                <w:sz w:val="19"/>
                <w:szCs w:val="19"/>
              </w:rPr>
              <w:t xml:space="preserve"> to 23,000 farmers" vs. "lending to 15,000"</w:t>
            </w:r>
          </w:p>
        </w:tc>
        <w:tc>
          <w:tcPr>
            <w:tcW w:w="3360" w:type="dxa"/>
            <w:tcMar>
              <w:top w:w="60" w:type="dxa"/>
              <w:left w:w="90" w:type="dxa"/>
              <w:bottom w:w="60" w:type="dxa"/>
              <w:right w:w="90" w:type="dxa"/>
            </w:tcMar>
          </w:tcPr>
          <w:p w14:paraId="0AAC3E2D" w14:textId="77777777" w:rsidR="00BA3083" w:rsidRDefault="00000000">
            <w:pPr>
              <w:spacing w:after="20"/>
            </w:pPr>
            <w:r>
              <w:rPr>
                <w:sz w:val="19"/>
                <w:szCs w:val="19"/>
              </w:rPr>
              <w:t>EoI §2 (Evidence of Impact) vs. EoI §2 (Scaling Pathway) vs. §3</w:t>
            </w:r>
          </w:p>
        </w:tc>
      </w:tr>
      <w:tr w:rsidR="00BA3083" w14:paraId="62CAF4E2" w14:textId="77777777">
        <w:tblPrEx>
          <w:tblCellMar>
            <w:top w:w="0" w:type="dxa"/>
            <w:bottom w:w="0" w:type="dxa"/>
          </w:tblCellMar>
        </w:tblPrEx>
        <w:tc>
          <w:tcPr>
            <w:tcW w:w="2600" w:type="dxa"/>
            <w:shd w:val="clear" w:color="auto" w:fill="F5F8F7"/>
            <w:tcMar>
              <w:top w:w="60" w:type="dxa"/>
              <w:left w:w="90" w:type="dxa"/>
              <w:bottom w:w="60" w:type="dxa"/>
              <w:right w:w="90" w:type="dxa"/>
            </w:tcMar>
          </w:tcPr>
          <w:p w14:paraId="21A06458" w14:textId="77777777" w:rsidR="00BA3083" w:rsidRDefault="00000000">
            <w:pPr>
              <w:spacing w:after="20"/>
            </w:pPr>
            <w:r>
              <w:rPr>
                <w:sz w:val="19"/>
                <w:szCs w:val="19"/>
              </w:rPr>
              <w:t>2026 farmer target</w:t>
            </w:r>
          </w:p>
        </w:tc>
        <w:tc>
          <w:tcPr>
            <w:tcW w:w="3400" w:type="dxa"/>
            <w:shd w:val="clear" w:color="auto" w:fill="F5F8F7"/>
            <w:tcMar>
              <w:top w:w="60" w:type="dxa"/>
              <w:left w:w="90" w:type="dxa"/>
              <w:bottom w:w="60" w:type="dxa"/>
              <w:right w:w="90" w:type="dxa"/>
            </w:tcMar>
          </w:tcPr>
          <w:p w14:paraId="21363EA4" w14:textId="77777777" w:rsidR="00BA3083" w:rsidRDefault="00000000">
            <w:pPr>
              <w:spacing w:after="20"/>
            </w:pPr>
            <w:r>
              <w:rPr>
                <w:sz w:val="19"/>
                <w:szCs w:val="19"/>
              </w:rPr>
              <w:t>"25,000" (EoI timeline) vs. "15,000" (Profile, deck, transcript — revised down)</w:t>
            </w:r>
          </w:p>
        </w:tc>
        <w:tc>
          <w:tcPr>
            <w:tcW w:w="3360" w:type="dxa"/>
            <w:shd w:val="clear" w:color="auto" w:fill="F5F8F7"/>
            <w:tcMar>
              <w:top w:w="60" w:type="dxa"/>
              <w:left w:w="90" w:type="dxa"/>
              <w:bottom w:w="60" w:type="dxa"/>
              <w:right w:w="90" w:type="dxa"/>
            </w:tcMar>
          </w:tcPr>
          <w:p w14:paraId="390DD5AC" w14:textId="77777777" w:rsidR="00BA3083" w:rsidRDefault="00000000">
            <w:pPr>
              <w:spacing w:after="20"/>
            </w:pPr>
            <w:r>
              <w:rPr>
                <w:sz w:val="19"/>
                <w:szCs w:val="19"/>
              </w:rPr>
              <w:t>EoI §3 timeline vs. Profile §2 / deck s3</w:t>
            </w:r>
          </w:p>
        </w:tc>
      </w:tr>
      <w:tr w:rsidR="00BA3083" w14:paraId="452D2135" w14:textId="77777777">
        <w:tblPrEx>
          <w:tblCellMar>
            <w:top w:w="0" w:type="dxa"/>
            <w:bottom w:w="0" w:type="dxa"/>
          </w:tblCellMar>
        </w:tblPrEx>
        <w:tc>
          <w:tcPr>
            <w:tcW w:w="2600" w:type="dxa"/>
            <w:tcMar>
              <w:top w:w="60" w:type="dxa"/>
              <w:left w:w="90" w:type="dxa"/>
              <w:bottom w:w="60" w:type="dxa"/>
              <w:right w:w="90" w:type="dxa"/>
            </w:tcMar>
          </w:tcPr>
          <w:p w14:paraId="1F21744B" w14:textId="77777777" w:rsidR="00BA3083" w:rsidRDefault="00000000">
            <w:pPr>
              <w:spacing w:after="20"/>
            </w:pPr>
            <w:r>
              <w:rPr>
                <w:sz w:val="19"/>
                <w:szCs w:val="19"/>
              </w:rPr>
              <w:t>Insurers named</w:t>
            </w:r>
          </w:p>
        </w:tc>
        <w:tc>
          <w:tcPr>
            <w:tcW w:w="3400" w:type="dxa"/>
            <w:tcMar>
              <w:top w:w="60" w:type="dxa"/>
              <w:left w:w="90" w:type="dxa"/>
              <w:bottom w:w="60" w:type="dxa"/>
              <w:right w:w="90" w:type="dxa"/>
            </w:tcMar>
          </w:tcPr>
          <w:p w14:paraId="61773431" w14:textId="77777777" w:rsidR="00BA3083" w:rsidRDefault="00000000">
            <w:pPr>
              <w:spacing w:after="20"/>
            </w:pPr>
            <w:r>
              <w:rPr>
                <w:sz w:val="19"/>
                <w:szCs w:val="19"/>
              </w:rPr>
              <w:t>"Tata AIG" (Profile) vs. "HDFC Ergo" (EoI) for India; "APA/Britam" consistent for Kenya</w:t>
            </w:r>
          </w:p>
        </w:tc>
        <w:tc>
          <w:tcPr>
            <w:tcW w:w="3360" w:type="dxa"/>
            <w:tcMar>
              <w:top w:w="60" w:type="dxa"/>
              <w:left w:w="90" w:type="dxa"/>
              <w:bottom w:w="60" w:type="dxa"/>
              <w:right w:w="90" w:type="dxa"/>
            </w:tcMar>
          </w:tcPr>
          <w:p w14:paraId="351A1890" w14:textId="77777777" w:rsidR="00BA3083" w:rsidRDefault="00000000">
            <w:pPr>
              <w:spacing w:after="20"/>
            </w:pPr>
            <w:r>
              <w:rPr>
                <w:sz w:val="19"/>
                <w:szCs w:val="19"/>
              </w:rPr>
              <w:t>Profile §4 vs. EoI §2</w:t>
            </w:r>
          </w:p>
        </w:tc>
      </w:tr>
      <w:tr w:rsidR="00BA3083" w14:paraId="0F757F0F" w14:textId="77777777">
        <w:tblPrEx>
          <w:tblCellMar>
            <w:top w:w="0" w:type="dxa"/>
            <w:bottom w:w="0" w:type="dxa"/>
          </w:tblCellMar>
        </w:tblPrEx>
        <w:tc>
          <w:tcPr>
            <w:tcW w:w="2600" w:type="dxa"/>
            <w:shd w:val="clear" w:color="auto" w:fill="F5F8F7"/>
            <w:tcMar>
              <w:top w:w="60" w:type="dxa"/>
              <w:left w:w="90" w:type="dxa"/>
              <w:bottom w:w="60" w:type="dxa"/>
              <w:right w:w="90" w:type="dxa"/>
            </w:tcMar>
          </w:tcPr>
          <w:p w14:paraId="6F5FC05F" w14:textId="77777777" w:rsidR="00BA3083" w:rsidRDefault="00000000">
            <w:pPr>
              <w:spacing w:after="20"/>
            </w:pPr>
            <w:r>
              <w:rPr>
                <w:sz w:val="19"/>
                <w:szCs w:val="19"/>
              </w:rPr>
              <w:t>Bilateral funder (ACRE)</w:t>
            </w:r>
          </w:p>
        </w:tc>
        <w:tc>
          <w:tcPr>
            <w:tcW w:w="3400" w:type="dxa"/>
            <w:shd w:val="clear" w:color="auto" w:fill="F5F8F7"/>
            <w:tcMar>
              <w:top w:w="60" w:type="dxa"/>
              <w:left w:w="90" w:type="dxa"/>
              <w:bottom w:w="60" w:type="dxa"/>
              <w:right w:w="90" w:type="dxa"/>
            </w:tcMar>
          </w:tcPr>
          <w:p w14:paraId="4763FFB6" w14:textId="77777777" w:rsidR="00BA3083" w:rsidRDefault="00000000">
            <w:pPr>
              <w:spacing w:after="20"/>
            </w:pPr>
            <w:r>
              <w:rPr>
                <w:sz w:val="19"/>
                <w:szCs w:val="19"/>
              </w:rPr>
              <w:t>"Ministry of Foreign Affairs, France" (transcript) vs. "FEXTE" (deck)</w:t>
            </w:r>
          </w:p>
        </w:tc>
        <w:tc>
          <w:tcPr>
            <w:tcW w:w="3360" w:type="dxa"/>
            <w:shd w:val="clear" w:color="auto" w:fill="F5F8F7"/>
            <w:tcMar>
              <w:top w:w="60" w:type="dxa"/>
              <w:left w:w="90" w:type="dxa"/>
              <w:bottom w:w="60" w:type="dxa"/>
              <w:right w:w="90" w:type="dxa"/>
            </w:tcMar>
          </w:tcPr>
          <w:p w14:paraId="6255C50D" w14:textId="77777777" w:rsidR="00BA3083" w:rsidRDefault="00000000">
            <w:pPr>
              <w:spacing w:after="20"/>
            </w:pPr>
            <w:r>
              <w:rPr>
                <w:sz w:val="19"/>
                <w:szCs w:val="19"/>
              </w:rPr>
              <w:t>Transcript vs. deck s7</w:t>
            </w:r>
          </w:p>
        </w:tc>
      </w:tr>
      <w:tr w:rsidR="00BA3083" w14:paraId="04A2AF35" w14:textId="77777777">
        <w:tblPrEx>
          <w:tblCellMar>
            <w:top w:w="0" w:type="dxa"/>
            <w:bottom w:w="0" w:type="dxa"/>
          </w:tblCellMar>
        </w:tblPrEx>
        <w:tc>
          <w:tcPr>
            <w:tcW w:w="2600" w:type="dxa"/>
            <w:tcMar>
              <w:top w:w="60" w:type="dxa"/>
              <w:left w:w="90" w:type="dxa"/>
              <w:bottom w:w="60" w:type="dxa"/>
              <w:right w:w="90" w:type="dxa"/>
            </w:tcMar>
          </w:tcPr>
          <w:p w14:paraId="2998152D" w14:textId="77777777" w:rsidR="00BA3083" w:rsidRDefault="00000000">
            <w:pPr>
              <w:spacing w:after="20"/>
            </w:pPr>
            <w:r>
              <w:rPr>
                <w:sz w:val="19"/>
                <w:szCs w:val="19"/>
              </w:rPr>
              <w:lastRenderedPageBreak/>
              <w:t>Loan interest economics</w:t>
            </w:r>
          </w:p>
        </w:tc>
        <w:tc>
          <w:tcPr>
            <w:tcW w:w="3400" w:type="dxa"/>
            <w:tcMar>
              <w:top w:w="60" w:type="dxa"/>
              <w:left w:w="90" w:type="dxa"/>
              <w:bottom w:w="60" w:type="dxa"/>
              <w:right w:w="90" w:type="dxa"/>
            </w:tcMar>
          </w:tcPr>
          <w:p w14:paraId="4A713810" w14:textId="77777777" w:rsidR="00BA3083" w:rsidRDefault="00000000">
            <w:pPr>
              <w:spacing w:after="20"/>
            </w:pPr>
            <w:r>
              <w:rPr>
                <w:sz w:val="19"/>
                <w:szCs w:val="19"/>
              </w:rPr>
              <w:t>India interest = 10% of loan value (deck) but EoI lists interest 10% + FPO services 5%</w:t>
            </w:r>
          </w:p>
        </w:tc>
        <w:tc>
          <w:tcPr>
            <w:tcW w:w="3360" w:type="dxa"/>
            <w:tcMar>
              <w:top w:w="60" w:type="dxa"/>
              <w:left w:w="90" w:type="dxa"/>
              <w:bottom w:w="60" w:type="dxa"/>
              <w:right w:w="90" w:type="dxa"/>
            </w:tcMar>
          </w:tcPr>
          <w:p w14:paraId="74809A0C" w14:textId="77777777" w:rsidR="00BA3083" w:rsidRDefault="00000000">
            <w:pPr>
              <w:spacing w:after="20"/>
            </w:pPr>
            <w:r>
              <w:rPr>
                <w:sz w:val="19"/>
                <w:szCs w:val="19"/>
              </w:rPr>
              <w:t>Deck s6 vs. EoI §2</w:t>
            </w:r>
          </w:p>
        </w:tc>
      </w:tr>
      <w:tr w:rsidR="00BA3083" w14:paraId="2F115B9E" w14:textId="77777777">
        <w:tblPrEx>
          <w:tblCellMar>
            <w:top w:w="0" w:type="dxa"/>
            <w:bottom w:w="0" w:type="dxa"/>
          </w:tblCellMar>
        </w:tblPrEx>
        <w:tc>
          <w:tcPr>
            <w:tcW w:w="2600" w:type="dxa"/>
            <w:shd w:val="clear" w:color="auto" w:fill="F5F8F7"/>
            <w:tcMar>
              <w:top w:w="60" w:type="dxa"/>
              <w:left w:w="90" w:type="dxa"/>
              <w:bottom w:w="60" w:type="dxa"/>
              <w:right w:w="90" w:type="dxa"/>
            </w:tcMar>
          </w:tcPr>
          <w:p w14:paraId="7028267E" w14:textId="77777777" w:rsidR="00BA3083" w:rsidRDefault="00000000">
            <w:pPr>
              <w:spacing w:after="20"/>
            </w:pPr>
            <w:r>
              <w:rPr>
                <w:sz w:val="19"/>
                <w:szCs w:val="19"/>
              </w:rPr>
              <w:t>Scaling ambition denominator</w:t>
            </w:r>
          </w:p>
        </w:tc>
        <w:tc>
          <w:tcPr>
            <w:tcW w:w="3400" w:type="dxa"/>
            <w:shd w:val="clear" w:color="auto" w:fill="F5F8F7"/>
            <w:tcMar>
              <w:top w:w="60" w:type="dxa"/>
              <w:left w:w="90" w:type="dxa"/>
              <w:bottom w:w="60" w:type="dxa"/>
              <w:right w:w="90" w:type="dxa"/>
            </w:tcMar>
          </w:tcPr>
          <w:p w14:paraId="4F59B05A" w14:textId="77777777" w:rsidR="00BA3083" w:rsidRDefault="00000000">
            <w:pPr>
              <w:spacing w:after="20"/>
            </w:pPr>
            <w:r>
              <w:rPr>
                <w:sz w:val="19"/>
                <w:szCs w:val="19"/>
              </w:rPr>
              <w:t>"100,000 farmers" (headline) vs. 15k+30k+45k = 90,000 (timeline math)</w:t>
            </w:r>
          </w:p>
        </w:tc>
        <w:tc>
          <w:tcPr>
            <w:tcW w:w="3360" w:type="dxa"/>
            <w:shd w:val="clear" w:color="auto" w:fill="F5F8F7"/>
            <w:tcMar>
              <w:top w:w="60" w:type="dxa"/>
              <w:left w:w="90" w:type="dxa"/>
              <w:bottom w:w="60" w:type="dxa"/>
              <w:right w:w="90" w:type="dxa"/>
            </w:tcMar>
          </w:tcPr>
          <w:p w14:paraId="3ECF3AD9" w14:textId="77777777" w:rsidR="00BA3083" w:rsidRDefault="00000000">
            <w:pPr>
              <w:spacing w:after="20"/>
            </w:pPr>
            <w:r>
              <w:rPr>
                <w:sz w:val="19"/>
                <w:szCs w:val="19"/>
              </w:rPr>
              <w:t>EoI/Profile vs. summed annual targets</w:t>
            </w:r>
          </w:p>
        </w:tc>
      </w:tr>
    </w:tbl>
    <w:p w14:paraId="47F48C7F" w14:textId="77777777" w:rsidR="00BA3083" w:rsidRDefault="00000000">
      <w:pPr>
        <w:spacing w:after="110" w:line="264" w:lineRule="auto"/>
        <w:ind w:left="120"/>
      </w:pPr>
      <w:proofErr w:type="gramStart"/>
      <w:r>
        <w:rPr>
          <w:b/>
          <w:bCs/>
          <w:color w:val="8A6D00"/>
          <w:sz w:val="17"/>
          <w:szCs w:val="17"/>
        </w:rPr>
        <w:t xml:space="preserve">RECOMMENDATION  </w:t>
      </w:r>
      <w:r>
        <w:t>Create</w:t>
      </w:r>
      <w:proofErr w:type="gramEnd"/>
      <w:r>
        <w:t xml:space="preserve"> a single </w:t>
      </w:r>
      <w:r>
        <w:rPr>
          <w:b/>
          <w:bCs/>
        </w:rPr>
        <w:t>Reconciled Facts</w:t>
      </w:r>
      <w:r>
        <w:t xml:space="preserve"> Knowledge Card that fixes canonical values for reach, targets, partners, and unit economics before any external communication or investor engagement.</w:t>
      </w:r>
    </w:p>
    <w:p w14:paraId="0BBEC4A6" w14:textId="77777777" w:rsidR="00BA3083" w:rsidRDefault="00000000">
      <w:pPr>
        <w:pStyle w:val="Heading2"/>
        <w:spacing w:before="220" w:after="100"/>
      </w:pPr>
      <w:bookmarkStart w:id="6" w:name="_Toc234870956"/>
      <w:r>
        <w:t>2.4 Cited-but-unsupplied &amp; evidence gaps</w:t>
      </w:r>
      <w:bookmarkEnd w:id="6"/>
    </w:p>
    <w:p w14:paraId="308AC5FC" w14:textId="77777777" w:rsidR="00BA3083" w:rsidRDefault="00000000">
      <w:pPr>
        <w:pStyle w:val="ListParagraph"/>
        <w:numPr>
          <w:ilvl w:val="0"/>
          <w:numId w:val="2"/>
        </w:numPr>
        <w:spacing w:after="60" w:line="258" w:lineRule="auto"/>
      </w:pPr>
      <w:r>
        <w:t xml:space="preserve">All 6 academic references (Ceballos 2019; Kramer 2021, 2023, 2024×2, 2025) — </w:t>
      </w:r>
      <w:r>
        <w:rPr>
          <w:b/>
          <w:bCs/>
        </w:rPr>
        <w:t>acquire and create Evidence Records</w:t>
      </w:r>
    </w:p>
    <w:p w14:paraId="56DA186E" w14:textId="77777777" w:rsidR="00BA3083" w:rsidRDefault="00000000">
      <w:pPr>
        <w:pStyle w:val="ListParagraph"/>
        <w:numPr>
          <w:ilvl w:val="0"/>
          <w:numId w:val="2"/>
        </w:numPr>
        <w:spacing w:after="60" w:line="258" w:lineRule="auto"/>
      </w:pPr>
      <w:r>
        <w:t>Partner contracts / commercial terms (repeatedly requested by S4I in the meeting) — not supplied</w:t>
      </w:r>
    </w:p>
    <w:p w14:paraId="07E82388" w14:textId="77777777" w:rsidR="00BA3083" w:rsidRDefault="00000000">
      <w:pPr>
        <w:pStyle w:val="ListParagraph"/>
        <w:numPr>
          <w:ilvl w:val="0"/>
          <w:numId w:val="2"/>
        </w:numPr>
        <w:spacing w:after="60" w:line="258" w:lineRule="auto"/>
      </w:pPr>
      <w:r>
        <w:t xml:space="preserve">Insurance actuarial / pool-viability analysis — </w:t>
      </w:r>
      <w:r>
        <w:rPr>
          <w:b/>
          <w:bCs/>
          <w:color w:val="8B2635"/>
        </w:rPr>
        <w:t>does not appear to exist in the evidence base</w:t>
      </w:r>
    </w:p>
    <w:p w14:paraId="6FA7DDA3" w14:textId="77777777" w:rsidR="00BA3083" w:rsidRDefault="00000000">
      <w:pPr>
        <w:pStyle w:val="ListParagraph"/>
        <w:numPr>
          <w:ilvl w:val="0"/>
          <w:numId w:val="2"/>
        </w:numPr>
        <w:spacing w:after="60" w:line="258" w:lineRule="auto"/>
      </w:pPr>
      <w:r>
        <w:t>Claims-settlement speed data — flagged by Kohl and Krupnik; not supplied</w:t>
      </w:r>
    </w:p>
    <w:p w14:paraId="15EEB020" w14:textId="77777777" w:rsidR="00BA3083" w:rsidRDefault="00000000">
      <w:pPr>
        <w:pStyle w:val="ListParagraph"/>
        <w:numPr>
          <w:ilvl w:val="0"/>
          <w:numId w:val="2"/>
        </w:numPr>
        <w:spacing w:after="60" w:line="258" w:lineRule="auto"/>
      </w:pPr>
      <w:r>
        <w:t>Subsidy phase-out financing plan beyond 2026 — not supplied</w:t>
      </w:r>
    </w:p>
    <w:p w14:paraId="00E7837C" w14:textId="77777777" w:rsidR="00BA3083" w:rsidRDefault="00000000">
      <w:pPr>
        <w:pStyle w:val="ListParagraph"/>
        <w:numPr>
          <w:ilvl w:val="0"/>
          <w:numId w:val="2"/>
        </w:numPr>
        <w:spacing w:after="60" w:line="258" w:lineRule="auto"/>
      </w:pPr>
      <w:proofErr w:type="spellStart"/>
      <w:r>
        <w:t>Disadoption</w:t>
      </w:r>
      <w:proofErr w:type="spellEnd"/>
      <w:r>
        <w:t xml:space="preserve"> / renewal (persistency) data — acknowledged as unknown by the team</w:t>
      </w:r>
    </w:p>
    <w:p w14:paraId="4CABE6F1" w14:textId="77777777" w:rsidR="00BA3083" w:rsidRDefault="00000000">
      <w:pPr>
        <w:pStyle w:val="Heading2"/>
        <w:spacing w:before="220" w:after="100"/>
      </w:pPr>
      <w:bookmarkStart w:id="7" w:name="_Toc234870957"/>
      <w:r>
        <w:t>2.5 Recommended Knowledge Cards</w:t>
      </w:r>
      <w:bookmarkEnd w:id="7"/>
    </w:p>
    <w:p w14:paraId="79C77C8C" w14:textId="77777777" w:rsidR="00BA3083" w:rsidRDefault="00000000">
      <w:pPr>
        <w:pStyle w:val="ListParagraph"/>
        <w:numPr>
          <w:ilvl w:val="0"/>
          <w:numId w:val="2"/>
        </w:numPr>
        <w:spacing w:after="60" w:line="258" w:lineRule="auto"/>
      </w:pPr>
      <w:r>
        <w:rPr>
          <w:b/>
          <w:bCs/>
        </w:rPr>
        <w:t xml:space="preserve">Card: </w:t>
      </w:r>
      <w:r>
        <w:t>"Picture-Based Insurance + Digital Credit Bundle" (concept + evidence record)</w:t>
      </w:r>
    </w:p>
    <w:p w14:paraId="7501F9B9" w14:textId="77777777" w:rsidR="00BA3083" w:rsidRDefault="00000000">
      <w:pPr>
        <w:pStyle w:val="ListParagraph"/>
        <w:numPr>
          <w:ilvl w:val="0"/>
          <w:numId w:val="2"/>
        </w:numPr>
        <w:spacing w:after="60" w:line="258" w:lineRule="auto"/>
      </w:pPr>
      <w:r>
        <w:rPr>
          <w:b/>
          <w:bCs/>
        </w:rPr>
        <w:t xml:space="preserve">Card: </w:t>
      </w:r>
      <w:r>
        <w:t>"Insurance pool viability at scale" (open-question / heuristic — links to Syngenta Foundation precedent)</w:t>
      </w:r>
    </w:p>
    <w:p w14:paraId="67D61994" w14:textId="77777777" w:rsidR="00BA3083" w:rsidRDefault="00000000">
      <w:pPr>
        <w:pStyle w:val="ListParagraph"/>
        <w:numPr>
          <w:ilvl w:val="0"/>
          <w:numId w:val="2"/>
        </w:numPr>
        <w:spacing w:after="60" w:line="258" w:lineRule="auto"/>
      </w:pPr>
      <w:r>
        <w:rPr>
          <w:b/>
          <w:bCs/>
        </w:rPr>
        <w:t xml:space="preserve">Card: </w:t>
      </w:r>
      <w:r>
        <w:t>"Agent network as delivery black box" (cross-cutting delivery heuristic; recurs in other S4I tracks)</w:t>
      </w:r>
    </w:p>
    <w:p w14:paraId="1BA027D9" w14:textId="77777777" w:rsidR="00BA3083" w:rsidRDefault="00000000">
      <w:r>
        <w:br w:type="page"/>
      </w:r>
    </w:p>
    <w:p w14:paraId="6A256494" w14:textId="77777777" w:rsidR="00BA3083" w:rsidRDefault="00000000">
      <w:pPr>
        <w:pStyle w:val="Heading1"/>
        <w:spacing w:before="320" w:after="140"/>
      </w:pPr>
      <w:bookmarkStart w:id="8" w:name="_Toc234870958"/>
      <w:r>
        <w:lastRenderedPageBreak/>
        <w:t>3 · Scaling Intelligence Assessment</w:t>
      </w:r>
      <w:bookmarkEnd w:id="8"/>
    </w:p>
    <w:p w14:paraId="37907D2C" w14:textId="77777777" w:rsidR="00BA3083" w:rsidRDefault="00000000">
      <w:pPr>
        <w:spacing w:after="120" w:line="264" w:lineRule="auto"/>
      </w:pPr>
      <w:r>
        <w:rPr>
          <w:b/>
          <w:bCs/>
        </w:rPr>
        <w:t xml:space="preserve">Discipline leads: </w:t>
      </w:r>
      <w:r>
        <w:rPr>
          <w:b/>
          <w:bCs/>
          <w:color w:val="0B5394"/>
        </w:rPr>
        <w:t>Scaling Analyst</w:t>
      </w:r>
      <w:r>
        <w:t xml:space="preserve"> + </w:t>
      </w:r>
      <w:r>
        <w:rPr>
          <w:b/>
          <w:bCs/>
          <w:color w:val="6A1B9A"/>
        </w:rPr>
        <w:t>Strategy Coach</w:t>
      </w:r>
      <w:r>
        <w:t>.</w:t>
      </w:r>
    </w:p>
    <w:p w14:paraId="3D1EE10B" w14:textId="77777777" w:rsidR="00BA3083" w:rsidRDefault="00000000">
      <w:pPr>
        <w:pStyle w:val="Heading2"/>
        <w:spacing w:before="220" w:after="100"/>
      </w:pPr>
      <w:bookmarkStart w:id="9" w:name="_Toc234870959"/>
      <w:r>
        <w:t>3.1 Ambition, denominator &amp; theory of scaling</w:t>
      </w:r>
      <w:bookmarkEnd w:id="9"/>
    </w:p>
    <w:p w14:paraId="64AC3797" w14:textId="77777777" w:rsidR="00BA3083" w:rsidRDefault="00000000">
      <w:pPr>
        <w:spacing w:after="110" w:line="264" w:lineRule="auto"/>
        <w:ind w:left="120"/>
      </w:pPr>
      <w:proofErr w:type="gramStart"/>
      <w:r>
        <w:rPr>
          <w:b/>
          <w:bCs/>
          <w:color w:val="1B5E4F"/>
          <w:sz w:val="17"/>
          <w:szCs w:val="17"/>
        </w:rPr>
        <w:t xml:space="preserve">EVIDENCE  </w:t>
      </w:r>
      <w:r>
        <w:t>Ambition</w:t>
      </w:r>
      <w:proofErr w:type="gramEnd"/>
      <w:r>
        <w:t xml:space="preserve">: 100,000 farmers across Kenya &amp; India by 2028 (≥50% women, ≥25% youth, 5% </w:t>
      </w:r>
      <w:proofErr w:type="spellStart"/>
      <w:r>
        <w:t>marginalised</w:t>
      </w:r>
      <w:proofErr w:type="spellEnd"/>
      <w:r>
        <w:t>); US$25m disbursed/insured; 100,000 ha. 2026 milestone revised to 15,000 farmers, US$6m (finance target held).</w:t>
      </w:r>
    </w:p>
    <w:p w14:paraId="3DDD7878" w14:textId="77777777" w:rsidR="00BA3083" w:rsidRDefault="00000000">
      <w:pPr>
        <w:spacing w:after="110" w:line="264" w:lineRule="auto"/>
        <w:ind w:left="120"/>
      </w:pPr>
      <w:proofErr w:type="gramStart"/>
      <w:r>
        <w:rPr>
          <w:b/>
          <w:bCs/>
          <w:color w:val="0B5394"/>
          <w:sz w:val="17"/>
          <w:szCs w:val="17"/>
        </w:rPr>
        <w:t xml:space="preserve">INTERPRETATION  </w:t>
      </w:r>
      <w:r>
        <w:t>Denominator</w:t>
      </w:r>
      <w:proofErr w:type="gramEnd"/>
      <w:r>
        <w:t xml:space="preserve"> discipline is </w:t>
      </w:r>
      <w:r>
        <w:rPr>
          <w:b/>
          <w:bCs/>
        </w:rPr>
        <w:t>weak</w:t>
      </w:r>
      <w:r>
        <w:t>. The 100,000 figure is a target, not a defined addressable market. The summed annual targets (90,000) do not reconcile to the headline, and no document defines the total population of collateral-constrained smallholders the model could serve.</w:t>
      </w:r>
    </w:p>
    <w:p w14:paraId="74635A8C" w14:textId="77777777" w:rsidR="00BA3083" w:rsidRDefault="00000000">
      <w:pPr>
        <w:spacing w:after="110" w:line="264" w:lineRule="auto"/>
        <w:ind w:left="120"/>
      </w:pPr>
      <w:proofErr w:type="gramStart"/>
      <w:r>
        <w:rPr>
          <w:b/>
          <w:bCs/>
          <w:color w:val="6A1B9A"/>
          <w:sz w:val="17"/>
          <w:szCs w:val="17"/>
        </w:rPr>
        <w:t xml:space="preserve">JUDGEMENT  </w:t>
      </w:r>
      <w:r>
        <w:t>Theory</w:t>
      </w:r>
      <w:proofErr w:type="gramEnd"/>
      <w:r>
        <w:t xml:space="preserve"> of scaling = </w:t>
      </w:r>
      <w:r>
        <w:rPr>
          <w:b/>
          <w:bCs/>
        </w:rPr>
        <w:t>private-sector, market-systems, "crowd-in"</w:t>
      </w:r>
      <w:r>
        <w:t>: S4I catalytic funds strengthen tech + capacity + evidence → partners attract more financial institutions and bilateral finance → commercial growth continues after S4I. This is a coherent theory, but its load-bearing assumption (commercial self-sustainability of the insurance leg) is exactly the one with no supplied evidence.</w:t>
      </w:r>
    </w:p>
    <w:p w14:paraId="2295AD97" w14:textId="77777777" w:rsidR="00BA3083" w:rsidRDefault="00000000">
      <w:pPr>
        <w:pStyle w:val="Heading2"/>
        <w:spacing w:before="220" w:after="100"/>
      </w:pPr>
      <w:bookmarkStart w:id="10" w:name="_Toc234870960"/>
      <w:r>
        <w:t>3.2 Innovation package &amp; adoptability</w:t>
      </w:r>
      <w:bookmarkEnd w:id="10"/>
    </w:p>
    <w:p w14:paraId="63312F94" w14:textId="77777777" w:rsidR="00BA3083" w:rsidRDefault="00000000">
      <w:pPr>
        <w:spacing w:after="110" w:line="264" w:lineRule="auto"/>
        <w:ind w:left="120"/>
      </w:pPr>
      <w:proofErr w:type="gramStart"/>
      <w:r>
        <w:rPr>
          <w:b/>
          <w:bCs/>
          <w:color w:val="1B5E4F"/>
          <w:sz w:val="17"/>
          <w:szCs w:val="17"/>
        </w:rPr>
        <w:t xml:space="preserve">EVIDENCE  </w:t>
      </w:r>
      <w:r>
        <w:t>Package</w:t>
      </w:r>
      <w:proofErr w:type="gramEnd"/>
      <w:r>
        <w:t xml:space="preserve"> = digital credit-scoring (</w:t>
      </w:r>
      <w:proofErr w:type="spellStart"/>
      <w:r>
        <w:t>KhetScore</w:t>
      </w:r>
      <w:proofErr w:type="spellEnd"/>
      <w:r>
        <w:t>/TARA) + picture-based multi-peril insurance + agent onboarding + capacity building + (in India) FPO aggregation. Accessible to non-smartphone users via agents.</w:t>
      </w:r>
    </w:p>
    <w:p w14:paraId="70FB23AB" w14:textId="77777777" w:rsidR="00BA3083" w:rsidRDefault="00000000">
      <w:pPr>
        <w:spacing w:after="110" w:line="264" w:lineRule="auto"/>
        <w:ind w:left="120"/>
      </w:pPr>
      <w:proofErr w:type="gramStart"/>
      <w:r>
        <w:rPr>
          <w:b/>
          <w:bCs/>
          <w:color w:val="6A1B9A"/>
          <w:sz w:val="17"/>
          <w:szCs w:val="17"/>
        </w:rPr>
        <w:t xml:space="preserve">JUDGEMENT  </w:t>
      </w:r>
      <w:r>
        <w:t>Adoptability</w:t>
      </w:r>
      <w:proofErr w:type="gramEnd"/>
      <w:r>
        <w:t xml:space="preserve"> is </w:t>
      </w:r>
      <w:r>
        <w:rPr>
          <w:b/>
          <w:bCs/>
        </w:rPr>
        <w:t>well supported</w:t>
      </w:r>
      <w:r>
        <w:t>. Bundling insurance with credit is a genuinely clever design move: it solves insurance's adverse-selection and demand problems by attaching insurance to something farmers actively want (a loan). This is the track's strongest strategic feature.</w:t>
      </w:r>
    </w:p>
    <w:p w14:paraId="6D944E54" w14:textId="77777777" w:rsidR="00BA3083" w:rsidRDefault="00000000">
      <w:pPr>
        <w:pStyle w:val="Heading2"/>
        <w:spacing w:before="220" w:after="100"/>
      </w:pPr>
      <w:bookmarkStart w:id="11" w:name="_Toc234870961"/>
      <w:r>
        <w:t>3.3 Actor map &amp; incentive structure (scaling-system map)</w:t>
      </w:r>
      <w:bookmarkEnd w:id="11"/>
    </w:p>
    <w:tbl>
      <w:tblPr>
        <w:tblW w:w="9360" w:type="dxa"/>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left w:w="10" w:type="dxa"/>
          <w:right w:w="10" w:type="dxa"/>
        </w:tblCellMar>
        <w:tblLook w:val="04A0" w:firstRow="1" w:lastRow="0" w:firstColumn="1" w:lastColumn="0" w:noHBand="0" w:noVBand="1"/>
      </w:tblPr>
      <w:tblGrid>
        <w:gridCol w:w="1763"/>
        <w:gridCol w:w="2278"/>
        <w:gridCol w:w="1646"/>
        <w:gridCol w:w="3673"/>
      </w:tblGrid>
      <w:tr w:rsidR="00BA3083" w14:paraId="3582D568" w14:textId="77777777">
        <w:tblPrEx>
          <w:tblCellMar>
            <w:top w:w="0" w:type="dxa"/>
            <w:bottom w:w="0" w:type="dxa"/>
          </w:tblCellMar>
        </w:tblPrEx>
        <w:trPr>
          <w:tblHeader/>
        </w:trPr>
        <w:tc>
          <w:tcPr>
            <w:tcW w:w="1700" w:type="dxa"/>
            <w:shd w:val="clear" w:color="auto" w:fill="1B5E4F"/>
            <w:tcMar>
              <w:top w:w="60" w:type="dxa"/>
              <w:left w:w="90" w:type="dxa"/>
              <w:bottom w:w="60" w:type="dxa"/>
              <w:right w:w="90" w:type="dxa"/>
            </w:tcMar>
          </w:tcPr>
          <w:p w14:paraId="6D8DEC6A" w14:textId="77777777" w:rsidR="00BA3083" w:rsidRDefault="00000000">
            <w:pPr>
              <w:spacing w:after="20"/>
            </w:pPr>
            <w:r>
              <w:rPr>
                <w:b/>
                <w:bCs/>
                <w:color w:val="FFFFFF"/>
                <w:sz w:val="19"/>
                <w:szCs w:val="19"/>
              </w:rPr>
              <w:t>Function</w:t>
            </w:r>
          </w:p>
        </w:tc>
        <w:tc>
          <w:tcPr>
            <w:tcW w:w="2300" w:type="dxa"/>
            <w:shd w:val="clear" w:color="auto" w:fill="1B5E4F"/>
            <w:tcMar>
              <w:top w:w="60" w:type="dxa"/>
              <w:left w:w="90" w:type="dxa"/>
              <w:bottom w:w="60" w:type="dxa"/>
              <w:right w:w="90" w:type="dxa"/>
            </w:tcMar>
          </w:tcPr>
          <w:p w14:paraId="78B3A11B" w14:textId="77777777" w:rsidR="00BA3083" w:rsidRDefault="00000000">
            <w:pPr>
              <w:spacing w:after="20"/>
            </w:pPr>
            <w:r>
              <w:rPr>
                <w:b/>
                <w:bCs/>
                <w:color w:val="FFFFFF"/>
                <w:sz w:val="19"/>
                <w:szCs w:val="19"/>
              </w:rPr>
              <w:t>Actor</w:t>
            </w:r>
          </w:p>
        </w:tc>
        <w:tc>
          <w:tcPr>
            <w:tcW w:w="1650" w:type="dxa"/>
            <w:shd w:val="clear" w:color="auto" w:fill="1B5E4F"/>
            <w:tcMar>
              <w:top w:w="60" w:type="dxa"/>
              <w:left w:w="90" w:type="dxa"/>
              <w:bottom w:w="60" w:type="dxa"/>
              <w:right w:w="90" w:type="dxa"/>
            </w:tcMar>
          </w:tcPr>
          <w:p w14:paraId="1E3879BA" w14:textId="77777777" w:rsidR="00BA3083" w:rsidRDefault="00000000">
            <w:pPr>
              <w:spacing w:after="20"/>
            </w:pPr>
            <w:r>
              <w:rPr>
                <w:b/>
                <w:bCs/>
                <w:color w:val="FFFFFF"/>
                <w:sz w:val="19"/>
                <w:szCs w:val="19"/>
              </w:rPr>
              <w:t>Incentive</w:t>
            </w:r>
          </w:p>
        </w:tc>
        <w:tc>
          <w:tcPr>
            <w:tcW w:w="3710" w:type="dxa"/>
            <w:shd w:val="clear" w:color="auto" w:fill="1B5E4F"/>
            <w:tcMar>
              <w:top w:w="60" w:type="dxa"/>
              <w:left w:w="90" w:type="dxa"/>
              <w:bottom w:w="60" w:type="dxa"/>
              <w:right w:w="90" w:type="dxa"/>
            </w:tcMar>
          </w:tcPr>
          <w:p w14:paraId="77A2A437" w14:textId="77777777" w:rsidR="00BA3083" w:rsidRDefault="00000000">
            <w:pPr>
              <w:spacing w:after="20"/>
            </w:pPr>
            <w:r>
              <w:rPr>
                <w:b/>
                <w:bCs/>
                <w:color w:val="FFFFFF"/>
                <w:sz w:val="19"/>
                <w:szCs w:val="19"/>
              </w:rPr>
              <w:t>Risk</w:t>
            </w:r>
          </w:p>
        </w:tc>
      </w:tr>
      <w:tr w:rsidR="00BA3083" w14:paraId="6DF24B7E" w14:textId="77777777">
        <w:tblPrEx>
          <w:tblCellMar>
            <w:top w:w="0" w:type="dxa"/>
            <w:bottom w:w="0" w:type="dxa"/>
          </w:tblCellMar>
        </w:tblPrEx>
        <w:tc>
          <w:tcPr>
            <w:tcW w:w="1700" w:type="dxa"/>
            <w:tcMar>
              <w:top w:w="60" w:type="dxa"/>
              <w:left w:w="90" w:type="dxa"/>
              <w:bottom w:w="60" w:type="dxa"/>
              <w:right w:w="90" w:type="dxa"/>
            </w:tcMar>
          </w:tcPr>
          <w:p w14:paraId="7741C12F" w14:textId="77777777" w:rsidR="00BA3083" w:rsidRDefault="00000000">
            <w:pPr>
              <w:spacing w:after="20"/>
            </w:pPr>
            <w:r>
              <w:rPr>
                <w:sz w:val="19"/>
                <w:szCs w:val="19"/>
              </w:rPr>
              <w:t>Demand creation</w:t>
            </w:r>
          </w:p>
        </w:tc>
        <w:tc>
          <w:tcPr>
            <w:tcW w:w="2300" w:type="dxa"/>
            <w:tcMar>
              <w:top w:w="60" w:type="dxa"/>
              <w:left w:w="90" w:type="dxa"/>
              <w:bottom w:w="60" w:type="dxa"/>
              <w:right w:w="90" w:type="dxa"/>
            </w:tcMar>
          </w:tcPr>
          <w:p w14:paraId="309D1013" w14:textId="77777777" w:rsidR="00BA3083" w:rsidRDefault="00000000">
            <w:pPr>
              <w:spacing w:after="20"/>
            </w:pPr>
            <w:r>
              <w:rPr>
                <w:sz w:val="19"/>
                <w:szCs w:val="19"/>
              </w:rPr>
              <w:t>Agents + aggregators (MFIs/FPOs)</w:t>
            </w:r>
          </w:p>
        </w:tc>
        <w:tc>
          <w:tcPr>
            <w:tcW w:w="1650" w:type="dxa"/>
            <w:shd w:val="clear" w:color="auto" w:fill="FFF4D6"/>
            <w:tcMar>
              <w:top w:w="60" w:type="dxa"/>
              <w:left w:w="90" w:type="dxa"/>
              <w:bottom w:w="60" w:type="dxa"/>
              <w:right w:w="90" w:type="dxa"/>
            </w:tcMar>
          </w:tcPr>
          <w:p w14:paraId="147E873D" w14:textId="77777777" w:rsidR="00BA3083" w:rsidRDefault="00000000">
            <w:pPr>
              <w:spacing w:after="20"/>
            </w:pPr>
            <w:r>
              <w:rPr>
                <w:sz w:val="19"/>
                <w:szCs w:val="19"/>
              </w:rPr>
              <w:t>Medium</w:t>
            </w:r>
          </w:p>
        </w:tc>
        <w:tc>
          <w:tcPr>
            <w:tcW w:w="3710" w:type="dxa"/>
            <w:tcMar>
              <w:top w:w="60" w:type="dxa"/>
              <w:left w:w="90" w:type="dxa"/>
              <w:bottom w:w="60" w:type="dxa"/>
              <w:right w:w="90" w:type="dxa"/>
            </w:tcMar>
          </w:tcPr>
          <w:p w14:paraId="5516FCEF" w14:textId="77777777" w:rsidR="00BA3083" w:rsidRDefault="00000000">
            <w:pPr>
              <w:spacing w:after="20"/>
            </w:pPr>
            <w:r>
              <w:rPr>
                <w:sz w:val="19"/>
                <w:szCs w:val="19"/>
              </w:rPr>
              <w:t>Agent incentives/biases a "black box" (team's own words); may cream-skim best farmers</w:t>
            </w:r>
          </w:p>
        </w:tc>
      </w:tr>
      <w:tr w:rsidR="00BA3083" w14:paraId="7AC888AC" w14:textId="77777777">
        <w:tblPrEx>
          <w:tblCellMar>
            <w:top w:w="0" w:type="dxa"/>
            <w:bottom w:w="0" w:type="dxa"/>
          </w:tblCellMar>
        </w:tblPrEx>
        <w:tc>
          <w:tcPr>
            <w:tcW w:w="1700" w:type="dxa"/>
            <w:shd w:val="clear" w:color="auto" w:fill="F5F8F7"/>
            <w:tcMar>
              <w:top w:w="60" w:type="dxa"/>
              <w:left w:w="90" w:type="dxa"/>
              <w:bottom w:w="60" w:type="dxa"/>
              <w:right w:w="90" w:type="dxa"/>
            </w:tcMar>
          </w:tcPr>
          <w:p w14:paraId="0347057B" w14:textId="77777777" w:rsidR="00BA3083" w:rsidRDefault="00000000">
            <w:pPr>
              <w:spacing w:after="20"/>
            </w:pPr>
            <w:r>
              <w:rPr>
                <w:sz w:val="19"/>
                <w:szCs w:val="19"/>
              </w:rPr>
              <w:t>Delivery</w:t>
            </w:r>
          </w:p>
        </w:tc>
        <w:tc>
          <w:tcPr>
            <w:tcW w:w="2300" w:type="dxa"/>
            <w:shd w:val="clear" w:color="auto" w:fill="F5F8F7"/>
            <w:tcMar>
              <w:top w:w="60" w:type="dxa"/>
              <w:left w:w="90" w:type="dxa"/>
              <w:bottom w:w="60" w:type="dxa"/>
              <w:right w:w="90" w:type="dxa"/>
            </w:tcMar>
          </w:tcPr>
          <w:p w14:paraId="56A9F7F4" w14:textId="77777777" w:rsidR="00BA3083" w:rsidRDefault="00000000">
            <w:pPr>
              <w:spacing w:after="20"/>
            </w:pPr>
            <w:proofErr w:type="spellStart"/>
            <w:r>
              <w:rPr>
                <w:sz w:val="19"/>
                <w:szCs w:val="19"/>
              </w:rPr>
              <w:t>Dvara</w:t>
            </w:r>
            <w:proofErr w:type="spellEnd"/>
            <w:r>
              <w:rPr>
                <w:sz w:val="19"/>
                <w:szCs w:val="19"/>
              </w:rPr>
              <w:t xml:space="preserve"> (lends directly); ACRE (via lenders)</w:t>
            </w:r>
          </w:p>
        </w:tc>
        <w:tc>
          <w:tcPr>
            <w:tcW w:w="1650" w:type="dxa"/>
            <w:shd w:val="clear" w:color="auto" w:fill="DCEEE6"/>
            <w:tcMar>
              <w:top w:w="60" w:type="dxa"/>
              <w:left w:w="90" w:type="dxa"/>
              <w:bottom w:w="60" w:type="dxa"/>
              <w:right w:w="90" w:type="dxa"/>
            </w:tcMar>
          </w:tcPr>
          <w:p w14:paraId="519A354B" w14:textId="77777777" w:rsidR="00BA3083" w:rsidRDefault="00000000">
            <w:pPr>
              <w:spacing w:after="20"/>
            </w:pPr>
            <w:r>
              <w:rPr>
                <w:sz w:val="19"/>
                <w:szCs w:val="19"/>
              </w:rPr>
              <w:t>Strong</w:t>
            </w:r>
          </w:p>
        </w:tc>
        <w:tc>
          <w:tcPr>
            <w:tcW w:w="3710" w:type="dxa"/>
            <w:shd w:val="clear" w:color="auto" w:fill="F5F8F7"/>
            <w:tcMar>
              <w:top w:w="60" w:type="dxa"/>
              <w:left w:w="90" w:type="dxa"/>
              <w:bottom w:w="60" w:type="dxa"/>
              <w:right w:w="90" w:type="dxa"/>
            </w:tcMar>
          </w:tcPr>
          <w:p w14:paraId="23FB4D13" w14:textId="77777777" w:rsidR="00BA3083" w:rsidRDefault="00000000">
            <w:pPr>
              <w:spacing w:after="20"/>
            </w:pPr>
            <w:r>
              <w:rPr>
                <w:sz w:val="19"/>
                <w:szCs w:val="19"/>
              </w:rPr>
              <w:t>Two different models; Kenya slower as it works through partners</w:t>
            </w:r>
          </w:p>
        </w:tc>
      </w:tr>
      <w:tr w:rsidR="00BA3083" w14:paraId="73BA9594" w14:textId="77777777">
        <w:tblPrEx>
          <w:tblCellMar>
            <w:top w:w="0" w:type="dxa"/>
            <w:bottom w:w="0" w:type="dxa"/>
          </w:tblCellMar>
        </w:tblPrEx>
        <w:tc>
          <w:tcPr>
            <w:tcW w:w="1700" w:type="dxa"/>
            <w:tcMar>
              <w:top w:w="60" w:type="dxa"/>
              <w:left w:w="90" w:type="dxa"/>
              <w:bottom w:w="60" w:type="dxa"/>
              <w:right w:w="90" w:type="dxa"/>
            </w:tcMar>
          </w:tcPr>
          <w:p w14:paraId="7A302637" w14:textId="77777777" w:rsidR="00BA3083" w:rsidRDefault="00000000">
            <w:pPr>
              <w:spacing w:after="20"/>
            </w:pPr>
            <w:r>
              <w:rPr>
                <w:sz w:val="19"/>
                <w:szCs w:val="19"/>
              </w:rPr>
              <w:t>Financing (credit)</w:t>
            </w:r>
          </w:p>
        </w:tc>
        <w:tc>
          <w:tcPr>
            <w:tcW w:w="2300" w:type="dxa"/>
            <w:tcMar>
              <w:top w:w="60" w:type="dxa"/>
              <w:left w:w="90" w:type="dxa"/>
              <w:bottom w:w="60" w:type="dxa"/>
              <w:right w:w="90" w:type="dxa"/>
            </w:tcMar>
          </w:tcPr>
          <w:p w14:paraId="2437163A" w14:textId="77777777" w:rsidR="00BA3083" w:rsidRDefault="00000000">
            <w:pPr>
              <w:spacing w:after="20"/>
            </w:pPr>
            <w:r>
              <w:rPr>
                <w:sz w:val="19"/>
                <w:szCs w:val="19"/>
              </w:rPr>
              <w:t>MFIs, banks, social investors</w:t>
            </w:r>
          </w:p>
        </w:tc>
        <w:tc>
          <w:tcPr>
            <w:tcW w:w="1650" w:type="dxa"/>
            <w:shd w:val="clear" w:color="auto" w:fill="DCEEE6"/>
            <w:tcMar>
              <w:top w:w="60" w:type="dxa"/>
              <w:left w:w="90" w:type="dxa"/>
              <w:bottom w:w="60" w:type="dxa"/>
              <w:right w:w="90" w:type="dxa"/>
            </w:tcMar>
          </w:tcPr>
          <w:p w14:paraId="705C677D" w14:textId="77777777" w:rsidR="00BA3083" w:rsidRDefault="00000000">
            <w:pPr>
              <w:spacing w:after="20"/>
            </w:pPr>
            <w:r>
              <w:rPr>
                <w:sz w:val="19"/>
                <w:szCs w:val="19"/>
              </w:rPr>
              <w:t>Strong</w:t>
            </w:r>
          </w:p>
        </w:tc>
        <w:tc>
          <w:tcPr>
            <w:tcW w:w="3710" w:type="dxa"/>
            <w:tcMar>
              <w:top w:w="60" w:type="dxa"/>
              <w:left w:w="90" w:type="dxa"/>
              <w:bottom w:w="60" w:type="dxa"/>
              <w:right w:w="90" w:type="dxa"/>
            </w:tcMar>
          </w:tcPr>
          <w:p w14:paraId="23FB1DFF" w14:textId="77777777" w:rsidR="00BA3083" w:rsidRDefault="00000000">
            <w:pPr>
              <w:spacing w:after="20"/>
            </w:pPr>
            <w:r>
              <w:rPr>
                <w:sz w:val="19"/>
                <w:szCs w:val="19"/>
              </w:rPr>
              <w:t>Works where climate risk can be priced; capital exists</w:t>
            </w:r>
          </w:p>
        </w:tc>
      </w:tr>
      <w:tr w:rsidR="00BA3083" w14:paraId="1FF80BE4" w14:textId="77777777">
        <w:tblPrEx>
          <w:tblCellMar>
            <w:top w:w="0" w:type="dxa"/>
            <w:bottom w:w="0" w:type="dxa"/>
          </w:tblCellMar>
        </w:tblPrEx>
        <w:tc>
          <w:tcPr>
            <w:tcW w:w="1700" w:type="dxa"/>
            <w:shd w:val="clear" w:color="auto" w:fill="F5F8F7"/>
            <w:tcMar>
              <w:top w:w="60" w:type="dxa"/>
              <w:left w:w="90" w:type="dxa"/>
              <w:bottom w:w="60" w:type="dxa"/>
              <w:right w:w="90" w:type="dxa"/>
            </w:tcMar>
          </w:tcPr>
          <w:p w14:paraId="580935B7" w14:textId="77777777" w:rsidR="00BA3083" w:rsidRDefault="00000000">
            <w:pPr>
              <w:spacing w:after="20"/>
            </w:pPr>
            <w:r>
              <w:rPr>
                <w:sz w:val="19"/>
                <w:szCs w:val="19"/>
              </w:rPr>
              <w:t>Financing (insurance pool)</w:t>
            </w:r>
          </w:p>
        </w:tc>
        <w:tc>
          <w:tcPr>
            <w:tcW w:w="2300" w:type="dxa"/>
            <w:shd w:val="clear" w:color="auto" w:fill="F5F8F7"/>
            <w:tcMar>
              <w:top w:w="60" w:type="dxa"/>
              <w:left w:w="90" w:type="dxa"/>
              <w:bottom w:w="60" w:type="dxa"/>
              <w:right w:w="90" w:type="dxa"/>
            </w:tcMar>
          </w:tcPr>
          <w:p w14:paraId="745E9D58" w14:textId="77777777" w:rsidR="00BA3083" w:rsidRDefault="00000000">
            <w:pPr>
              <w:spacing w:after="20"/>
            </w:pPr>
            <w:r>
              <w:rPr>
                <w:sz w:val="19"/>
                <w:szCs w:val="19"/>
              </w:rPr>
              <w:t>Insurers (APA, Britam, HDFC/Tata AIG); reinsurer Zep-Re</w:t>
            </w:r>
          </w:p>
        </w:tc>
        <w:tc>
          <w:tcPr>
            <w:tcW w:w="1650" w:type="dxa"/>
            <w:shd w:val="clear" w:color="auto" w:fill="F5D6DB"/>
            <w:tcMar>
              <w:top w:w="60" w:type="dxa"/>
              <w:left w:w="90" w:type="dxa"/>
              <w:bottom w:w="60" w:type="dxa"/>
              <w:right w:w="90" w:type="dxa"/>
            </w:tcMar>
          </w:tcPr>
          <w:p w14:paraId="6CC74070" w14:textId="77777777" w:rsidR="00BA3083" w:rsidRDefault="00000000">
            <w:pPr>
              <w:spacing w:after="20"/>
            </w:pPr>
            <w:r>
              <w:rPr>
                <w:sz w:val="19"/>
                <w:szCs w:val="19"/>
              </w:rPr>
              <w:t>Weak/unproven</w:t>
            </w:r>
          </w:p>
        </w:tc>
        <w:tc>
          <w:tcPr>
            <w:tcW w:w="3710" w:type="dxa"/>
            <w:shd w:val="clear" w:color="auto" w:fill="F5F8F7"/>
            <w:tcMar>
              <w:top w:w="60" w:type="dxa"/>
              <w:left w:w="90" w:type="dxa"/>
              <w:bottom w:w="60" w:type="dxa"/>
              <w:right w:w="90" w:type="dxa"/>
            </w:tcMar>
          </w:tcPr>
          <w:p w14:paraId="32FFF21D" w14:textId="77777777" w:rsidR="00BA3083" w:rsidRDefault="00000000">
            <w:pPr>
              <w:spacing w:after="20"/>
            </w:pPr>
            <w:r>
              <w:rPr>
                <w:sz w:val="19"/>
                <w:szCs w:val="19"/>
              </w:rPr>
              <w:t>Viability needs 0.5–1m farmers (Syngenta precedent); no pool math supplied</w:t>
            </w:r>
          </w:p>
        </w:tc>
      </w:tr>
      <w:tr w:rsidR="00BA3083" w14:paraId="1C433A77" w14:textId="77777777">
        <w:tblPrEx>
          <w:tblCellMar>
            <w:top w:w="0" w:type="dxa"/>
            <w:bottom w:w="0" w:type="dxa"/>
          </w:tblCellMar>
        </w:tblPrEx>
        <w:tc>
          <w:tcPr>
            <w:tcW w:w="1700" w:type="dxa"/>
            <w:tcMar>
              <w:top w:w="60" w:type="dxa"/>
              <w:left w:w="90" w:type="dxa"/>
              <w:bottom w:w="60" w:type="dxa"/>
              <w:right w:w="90" w:type="dxa"/>
            </w:tcMar>
          </w:tcPr>
          <w:p w14:paraId="09ECFD01" w14:textId="77777777" w:rsidR="00BA3083" w:rsidRDefault="00000000">
            <w:pPr>
              <w:spacing w:after="20"/>
            </w:pPr>
            <w:r>
              <w:rPr>
                <w:sz w:val="19"/>
                <w:szCs w:val="19"/>
              </w:rPr>
              <w:t>Subsidy / de-risking</w:t>
            </w:r>
          </w:p>
        </w:tc>
        <w:tc>
          <w:tcPr>
            <w:tcW w:w="2300" w:type="dxa"/>
            <w:tcMar>
              <w:top w:w="60" w:type="dxa"/>
              <w:left w:w="90" w:type="dxa"/>
              <w:bottom w:w="60" w:type="dxa"/>
              <w:right w:w="90" w:type="dxa"/>
            </w:tcMar>
          </w:tcPr>
          <w:p w14:paraId="63B2B44D" w14:textId="77777777" w:rsidR="00BA3083" w:rsidRDefault="00000000">
            <w:pPr>
              <w:spacing w:after="20"/>
            </w:pPr>
            <w:r>
              <w:rPr>
                <w:sz w:val="19"/>
                <w:szCs w:val="19"/>
              </w:rPr>
              <w:t xml:space="preserve">S4I + "to-be-found" </w:t>
            </w:r>
            <w:proofErr w:type="spellStart"/>
            <w:r>
              <w:rPr>
                <w:sz w:val="19"/>
                <w:szCs w:val="19"/>
              </w:rPr>
              <w:t>bilaterals</w:t>
            </w:r>
            <w:proofErr w:type="spellEnd"/>
          </w:p>
        </w:tc>
        <w:tc>
          <w:tcPr>
            <w:tcW w:w="1650" w:type="dxa"/>
            <w:shd w:val="clear" w:color="auto" w:fill="F5D6DB"/>
            <w:tcMar>
              <w:top w:w="60" w:type="dxa"/>
              <w:left w:w="90" w:type="dxa"/>
              <w:bottom w:w="60" w:type="dxa"/>
              <w:right w:w="90" w:type="dxa"/>
            </w:tcMar>
          </w:tcPr>
          <w:p w14:paraId="59BBDCDE" w14:textId="77777777" w:rsidR="00BA3083" w:rsidRDefault="00000000">
            <w:pPr>
              <w:spacing w:after="20"/>
            </w:pPr>
            <w:r>
              <w:rPr>
                <w:sz w:val="19"/>
                <w:szCs w:val="19"/>
              </w:rPr>
              <w:t>Weak</w:t>
            </w:r>
          </w:p>
        </w:tc>
        <w:tc>
          <w:tcPr>
            <w:tcW w:w="3710" w:type="dxa"/>
            <w:tcMar>
              <w:top w:w="60" w:type="dxa"/>
              <w:left w:w="90" w:type="dxa"/>
              <w:bottom w:w="60" w:type="dxa"/>
              <w:right w:w="90" w:type="dxa"/>
            </w:tcMar>
          </w:tcPr>
          <w:p w14:paraId="171503E6" w14:textId="77777777" w:rsidR="00BA3083" w:rsidRDefault="00000000">
            <w:pPr>
              <w:spacing w:after="20"/>
            </w:pPr>
            <w:r>
              <w:rPr>
                <w:sz w:val="19"/>
                <w:szCs w:val="19"/>
              </w:rPr>
              <w:t>Who funds subsidies/FLDGs at 100k+ scale is unknown</w:t>
            </w:r>
          </w:p>
        </w:tc>
      </w:tr>
      <w:tr w:rsidR="00BA3083" w14:paraId="453590DC" w14:textId="77777777">
        <w:tblPrEx>
          <w:tblCellMar>
            <w:top w:w="0" w:type="dxa"/>
            <w:bottom w:w="0" w:type="dxa"/>
          </w:tblCellMar>
        </w:tblPrEx>
        <w:tc>
          <w:tcPr>
            <w:tcW w:w="1700" w:type="dxa"/>
            <w:shd w:val="clear" w:color="auto" w:fill="F5F8F7"/>
            <w:tcMar>
              <w:top w:w="60" w:type="dxa"/>
              <w:left w:w="90" w:type="dxa"/>
              <w:bottom w:w="60" w:type="dxa"/>
              <w:right w:w="90" w:type="dxa"/>
            </w:tcMar>
          </w:tcPr>
          <w:p w14:paraId="5A26ABA4" w14:textId="77777777" w:rsidR="00BA3083" w:rsidRDefault="00000000">
            <w:pPr>
              <w:spacing w:after="20"/>
            </w:pPr>
            <w:r>
              <w:rPr>
                <w:sz w:val="19"/>
                <w:szCs w:val="19"/>
              </w:rPr>
              <w:t>Coordination</w:t>
            </w:r>
          </w:p>
        </w:tc>
        <w:tc>
          <w:tcPr>
            <w:tcW w:w="2300" w:type="dxa"/>
            <w:shd w:val="clear" w:color="auto" w:fill="F5F8F7"/>
            <w:tcMar>
              <w:top w:w="60" w:type="dxa"/>
              <w:left w:w="90" w:type="dxa"/>
              <w:bottom w:w="60" w:type="dxa"/>
              <w:right w:w="90" w:type="dxa"/>
            </w:tcMar>
          </w:tcPr>
          <w:p w14:paraId="18938633" w14:textId="77777777" w:rsidR="00BA3083" w:rsidRDefault="00000000">
            <w:pPr>
              <w:spacing w:after="20"/>
            </w:pPr>
            <w:r>
              <w:rPr>
                <w:sz w:val="19"/>
                <w:szCs w:val="19"/>
              </w:rPr>
              <w:t>IFPRI + Alliance (CGIAR)</w:t>
            </w:r>
          </w:p>
        </w:tc>
        <w:tc>
          <w:tcPr>
            <w:tcW w:w="1650" w:type="dxa"/>
            <w:shd w:val="clear" w:color="auto" w:fill="FFF4D6"/>
            <w:tcMar>
              <w:top w:w="60" w:type="dxa"/>
              <w:left w:w="90" w:type="dxa"/>
              <w:bottom w:w="60" w:type="dxa"/>
              <w:right w:w="90" w:type="dxa"/>
            </w:tcMar>
          </w:tcPr>
          <w:p w14:paraId="6E902146" w14:textId="77777777" w:rsidR="00BA3083" w:rsidRDefault="00000000">
            <w:pPr>
              <w:spacing w:after="20"/>
            </w:pPr>
            <w:r>
              <w:rPr>
                <w:sz w:val="19"/>
                <w:szCs w:val="19"/>
              </w:rPr>
              <w:t>Medium</w:t>
            </w:r>
          </w:p>
        </w:tc>
        <w:tc>
          <w:tcPr>
            <w:tcW w:w="3710" w:type="dxa"/>
            <w:shd w:val="clear" w:color="auto" w:fill="F5F8F7"/>
            <w:tcMar>
              <w:top w:w="60" w:type="dxa"/>
              <w:left w:w="90" w:type="dxa"/>
              <w:bottom w:w="60" w:type="dxa"/>
              <w:right w:w="90" w:type="dxa"/>
            </w:tcMar>
          </w:tcPr>
          <w:p w14:paraId="2A5976F6" w14:textId="77777777" w:rsidR="00BA3083" w:rsidRDefault="00000000">
            <w:pPr>
              <w:spacing w:after="20"/>
            </w:pPr>
            <w:r>
              <w:rPr>
                <w:sz w:val="19"/>
                <w:szCs w:val="19"/>
              </w:rPr>
              <w:t>CGIAR role is catalytic/temporary by design — exit risk</w:t>
            </w:r>
          </w:p>
        </w:tc>
      </w:tr>
      <w:tr w:rsidR="00BA3083" w14:paraId="4164DA7F" w14:textId="77777777">
        <w:tblPrEx>
          <w:tblCellMar>
            <w:top w:w="0" w:type="dxa"/>
            <w:bottom w:w="0" w:type="dxa"/>
          </w:tblCellMar>
        </w:tblPrEx>
        <w:tc>
          <w:tcPr>
            <w:tcW w:w="1700" w:type="dxa"/>
            <w:tcMar>
              <w:top w:w="60" w:type="dxa"/>
              <w:left w:w="90" w:type="dxa"/>
              <w:bottom w:w="60" w:type="dxa"/>
              <w:right w:w="90" w:type="dxa"/>
            </w:tcMar>
          </w:tcPr>
          <w:p w14:paraId="33032B6E" w14:textId="77777777" w:rsidR="00BA3083" w:rsidRDefault="00000000">
            <w:pPr>
              <w:spacing w:after="20"/>
            </w:pPr>
            <w:r>
              <w:rPr>
                <w:sz w:val="19"/>
                <w:szCs w:val="19"/>
              </w:rPr>
              <w:t>Policy support</w:t>
            </w:r>
          </w:p>
        </w:tc>
        <w:tc>
          <w:tcPr>
            <w:tcW w:w="2300" w:type="dxa"/>
            <w:tcMar>
              <w:top w:w="60" w:type="dxa"/>
              <w:left w:w="90" w:type="dxa"/>
              <w:bottom w:w="60" w:type="dxa"/>
              <w:right w:w="90" w:type="dxa"/>
            </w:tcMar>
          </w:tcPr>
          <w:p w14:paraId="1BA5D6D5" w14:textId="77777777" w:rsidR="00BA3083" w:rsidRDefault="00000000">
            <w:pPr>
              <w:spacing w:after="20"/>
            </w:pPr>
            <w:r>
              <w:rPr>
                <w:sz w:val="19"/>
                <w:szCs w:val="19"/>
              </w:rPr>
              <w:t>Ministries of Ag (not engaged)</w:t>
            </w:r>
          </w:p>
        </w:tc>
        <w:tc>
          <w:tcPr>
            <w:tcW w:w="1650" w:type="dxa"/>
            <w:shd w:val="clear" w:color="auto" w:fill="FFF4D6"/>
            <w:tcMar>
              <w:top w:w="60" w:type="dxa"/>
              <w:left w:w="90" w:type="dxa"/>
              <w:bottom w:w="60" w:type="dxa"/>
              <w:right w:w="90" w:type="dxa"/>
            </w:tcMar>
          </w:tcPr>
          <w:p w14:paraId="442F61E0" w14:textId="77777777" w:rsidR="00BA3083" w:rsidRDefault="00000000">
            <w:pPr>
              <w:spacing w:after="20"/>
            </w:pPr>
            <w:r>
              <w:rPr>
                <w:sz w:val="19"/>
                <w:szCs w:val="19"/>
              </w:rPr>
              <w:t>Deferred</w:t>
            </w:r>
          </w:p>
        </w:tc>
        <w:tc>
          <w:tcPr>
            <w:tcW w:w="3710" w:type="dxa"/>
            <w:tcMar>
              <w:top w:w="60" w:type="dxa"/>
              <w:left w:w="90" w:type="dxa"/>
              <w:bottom w:w="60" w:type="dxa"/>
              <w:right w:w="90" w:type="dxa"/>
            </w:tcMar>
          </w:tcPr>
          <w:p w14:paraId="68CAA690" w14:textId="77777777" w:rsidR="00BA3083" w:rsidRDefault="00000000">
            <w:pPr>
              <w:spacing w:after="20"/>
            </w:pPr>
            <w:r>
              <w:rPr>
                <w:sz w:val="19"/>
                <w:szCs w:val="19"/>
              </w:rPr>
              <w:t>Deliberately deferred; may cap ceiling of private-only pathway</w:t>
            </w:r>
          </w:p>
        </w:tc>
      </w:tr>
      <w:tr w:rsidR="00BA3083" w14:paraId="3514A238" w14:textId="77777777">
        <w:tblPrEx>
          <w:tblCellMar>
            <w:top w:w="0" w:type="dxa"/>
            <w:bottom w:w="0" w:type="dxa"/>
          </w:tblCellMar>
        </w:tblPrEx>
        <w:tc>
          <w:tcPr>
            <w:tcW w:w="1700" w:type="dxa"/>
            <w:shd w:val="clear" w:color="auto" w:fill="F5F8F7"/>
            <w:tcMar>
              <w:top w:w="60" w:type="dxa"/>
              <w:left w:w="90" w:type="dxa"/>
              <w:bottom w:w="60" w:type="dxa"/>
              <w:right w:w="90" w:type="dxa"/>
            </w:tcMar>
          </w:tcPr>
          <w:p w14:paraId="551F2176" w14:textId="77777777" w:rsidR="00BA3083" w:rsidRDefault="00000000">
            <w:pPr>
              <w:spacing w:after="20"/>
            </w:pPr>
            <w:r>
              <w:rPr>
                <w:sz w:val="19"/>
                <w:szCs w:val="19"/>
              </w:rPr>
              <w:t>Learning/adaptation</w:t>
            </w:r>
          </w:p>
        </w:tc>
        <w:tc>
          <w:tcPr>
            <w:tcW w:w="2300" w:type="dxa"/>
            <w:shd w:val="clear" w:color="auto" w:fill="F5F8F7"/>
            <w:tcMar>
              <w:top w:w="60" w:type="dxa"/>
              <w:left w:w="90" w:type="dxa"/>
              <w:bottom w:w="60" w:type="dxa"/>
              <w:right w:w="90" w:type="dxa"/>
            </w:tcMar>
          </w:tcPr>
          <w:p w14:paraId="26539837" w14:textId="77777777" w:rsidR="00BA3083" w:rsidRDefault="00000000">
            <w:pPr>
              <w:spacing w:after="20"/>
            </w:pPr>
            <w:r>
              <w:rPr>
                <w:sz w:val="19"/>
                <w:szCs w:val="19"/>
              </w:rPr>
              <w:t>CGIAR MELIA + AoW5</w:t>
            </w:r>
          </w:p>
        </w:tc>
        <w:tc>
          <w:tcPr>
            <w:tcW w:w="1650" w:type="dxa"/>
            <w:shd w:val="clear" w:color="auto" w:fill="DCEEE6"/>
            <w:tcMar>
              <w:top w:w="60" w:type="dxa"/>
              <w:left w:w="90" w:type="dxa"/>
              <w:bottom w:w="60" w:type="dxa"/>
              <w:right w:w="90" w:type="dxa"/>
            </w:tcMar>
          </w:tcPr>
          <w:p w14:paraId="7003427B" w14:textId="77777777" w:rsidR="00BA3083" w:rsidRDefault="00000000">
            <w:pPr>
              <w:spacing w:after="20"/>
            </w:pPr>
            <w:r>
              <w:rPr>
                <w:sz w:val="19"/>
                <w:szCs w:val="19"/>
              </w:rPr>
              <w:t>Strong</w:t>
            </w:r>
          </w:p>
        </w:tc>
        <w:tc>
          <w:tcPr>
            <w:tcW w:w="3710" w:type="dxa"/>
            <w:shd w:val="clear" w:color="auto" w:fill="F5F8F7"/>
            <w:tcMar>
              <w:top w:w="60" w:type="dxa"/>
              <w:left w:w="90" w:type="dxa"/>
              <w:bottom w:w="60" w:type="dxa"/>
              <w:right w:w="90" w:type="dxa"/>
            </w:tcMar>
          </w:tcPr>
          <w:p w14:paraId="481A53FB" w14:textId="77777777" w:rsidR="00BA3083" w:rsidRDefault="00000000">
            <w:pPr>
              <w:spacing w:after="20"/>
            </w:pPr>
            <w:r>
              <w:rPr>
                <w:sz w:val="19"/>
                <w:szCs w:val="19"/>
              </w:rPr>
              <w:t>Embedded MELIA is a genuine strength</w:t>
            </w:r>
          </w:p>
        </w:tc>
      </w:tr>
    </w:tbl>
    <w:p w14:paraId="73A0169B" w14:textId="77777777" w:rsidR="00BA3083" w:rsidRDefault="00000000">
      <w:pPr>
        <w:pStyle w:val="Heading2"/>
        <w:spacing w:before="220" w:after="100"/>
      </w:pPr>
      <w:bookmarkStart w:id="12" w:name="_Toc234870962"/>
      <w:r>
        <w:t>3.4 Demand analysis — five distinct demands</w:t>
      </w:r>
      <w:bookmarkEnd w:id="12"/>
    </w:p>
    <w:p w14:paraId="5F903776" w14:textId="77777777" w:rsidR="00BA3083" w:rsidRDefault="00000000">
      <w:pPr>
        <w:spacing w:after="110" w:line="264" w:lineRule="auto"/>
        <w:ind w:left="120"/>
      </w:pPr>
      <w:proofErr w:type="gramStart"/>
      <w:r>
        <w:rPr>
          <w:b/>
          <w:bCs/>
          <w:color w:val="8A6D00"/>
          <w:sz w:val="17"/>
          <w:szCs w:val="17"/>
        </w:rPr>
        <w:lastRenderedPageBreak/>
        <w:t xml:space="preserve">RECOMMENDATION  </w:t>
      </w:r>
      <w:r>
        <w:t>Kohl's</w:t>
      </w:r>
      <w:proofErr w:type="gramEnd"/>
      <w:r>
        <w:t xml:space="preserve"> method requires not assuming one demand implies another. They must be separated:</w:t>
      </w:r>
    </w:p>
    <w:tbl>
      <w:tblPr>
        <w:tblW w:w="9360" w:type="dxa"/>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left w:w="10" w:type="dxa"/>
          <w:right w:w="10" w:type="dxa"/>
        </w:tblCellMar>
        <w:tblLook w:val="04A0" w:firstRow="1" w:lastRow="0" w:firstColumn="1" w:lastColumn="0" w:noHBand="0" w:noVBand="1"/>
      </w:tblPr>
      <w:tblGrid>
        <w:gridCol w:w="2100"/>
        <w:gridCol w:w="4100"/>
        <w:gridCol w:w="3160"/>
      </w:tblGrid>
      <w:tr w:rsidR="00BA3083" w14:paraId="6C2FAFAE" w14:textId="77777777">
        <w:tblPrEx>
          <w:tblCellMar>
            <w:top w:w="0" w:type="dxa"/>
            <w:bottom w:w="0" w:type="dxa"/>
          </w:tblCellMar>
        </w:tblPrEx>
        <w:trPr>
          <w:tblHeader/>
        </w:trPr>
        <w:tc>
          <w:tcPr>
            <w:tcW w:w="2100" w:type="dxa"/>
            <w:shd w:val="clear" w:color="auto" w:fill="1B5E4F"/>
            <w:tcMar>
              <w:top w:w="60" w:type="dxa"/>
              <w:left w:w="90" w:type="dxa"/>
              <w:bottom w:w="60" w:type="dxa"/>
              <w:right w:w="90" w:type="dxa"/>
            </w:tcMar>
          </w:tcPr>
          <w:p w14:paraId="3AAC8D26" w14:textId="77777777" w:rsidR="00BA3083" w:rsidRDefault="00000000">
            <w:pPr>
              <w:spacing w:after="20"/>
            </w:pPr>
            <w:r>
              <w:rPr>
                <w:b/>
                <w:bCs/>
                <w:color w:val="FFFFFF"/>
                <w:sz w:val="19"/>
                <w:szCs w:val="19"/>
              </w:rPr>
              <w:t>Demand type</w:t>
            </w:r>
          </w:p>
        </w:tc>
        <w:tc>
          <w:tcPr>
            <w:tcW w:w="4100" w:type="dxa"/>
            <w:shd w:val="clear" w:color="auto" w:fill="1B5E4F"/>
            <w:tcMar>
              <w:top w:w="60" w:type="dxa"/>
              <w:left w:w="90" w:type="dxa"/>
              <w:bottom w:w="60" w:type="dxa"/>
              <w:right w:w="90" w:type="dxa"/>
            </w:tcMar>
          </w:tcPr>
          <w:p w14:paraId="08AFB822" w14:textId="77777777" w:rsidR="00BA3083" w:rsidRDefault="00000000">
            <w:pPr>
              <w:spacing w:after="20"/>
            </w:pPr>
            <w:r>
              <w:rPr>
                <w:b/>
                <w:bCs/>
                <w:color w:val="FFFFFF"/>
                <w:sz w:val="19"/>
                <w:szCs w:val="19"/>
              </w:rPr>
              <w:t>Evidence status</w:t>
            </w:r>
          </w:p>
        </w:tc>
        <w:tc>
          <w:tcPr>
            <w:tcW w:w="3160" w:type="dxa"/>
            <w:shd w:val="clear" w:color="auto" w:fill="1B5E4F"/>
            <w:tcMar>
              <w:top w:w="60" w:type="dxa"/>
              <w:left w:w="90" w:type="dxa"/>
              <w:bottom w:w="60" w:type="dxa"/>
              <w:right w:w="90" w:type="dxa"/>
            </w:tcMar>
          </w:tcPr>
          <w:p w14:paraId="5837B536" w14:textId="77777777" w:rsidR="00BA3083" w:rsidRDefault="00000000">
            <w:pPr>
              <w:spacing w:after="20"/>
            </w:pPr>
            <w:r>
              <w:rPr>
                <w:b/>
                <w:bCs/>
                <w:color w:val="FFFFFF"/>
                <w:sz w:val="19"/>
                <w:szCs w:val="19"/>
              </w:rPr>
              <w:t>Verdict</w:t>
            </w:r>
          </w:p>
        </w:tc>
      </w:tr>
      <w:tr w:rsidR="00BA3083" w14:paraId="1E3C3C67" w14:textId="77777777">
        <w:tblPrEx>
          <w:tblCellMar>
            <w:top w:w="0" w:type="dxa"/>
            <w:bottom w:w="0" w:type="dxa"/>
          </w:tblCellMar>
        </w:tblPrEx>
        <w:tc>
          <w:tcPr>
            <w:tcW w:w="2100" w:type="dxa"/>
            <w:tcMar>
              <w:top w:w="60" w:type="dxa"/>
              <w:left w:w="90" w:type="dxa"/>
              <w:bottom w:w="60" w:type="dxa"/>
              <w:right w:w="90" w:type="dxa"/>
            </w:tcMar>
          </w:tcPr>
          <w:p w14:paraId="7C73A8F5" w14:textId="77777777" w:rsidR="00BA3083" w:rsidRDefault="00000000">
            <w:pPr>
              <w:spacing w:after="20"/>
            </w:pPr>
            <w:r>
              <w:rPr>
                <w:sz w:val="19"/>
                <w:szCs w:val="19"/>
              </w:rPr>
              <w:t>User (farmer)</w:t>
            </w:r>
          </w:p>
        </w:tc>
        <w:tc>
          <w:tcPr>
            <w:tcW w:w="4100" w:type="dxa"/>
            <w:tcMar>
              <w:top w:w="60" w:type="dxa"/>
              <w:left w:w="90" w:type="dxa"/>
              <w:bottom w:w="60" w:type="dxa"/>
              <w:right w:w="90" w:type="dxa"/>
            </w:tcMar>
          </w:tcPr>
          <w:p w14:paraId="7C25BDDB" w14:textId="77777777" w:rsidR="00BA3083" w:rsidRDefault="00000000">
            <w:pPr>
              <w:spacing w:after="20"/>
            </w:pPr>
            <w:r>
              <w:rPr>
                <w:sz w:val="19"/>
                <w:szCs w:val="19"/>
              </w:rPr>
              <w:t>RCT-validated; especially strong among women</w:t>
            </w:r>
          </w:p>
        </w:tc>
        <w:tc>
          <w:tcPr>
            <w:tcW w:w="3160" w:type="dxa"/>
            <w:tcMar>
              <w:top w:w="60" w:type="dxa"/>
              <w:left w:w="90" w:type="dxa"/>
              <w:bottom w:w="60" w:type="dxa"/>
              <w:right w:w="90" w:type="dxa"/>
            </w:tcMar>
          </w:tcPr>
          <w:p w14:paraId="4EF16854" w14:textId="77777777" w:rsidR="00BA3083" w:rsidRDefault="00000000">
            <w:pPr>
              <w:spacing w:after="20"/>
            </w:pPr>
            <w:r>
              <w:rPr>
                <w:b/>
                <w:bCs/>
                <w:color w:val="1B5E4F"/>
                <w:sz w:val="19"/>
                <w:szCs w:val="19"/>
              </w:rPr>
              <w:t>Well supported</w:t>
            </w:r>
          </w:p>
        </w:tc>
      </w:tr>
      <w:tr w:rsidR="00BA3083" w14:paraId="30F85BEB" w14:textId="77777777">
        <w:tblPrEx>
          <w:tblCellMar>
            <w:top w:w="0" w:type="dxa"/>
            <w:bottom w:w="0" w:type="dxa"/>
          </w:tblCellMar>
        </w:tblPrEx>
        <w:tc>
          <w:tcPr>
            <w:tcW w:w="2100" w:type="dxa"/>
            <w:shd w:val="clear" w:color="auto" w:fill="F5F8F7"/>
            <w:tcMar>
              <w:top w:w="60" w:type="dxa"/>
              <w:left w:w="90" w:type="dxa"/>
              <w:bottom w:w="60" w:type="dxa"/>
              <w:right w:w="90" w:type="dxa"/>
            </w:tcMar>
          </w:tcPr>
          <w:p w14:paraId="07E605C0" w14:textId="77777777" w:rsidR="00BA3083" w:rsidRDefault="00000000">
            <w:pPr>
              <w:spacing w:after="20"/>
            </w:pPr>
            <w:r>
              <w:rPr>
                <w:sz w:val="19"/>
                <w:szCs w:val="19"/>
              </w:rPr>
              <w:t>Market (aggregators)</w:t>
            </w:r>
          </w:p>
        </w:tc>
        <w:tc>
          <w:tcPr>
            <w:tcW w:w="4100" w:type="dxa"/>
            <w:shd w:val="clear" w:color="auto" w:fill="F5F8F7"/>
            <w:tcMar>
              <w:top w:w="60" w:type="dxa"/>
              <w:left w:w="90" w:type="dxa"/>
              <w:bottom w:w="60" w:type="dxa"/>
              <w:right w:w="90" w:type="dxa"/>
            </w:tcMar>
          </w:tcPr>
          <w:p w14:paraId="1E77516C" w14:textId="77777777" w:rsidR="00BA3083" w:rsidRDefault="00000000">
            <w:pPr>
              <w:spacing w:after="20"/>
            </w:pPr>
            <w:r>
              <w:rPr>
                <w:sz w:val="19"/>
                <w:szCs w:val="19"/>
              </w:rPr>
              <w:t>Plausible revenue logic (input sales, farmer welfare); not measured</w:t>
            </w:r>
          </w:p>
        </w:tc>
        <w:tc>
          <w:tcPr>
            <w:tcW w:w="3160" w:type="dxa"/>
            <w:shd w:val="clear" w:color="auto" w:fill="F5F8F7"/>
            <w:tcMar>
              <w:top w:w="60" w:type="dxa"/>
              <w:left w:w="90" w:type="dxa"/>
              <w:bottom w:w="60" w:type="dxa"/>
              <w:right w:w="90" w:type="dxa"/>
            </w:tcMar>
          </w:tcPr>
          <w:p w14:paraId="627B5853" w14:textId="77777777" w:rsidR="00BA3083" w:rsidRDefault="00000000">
            <w:pPr>
              <w:spacing w:after="20"/>
            </w:pPr>
            <w:r>
              <w:rPr>
                <w:b/>
                <w:bCs/>
                <w:color w:val="8A6D00"/>
                <w:sz w:val="19"/>
                <w:szCs w:val="19"/>
              </w:rPr>
              <w:t>Emerging</w:t>
            </w:r>
          </w:p>
        </w:tc>
      </w:tr>
      <w:tr w:rsidR="00BA3083" w14:paraId="01B276BE" w14:textId="77777777">
        <w:tblPrEx>
          <w:tblCellMar>
            <w:top w:w="0" w:type="dxa"/>
            <w:bottom w:w="0" w:type="dxa"/>
          </w:tblCellMar>
        </w:tblPrEx>
        <w:tc>
          <w:tcPr>
            <w:tcW w:w="2100" w:type="dxa"/>
            <w:tcMar>
              <w:top w:w="60" w:type="dxa"/>
              <w:left w:w="90" w:type="dxa"/>
              <w:bottom w:w="60" w:type="dxa"/>
              <w:right w:w="90" w:type="dxa"/>
            </w:tcMar>
          </w:tcPr>
          <w:p w14:paraId="42EB1233" w14:textId="77777777" w:rsidR="00BA3083" w:rsidRDefault="00000000">
            <w:pPr>
              <w:spacing w:after="20"/>
            </w:pPr>
            <w:r>
              <w:rPr>
                <w:sz w:val="19"/>
                <w:szCs w:val="19"/>
              </w:rPr>
              <w:t>Payer (who funds subsidies)</w:t>
            </w:r>
          </w:p>
        </w:tc>
        <w:tc>
          <w:tcPr>
            <w:tcW w:w="4100" w:type="dxa"/>
            <w:tcMar>
              <w:top w:w="60" w:type="dxa"/>
              <w:left w:w="90" w:type="dxa"/>
              <w:bottom w:w="60" w:type="dxa"/>
              <w:right w:w="90" w:type="dxa"/>
            </w:tcMar>
          </w:tcPr>
          <w:p w14:paraId="4F260179" w14:textId="77777777" w:rsidR="00BA3083" w:rsidRDefault="00000000">
            <w:pPr>
              <w:spacing w:after="20"/>
            </w:pPr>
            <w:r>
              <w:rPr>
                <w:sz w:val="19"/>
                <w:szCs w:val="19"/>
              </w:rPr>
              <w:t>No committed source beyond 2026</w:t>
            </w:r>
          </w:p>
        </w:tc>
        <w:tc>
          <w:tcPr>
            <w:tcW w:w="3160" w:type="dxa"/>
            <w:tcMar>
              <w:top w:w="60" w:type="dxa"/>
              <w:left w:w="90" w:type="dxa"/>
              <w:bottom w:w="60" w:type="dxa"/>
              <w:right w:w="90" w:type="dxa"/>
            </w:tcMar>
          </w:tcPr>
          <w:p w14:paraId="00135BB9" w14:textId="77777777" w:rsidR="00BA3083" w:rsidRDefault="00000000">
            <w:pPr>
              <w:spacing w:after="20"/>
            </w:pPr>
            <w:r>
              <w:rPr>
                <w:b/>
                <w:bCs/>
                <w:color w:val="8B2635"/>
                <w:sz w:val="19"/>
                <w:szCs w:val="19"/>
              </w:rPr>
              <w:t>Insufficient</w:t>
            </w:r>
          </w:p>
        </w:tc>
      </w:tr>
      <w:tr w:rsidR="00BA3083" w14:paraId="545755D2" w14:textId="77777777">
        <w:tblPrEx>
          <w:tblCellMar>
            <w:top w:w="0" w:type="dxa"/>
            <w:bottom w:w="0" w:type="dxa"/>
          </w:tblCellMar>
        </w:tblPrEx>
        <w:tc>
          <w:tcPr>
            <w:tcW w:w="2100" w:type="dxa"/>
            <w:shd w:val="clear" w:color="auto" w:fill="F5F8F7"/>
            <w:tcMar>
              <w:top w:w="60" w:type="dxa"/>
              <w:left w:w="90" w:type="dxa"/>
              <w:bottom w:w="60" w:type="dxa"/>
              <w:right w:w="90" w:type="dxa"/>
            </w:tcMar>
          </w:tcPr>
          <w:p w14:paraId="368202C9" w14:textId="77777777" w:rsidR="00BA3083" w:rsidRDefault="00000000">
            <w:pPr>
              <w:spacing w:after="20"/>
            </w:pPr>
            <w:r>
              <w:rPr>
                <w:sz w:val="19"/>
                <w:szCs w:val="19"/>
              </w:rPr>
              <w:t>Institutional (lenders/insurers)</w:t>
            </w:r>
          </w:p>
        </w:tc>
        <w:tc>
          <w:tcPr>
            <w:tcW w:w="4100" w:type="dxa"/>
            <w:shd w:val="clear" w:color="auto" w:fill="F5F8F7"/>
            <w:tcMar>
              <w:top w:w="60" w:type="dxa"/>
              <w:left w:w="90" w:type="dxa"/>
              <w:bottom w:w="60" w:type="dxa"/>
              <w:right w:w="90" w:type="dxa"/>
            </w:tcMar>
          </w:tcPr>
          <w:p w14:paraId="34B19D26" w14:textId="77777777" w:rsidR="00BA3083" w:rsidRDefault="00000000">
            <w:pPr>
              <w:spacing w:after="20"/>
            </w:pPr>
            <w:r>
              <w:rPr>
                <w:sz w:val="19"/>
                <w:szCs w:val="19"/>
              </w:rPr>
              <w:t>Some lenders requesting tool (NCBA, SBM); insurers place product</w:t>
            </w:r>
          </w:p>
        </w:tc>
        <w:tc>
          <w:tcPr>
            <w:tcW w:w="3160" w:type="dxa"/>
            <w:shd w:val="clear" w:color="auto" w:fill="F5F8F7"/>
            <w:tcMar>
              <w:top w:w="60" w:type="dxa"/>
              <w:left w:w="90" w:type="dxa"/>
              <w:bottom w:w="60" w:type="dxa"/>
              <w:right w:w="90" w:type="dxa"/>
            </w:tcMar>
          </w:tcPr>
          <w:p w14:paraId="1CE6910D" w14:textId="77777777" w:rsidR="00BA3083" w:rsidRDefault="00000000">
            <w:pPr>
              <w:spacing w:after="20"/>
            </w:pPr>
            <w:r>
              <w:rPr>
                <w:b/>
                <w:bCs/>
                <w:color w:val="8A6D00"/>
                <w:sz w:val="19"/>
                <w:szCs w:val="19"/>
              </w:rPr>
              <w:t>Emerging</w:t>
            </w:r>
          </w:p>
        </w:tc>
      </w:tr>
      <w:tr w:rsidR="00BA3083" w14:paraId="4DF63240" w14:textId="77777777">
        <w:tblPrEx>
          <w:tblCellMar>
            <w:top w:w="0" w:type="dxa"/>
            <w:bottom w:w="0" w:type="dxa"/>
          </w:tblCellMar>
        </w:tblPrEx>
        <w:tc>
          <w:tcPr>
            <w:tcW w:w="2100" w:type="dxa"/>
            <w:tcMar>
              <w:top w:w="60" w:type="dxa"/>
              <w:left w:w="90" w:type="dxa"/>
              <w:bottom w:w="60" w:type="dxa"/>
              <w:right w:w="90" w:type="dxa"/>
            </w:tcMar>
          </w:tcPr>
          <w:p w14:paraId="358438AC" w14:textId="77777777" w:rsidR="00BA3083" w:rsidRDefault="00000000">
            <w:pPr>
              <w:spacing w:after="20"/>
            </w:pPr>
            <w:r>
              <w:rPr>
                <w:sz w:val="19"/>
                <w:szCs w:val="19"/>
              </w:rPr>
              <w:t>Policy</w:t>
            </w:r>
          </w:p>
        </w:tc>
        <w:tc>
          <w:tcPr>
            <w:tcW w:w="4100" w:type="dxa"/>
            <w:tcMar>
              <w:top w:w="60" w:type="dxa"/>
              <w:left w:w="90" w:type="dxa"/>
              <w:bottom w:w="60" w:type="dxa"/>
              <w:right w:w="90" w:type="dxa"/>
            </w:tcMar>
          </w:tcPr>
          <w:p w14:paraId="2C7F0117" w14:textId="77777777" w:rsidR="00BA3083" w:rsidRDefault="00000000">
            <w:pPr>
              <w:spacing w:after="20"/>
            </w:pPr>
            <w:r>
              <w:rPr>
                <w:sz w:val="19"/>
                <w:szCs w:val="19"/>
              </w:rPr>
              <w:t>Not engaged by design</w:t>
            </w:r>
          </w:p>
        </w:tc>
        <w:tc>
          <w:tcPr>
            <w:tcW w:w="3160" w:type="dxa"/>
            <w:tcMar>
              <w:top w:w="60" w:type="dxa"/>
              <w:left w:w="90" w:type="dxa"/>
              <w:bottom w:w="60" w:type="dxa"/>
              <w:right w:w="90" w:type="dxa"/>
            </w:tcMar>
          </w:tcPr>
          <w:p w14:paraId="1F59AAB2" w14:textId="77777777" w:rsidR="00BA3083" w:rsidRDefault="00000000">
            <w:pPr>
              <w:spacing w:after="20"/>
            </w:pPr>
            <w:r>
              <w:rPr>
                <w:sz w:val="19"/>
                <w:szCs w:val="19"/>
              </w:rPr>
              <w:t>Unknown / deferred</w:t>
            </w:r>
          </w:p>
        </w:tc>
      </w:tr>
    </w:tbl>
    <w:p w14:paraId="78F294F1" w14:textId="77777777" w:rsidR="00BA3083" w:rsidRDefault="00000000">
      <w:pPr>
        <w:spacing w:after="110" w:line="264" w:lineRule="auto"/>
        <w:ind w:left="120"/>
      </w:pPr>
      <w:proofErr w:type="gramStart"/>
      <w:r>
        <w:rPr>
          <w:b/>
          <w:bCs/>
          <w:color w:val="6A1B9A"/>
          <w:sz w:val="17"/>
          <w:szCs w:val="17"/>
        </w:rPr>
        <w:t xml:space="preserve">JUDGEMENT  </w:t>
      </w:r>
      <w:r>
        <w:t>Strong</w:t>
      </w:r>
      <w:proofErr w:type="gramEnd"/>
      <w:r>
        <w:t xml:space="preserve"> </w:t>
      </w:r>
      <w:r>
        <w:rPr>
          <w:b/>
          <w:bCs/>
        </w:rPr>
        <w:t>user</w:t>
      </w:r>
      <w:r>
        <w:t xml:space="preserve"> demand is being used, implicitly, to stand in for </w:t>
      </w:r>
      <w:r>
        <w:rPr>
          <w:b/>
          <w:bCs/>
        </w:rPr>
        <w:t>payer</w:t>
      </w:r>
      <w:r>
        <w:t xml:space="preserve"> demand. It cannot. The farmer wants the loan; the farmer does not want to fund a national subsidy </w:t>
      </w:r>
      <w:proofErr w:type="spellStart"/>
      <w:r>
        <w:t>programme</w:t>
      </w:r>
      <w:proofErr w:type="spellEnd"/>
      <w:r>
        <w:t>. This conflation is the demand-side face of the weakest link.</w:t>
      </w:r>
    </w:p>
    <w:p w14:paraId="0D48DDA3" w14:textId="77777777" w:rsidR="00BA3083" w:rsidRDefault="00000000">
      <w:pPr>
        <w:pStyle w:val="Heading2"/>
        <w:spacing w:before="220" w:after="100"/>
      </w:pPr>
      <w:bookmarkStart w:id="13" w:name="_Toc234870963"/>
      <w:r>
        <w:t>3.5 Delivery, financing, institutional ownership, policy</w:t>
      </w:r>
      <w:bookmarkEnd w:id="13"/>
    </w:p>
    <w:p w14:paraId="3F6B61E6" w14:textId="77777777" w:rsidR="00BA3083" w:rsidRDefault="00000000">
      <w:pPr>
        <w:spacing w:after="110" w:line="264" w:lineRule="auto"/>
        <w:ind w:left="120"/>
      </w:pPr>
      <w:proofErr w:type="gramStart"/>
      <w:r>
        <w:rPr>
          <w:b/>
          <w:bCs/>
          <w:color w:val="1B5E4F"/>
          <w:sz w:val="17"/>
          <w:szCs w:val="17"/>
        </w:rPr>
        <w:t xml:space="preserve">EVIDENCE  </w:t>
      </w:r>
      <w:r>
        <w:t>Delivery</w:t>
      </w:r>
      <w:proofErr w:type="gramEnd"/>
      <w:r>
        <w:t xml:space="preserve"> is via existing commercial operations of two established enterprises — a real asset. Financing of the credit leg is described as revenue-positive (India: 10% interest + 5% FPO svc vs. 7% </w:t>
      </w:r>
      <w:proofErr w:type="spellStart"/>
      <w:r>
        <w:t>opex</w:t>
      </w:r>
      <w:proofErr w:type="spellEnd"/>
      <w:r>
        <w:t xml:space="preserve"> + 5% risk capital).</w:t>
      </w:r>
    </w:p>
    <w:p w14:paraId="15978A6D" w14:textId="77777777" w:rsidR="00BA3083" w:rsidRDefault="00000000">
      <w:pPr>
        <w:spacing w:after="110" w:line="264" w:lineRule="auto"/>
        <w:ind w:left="120"/>
      </w:pPr>
      <w:proofErr w:type="gramStart"/>
      <w:r>
        <w:rPr>
          <w:b/>
          <w:bCs/>
          <w:color w:val="0B5394"/>
          <w:sz w:val="17"/>
          <w:szCs w:val="17"/>
        </w:rPr>
        <w:t xml:space="preserve">INTERPRETATION  </w:t>
      </w:r>
      <w:r>
        <w:t>Institutional</w:t>
      </w:r>
      <w:proofErr w:type="gramEnd"/>
      <w:r>
        <w:t xml:space="preserve"> ownership is </w:t>
      </w:r>
      <w:r>
        <w:rPr>
          <w:b/>
          <w:bCs/>
        </w:rPr>
        <w:t>strong for the enterprises, weak for the public good</w:t>
      </w:r>
      <w:r>
        <w:t xml:space="preserve">. </w:t>
      </w:r>
      <w:proofErr w:type="spellStart"/>
      <w:r>
        <w:t>Dvara</w:t>
      </w:r>
      <w:proofErr w:type="spellEnd"/>
      <w:r>
        <w:t xml:space="preserve"> and ACRE will own and continue the commercial product; but the inclusive-scaling objective (women/youth/</w:t>
      </w:r>
      <w:proofErr w:type="spellStart"/>
      <w:r>
        <w:t>marginalised</w:t>
      </w:r>
      <w:proofErr w:type="spellEnd"/>
      <w:r>
        <w:t>, non-title farmers) is only protected while subsidies and CGIAR MELIA persist.</w:t>
      </w:r>
    </w:p>
    <w:p w14:paraId="71A63137" w14:textId="77777777" w:rsidR="00BA3083" w:rsidRDefault="00000000">
      <w:pPr>
        <w:pStyle w:val="Heading2"/>
        <w:spacing w:before="220" w:after="100"/>
      </w:pPr>
      <w:bookmarkStart w:id="14" w:name="_Toc234870964"/>
      <w:r>
        <w:t>3.6 Additionality test (S4I vs. existing platform)</w:t>
      </w:r>
      <w:bookmarkEnd w:id="14"/>
    </w:p>
    <w:tbl>
      <w:tblPr>
        <w:tblW w:w="9360" w:type="dxa"/>
        <w:tblInd w:w="-27" w:type="dxa"/>
        <w:tblBorders>
          <w:left w:val="single" w:sz="24" w:space="0" w:color="8A6D00"/>
        </w:tblBorders>
        <w:tblCellMar>
          <w:left w:w="10" w:type="dxa"/>
          <w:right w:w="10" w:type="dxa"/>
        </w:tblCellMar>
        <w:tblLook w:val="04A0" w:firstRow="1" w:lastRow="0" w:firstColumn="1" w:lastColumn="0" w:noHBand="0" w:noVBand="1"/>
      </w:tblPr>
      <w:tblGrid>
        <w:gridCol w:w="27"/>
        <w:gridCol w:w="2367"/>
        <w:gridCol w:w="3470"/>
        <w:gridCol w:w="3469"/>
        <w:gridCol w:w="27"/>
      </w:tblGrid>
      <w:tr w:rsidR="00BA3083" w14:paraId="532D9B99" w14:textId="77777777">
        <w:tblPrEx>
          <w:tblCellMar>
            <w:top w:w="0" w:type="dxa"/>
            <w:bottom w:w="0" w:type="dxa"/>
          </w:tblCellMar>
        </w:tblPrEx>
        <w:trPr>
          <w:gridBefore w:val="1"/>
          <w:wBefore w:w="27" w:type="dxa"/>
        </w:trPr>
        <w:tc>
          <w:tcPr>
            <w:tcW w:w="9360" w:type="dxa"/>
            <w:gridSpan w:val="4"/>
            <w:shd w:val="clear" w:color="auto" w:fill="EEF3F1"/>
            <w:tcMar>
              <w:top w:w="120" w:type="dxa"/>
              <w:left w:w="200" w:type="dxa"/>
              <w:bottom w:w="120" w:type="dxa"/>
              <w:right w:w="160" w:type="dxa"/>
            </w:tcMar>
          </w:tcPr>
          <w:p w14:paraId="0FBAFEF9" w14:textId="77777777" w:rsidR="00BA3083" w:rsidRDefault="00000000">
            <w:pPr>
              <w:spacing w:after="60"/>
            </w:pPr>
            <w:r>
              <w:rPr>
                <w:b/>
                <w:bCs/>
                <w:color w:val="8A6D00"/>
              </w:rPr>
              <w:t>Do not let the platform's proof validate the S4I increment</w:t>
            </w:r>
          </w:p>
          <w:p w14:paraId="13D450D4" w14:textId="77777777" w:rsidR="00BA3083" w:rsidRDefault="00000000">
            <w:pPr>
              <w:spacing w:after="50" w:line="258" w:lineRule="auto"/>
            </w:pPr>
            <w:r>
              <w:t>This is the discipline the prompt insists on. The existing platforms (</w:t>
            </w:r>
            <w:proofErr w:type="spellStart"/>
            <w:r>
              <w:t>KhetScore</w:t>
            </w:r>
            <w:proofErr w:type="spellEnd"/>
            <w:r>
              <w:t>, TARA) are proven; the S4I additionality is a separate, less-proven thing.</w:t>
            </w:r>
          </w:p>
        </w:tc>
      </w:tr>
      <w:tr w:rsidR="00BA3083" w14:paraId="1361F6A9" w14:textId="77777777">
        <w:tblPrEx>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top w:w="0" w:type="dxa"/>
            <w:bottom w:w="0" w:type="dxa"/>
          </w:tblCellMar>
        </w:tblPrEx>
        <w:trPr>
          <w:gridAfter w:val="1"/>
          <w:wAfter w:w="27" w:type="dxa"/>
          <w:tblHeader/>
        </w:trPr>
        <w:tc>
          <w:tcPr>
            <w:tcW w:w="2400" w:type="dxa"/>
            <w:gridSpan w:val="2"/>
            <w:shd w:val="clear" w:color="auto" w:fill="1B5E4F"/>
            <w:tcMar>
              <w:top w:w="60" w:type="dxa"/>
              <w:left w:w="90" w:type="dxa"/>
              <w:bottom w:w="60" w:type="dxa"/>
              <w:right w:w="90" w:type="dxa"/>
            </w:tcMar>
          </w:tcPr>
          <w:p w14:paraId="17B71A78" w14:textId="77777777" w:rsidR="00BA3083" w:rsidRDefault="00000000">
            <w:pPr>
              <w:spacing w:after="20"/>
            </w:pPr>
            <w:r>
              <w:rPr>
                <w:b/>
                <w:bCs/>
                <w:color w:val="FFFFFF"/>
                <w:sz w:val="19"/>
                <w:szCs w:val="19"/>
              </w:rPr>
              <w:t>Layer</w:t>
            </w:r>
          </w:p>
        </w:tc>
        <w:tc>
          <w:tcPr>
            <w:tcW w:w="3480" w:type="dxa"/>
            <w:shd w:val="clear" w:color="auto" w:fill="1B5E4F"/>
            <w:tcMar>
              <w:top w:w="60" w:type="dxa"/>
              <w:left w:w="90" w:type="dxa"/>
              <w:bottom w:w="60" w:type="dxa"/>
              <w:right w:w="90" w:type="dxa"/>
            </w:tcMar>
          </w:tcPr>
          <w:p w14:paraId="667F37EC" w14:textId="77777777" w:rsidR="00BA3083" w:rsidRDefault="00000000">
            <w:pPr>
              <w:spacing w:after="20"/>
            </w:pPr>
            <w:r>
              <w:rPr>
                <w:b/>
                <w:bCs/>
                <w:color w:val="FFFFFF"/>
                <w:sz w:val="19"/>
                <w:szCs w:val="19"/>
              </w:rPr>
              <w:t>What it is</w:t>
            </w:r>
          </w:p>
        </w:tc>
        <w:tc>
          <w:tcPr>
            <w:tcW w:w="3480" w:type="dxa"/>
            <w:shd w:val="clear" w:color="auto" w:fill="1B5E4F"/>
            <w:tcMar>
              <w:top w:w="60" w:type="dxa"/>
              <w:left w:w="90" w:type="dxa"/>
              <w:bottom w:w="60" w:type="dxa"/>
              <w:right w:w="90" w:type="dxa"/>
            </w:tcMar>
          </w:tcPr>
          <w:p w14:paraId="399139C4" w14:textId="77777777" w:rsidR="00BA3083" w:rsidRDefault="00000000">
            <w:pPr>
              <w:spacing w:after="20"/>
            </w:pPr>
            <w:r>
              <w:rPr>
                <w:b/>
                <w:bCs/>
                <w:color w:val="FFFFFF"/>
                <w:sz w:val="19"/>
                <w:szCs w:val="19"/>
              </w:rPr>
              <w:t>Evidence status</w:t>
            </w:r>
          </w:p>
        </w:tc>
      </w:tr>
      <w:tr w:rsidR="00BA3083" w14:paraId="232ED21D" w14:textId="77777777">
        <w:tblPrEx>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top w:w="0" w:type="dxa"/>
            <w:bottom w:w="0" w:type="dxa"/>
          </w:tblCellMar>
        </w:tblPrEx>
        <w:trPr>
          <w:gridAfter w:val="1"/>
          <w:wAfter w:w="27" w:type="dxa"/>
        </w:trPr>
        <w:tc>
          <w:tcPr>
            <w:tcW w:w="2400" w:type="dxa"/>
            <w:gridSpan w:val="2"/>
            <w:tcMar>
              <w:top w:w="60" w:type="dxa"/>
              <w:left w:w="90" w:type="dxa"/>
              <w:bottom w:w="60" w:type="dxa"/>
              <w:right w:w="90" w:type="dxa"/>
            </w:tcMar>
          </w:tcPr>
          <w:p w14:paraId="30407ECC" w14:textId="77777777" w:rsidR="00BA3083" w:rsidRDefault="00000000">
            <w:pPr>
              <w:spacing w:after="20"/>
            </w:pPr>
            <w:r>
              <w:rPr>
                <w:b/>
                <w:bCs/>
                <w:sz w:val="19"/>
                <w:szCs w:val="19"/>
              </w:rPr>
              <w:t>Already proven</w:t>
            </w:r>
          </w:p>
        </w:tc>
        <w:tc>
          <w:tcPr>
            <w:tcW w:w="3480" w:type="dxa"/>
            <w:tcMar>
              <w:top w:w="60" w:type="dxa"/>
              <w:left w:w="90" w:type="dxa"/>
              <w:bottom w:w="60" w:type="dxa"/>
              <w:right w:w="90" w:type="dxa"/>
            </w:tcMar>
          </w:tcPr>
          <w:p w14:paraId="354D23F0" w14:textId="77777777" w:rsidR="00BA3083" w:rsidRDefault="00000000">
            <w:pPr>
              <w:spacing w:after="20"/>
            </w:pPr>
            <w:r>
              <w:rPr>
                <w:sz w:val="19"/>
                <w:szCs w:val="19"/>
              </w:rPr>
              <w:t>PBI concept; credit-scoring without collateral; commercial operation at ~15k; farmer-level impact</w:t>
            </w:r>
          </w:p>
        </w:tc>
        <w:tc>
          <w:tcPr>
            <w:tcW w:w="3480" w:type="dxa"/>
            <w:tcMar>
              <w:top w:w="60" w:type="dxa"/>
              <w:left w:w="90" w:type="dxa"/>
              <w:bottom w:w="60" w:type="dxa"/>
              <w:right w:w="90" w:type="dxa"/>
            </w:tcMar>
          </w:tcPr>
          <w:p w14:paraId="6B688121" w14:textId="77777777" w:rsidR="00BA3083" w:rsidRDefault="00000000">
            <w:pPr>
              <w:spacing w:after="20"/>
            </w:pPr>
            <w:r>
              <w:rPr>
                <w:sz w:val="19"/>
                <w:szCs w:val="19"/>
              </w:rPr>
              <w:t>Well supported (RCTs + live operations)</w:t>
            </w:r>
          </w:p>
        </w:tc>
      </w:tr>
      <w:tr w:rsidR="00BA3083" w14:paraId="4808FC18" w14:textId="77777777">
        <w:tblPrEx>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top w:w="0" w:type="dxa"/>
            <w:bottom w:w="0" w:type="dxa"/>
          </w:tblCellMar>
        </w:tblPrEx>
        <w:trPr>
          <w:gridAfter w:val="1"/>
          <w:wAfter w:w="27" w:type="dxa"/>
        </w:trPr>
        <w:tc>
          <w:tcPr>
            <w:tcW w:w="2400" w:type="dxa"/>
            <w:gridSpan w:val="2"/>
            <w:shd w:val="clear" w:color="auto" w:fill="F5F8F7"/>
            <w:tcMar>
              <w:top w:w="60" w:type="dxa"/>
              <w:left w:w="90" w:type="dxa"/>
              <w:bottom w:w="60" w:type="dxa"/>
              <w:right w:w="90" w:type="dxa"/>
            </w:tcMar>
          </w:tcPr>
          <w:p w14:paraId="563F776E" w14:textId="77777777" w:rsidR="00BA3083" w:rsidRDefault="00000000">
            <w:pPr>
              <w:spacing w:after="20"/>
            </w:pPr>
            <w:r>
              <w:rPr>
                <w:b/>
                <w:bCs/>
                <w:sz w:val="19"/>
                <w:szCs w:val="19"/>
              </w:rPr>
              <w:t>New under S4I</w:t>
            </w:r>
          </w:p>
        </w:tc>
        <w:tc>
          <w:tcPr>
            <w:tcW w:w="3480" w:type="dxa"/>
            <w:shd w:val="clear" w:color="auto" w:fill="F5F8F7"/>
            <w:tcMar>
              <w:top w:w="60" w:type="dxa"/>
              <w:left w:w="90" w:type="dxa"/>
              <w:bottom w:w="60" w:type="dxa"/>
              <w:right w:w="90" w:type="dxa"/>
            </w:tcMar>
          </w:tcPr>
          <w:p w14:paraId="5BD58915" w14:textId="77777777" w:rsidR="00BA3083" w:rsidRDefault="00000000">
            <w:pPr>
              <w:spacing w:after="20"/>
            </w:pPr>
            <w:r>
              <w:rPr>
                <w:sz w:val="19"/>
                <w:szCs w:val="19"/>
              </w:rPr>
              <w:t xml:space="preserve">(a) refined computer-vision loss models; (b) forward-looking climate-risk integration; (c) inclusive-outreach training; (d) crowd-in of new FIs &amp; </w:t>
            </w:r>
            <w:proofErr w:type="spellStart"/>
            <w:r>
              <w:rPr>
                <w:sz w:val="19"/>
                <w:szCs w:val="19"/>
              </w:rPr>
              <w:t>bilaterals</w:t>
            </w:r>
            <w:proofErr w:type="spellEnd"/>
            <w:r>
              <w:rPr>
                <w:sz w:val="19"/>
                <w:szCs w:val="19"/>
              </w:rPr>
              <w:t>; (e) MELIA on trust/</w:t>
            </w:r>
            <w:proofErr w:type="spellStart"/>
            <w:r>
              <w:rPr>
                <w:sz w:val="19"/>
                <w:szCs w:val="19"/>
              </w:rPr>
              <w:t>disadoption</w:t>
            </w:r>
            <w:proofErr w:type="spellEnd"/>
          </w:p>
        </w:tc>
        <w:tc>
          <w:tcPr>
            <w:tcW w:w="3480" w:type="dxa"/>
            <w:shd w:val="clear" w:color="auto" w:fill="F5F8F7"/>
            <w:tcMar>
              <w:top w:w="60" w:type="dxa"/>
              <w:left w:w="90" w:type="dxa"/>
              <w:bottom w:w="60" w:type="dxa"/>
              <w:right w:w="90" w:type="dxa"/>
            </w:tcMar>
          </w:tcPr>
          <w:p w14:paraId="29F8C777" w14:textId="77777777" w:rsidR="00BA3083" w:rsidRDefault="00000000">
            <w:pPr>
              <w:spacing w:after="20"/>
            </w:pPr>
            <w:r>
              <w:rPr>
                <w:sz w:val="19"/>
                <w:szCs w:val="19"/>
              </w:rPr>
              <w:t>Emerging / unproven — this is the increment being funded</w:t>
            </w:r>
          </w:p>
        </w:tc>
      </w:tr>
      <w:tr w:rsidR="00BA3083" w14:paraId="3A7C6C5B" w14:textId="77777777">
        <w:tblPrEx>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top w:w="0" w:type="dxa"/>
            <w:bottom w:w="0" w:type="dxa"/>
          </w:tblCellMar>
        </w:tblPrEx>
        <w:trPr>
          <w:gridAfter w:val="1"/>
          <w:wAfter w:w="27" w:type="dxa"/>
        </w:trPr>
        <w:tc>
          <w:tcPr>
            <w:tcW w:w="2400" w:type="dxa"/>
            <w:gridSpan w:val="2"/>
            <w:tcMar>
              <w:top w:w="60" w:type="dxa"/>
              <w:left w:w="90" w:type="dxa"/>
              <w:bottom w:w="60" w:type="dxa"/>
              <w:right w:w="90" w:type="dxa"/>
            </w:tcMar>
          </w:tcPr>
          <w:p w14:paraId="1BBBF2B9" w14:textId="77777777" w:rsidR="00BA3083" w:rsidRDefault="00000000">
            <w:pPr>
              <w:spacing w:after="20"/>
            </w:pPr>
            <w:r>
              <w:rPr>
                <w:b/>
                <w:bCs/>
                <w:sz w:val="19"/>
                <w:szCs w:val="19"/>
              </w:rPr>
              <w:t>Evidence that applies ONLY to the platform</w:t>
            </w:r>
          </w:p>
        </w:tc>
        <w:tc>
          <w:tcPr>
            <w:tcW w:w="3480" w:type="dxa"/>
            <w:tcMar>
              <w:top w:w="60" w:type="dxa"/>
              <w:left w:w="90" w:type="dxa"/>
              <w:bottom w:w="60" w:type="dxa"/>
              <w:right w:w="90" w:type="dxa"/>
            </w:tcMar>
          </w:tcPr>
          <w:p w14:paraId="145B5A0F" w14:textId="77777777" w:rsidR="00BA3083" w:rsidRDefault="00000000">
            <w:pPr>
              <w:spacing w:after="20"/>
            </w:pPr>
            <w:r>
              <w:rPr>
                <w:sz w:val="19"/>
                <w:szCs w:val="19"/>
              </w:rPr>
              <w:t>All RCT impact numbers; readiness score 9; commercial traction</w:t>
            </w:r>
          </w:p>
        </w:tc>
        <w:tc>
          <w:tcPr>
            <w:tcW w:w="3480" w:type="dxa"/>
            <w:tcMar>
              <w:top w:w="60" w:type="dxa"/>
              <w:left w:w="90" w:type="dxa"/>
              <w:bottom w:w="60" w:type="dxa"/>
              <w:right w:w="90" w:type="dxa"/>
            </w:tcMar>
          </w:tcPr>
          <w:p w14:paraId="0F9AA36E" w14:textId="77777777" w:rsidR="00BA3083" w:rsidRDefault="00000000">
            <w:pPr>
              <w:spacing w:after="20"/>
            </w:pPr>
            <w:r>
              <w:rPr>
                <w:sz w:val="19"/>
                <w:szCs w:val="19"/>
              </w:rPr>
              <w:t>Must not be cited as proof the S4I increment will work</w:t>
            </w:r>
          </w:p>
        </w:tc>
      </w:tr>
      <w:tr w:rsidR="00BA3083" w14:paraId="7EBD7648" w14:textId="77777777">
        <w:tblPrEx>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top w:w="0" w:type="dxa"/>
            <w:bottom w:w="0" w:type="dxa"/>
          </w:tblCellMar>
        </w:tblPrEx>
        <w:trPr>
          <w:gridAfter w:val="1"/>
          <w:wAfter w:w="27" w:type="dxa"/>
        </w:trPr>
        <w:tc>
          <w:tcPr>
            <w:tcW w:w="2400" w:type="dxa"/>
            <w:gridSpan w:val="2"/>
            <w:shd w:val="clear" w:color="auto" w:fill="F5F8F7"/>
            <w:tcMar>
              <w:top w:w="60" w:type="dxa"/>
              <w:left w:w="90" w:type="dxa"/>
              <w:bottom w:w="60" w:type="dxa"/>
              <w:right w:w="90" w:type="dxa"/>
            </w:tcMar>
          </w:tcPr>
          <w:p w14:paraId="5255BE24" w14:textId="77777777" w:rsidR="00BA3083" w:rsidRDefault="00000000">
            <w:pPr>
              <w:spacing w:after="20"/>
            </w:pPr>
            <w:r>
              <w:rPr>
                <w:b/>
                <w:bCs/>
                <w:color w:val="8B2635"/>
                <w:sz w:val="19"/>
                <w:szCs w:val="19"/>
              </w:rPr>
              <w:t>Evidence supporting S4I additionality specifically</w:t>
            </w:r>
          </w:p>
        </w:tc>
        <w:tc>
          <w:tcPr>
            <w:tcW w:w="3480" w:type="dxa"/>
            <w:shd w:val="clear" w:color="auto" w:fill="F5F8F7"/>
            <w:tcMar>
              <w:top w:w="60" w:type="dxa"/>
              <w:left w:w="90" w:type="dxa"/>
              <w:bottom w:w="60" w:type="dxa"/>
              <w:right w:w="90" w:type="dxa"/>
            </w:tcMar>
          </w:tcPr>
          <w:p w14:paraId="3E6C582D" w14:textId="77777777" w:rsidR="00BA3083" w:rsidRDefault="00000000">
            <w:pPr>
              <w:spacing w:after="20"/>
            </w:pPr>
            <w:r>
              <w:rPr>
                <w:sz w:val="19"/>
                <w:szCs w:val="19"/>
              </w:rPr>
              <w:t>That catalytic funds will crowd in the financing needed for 100k scale</w:t>
            </w:r>
          </w:p>
        </w:tc>
        <w:tc>
          <w:tcPr>
            <w:tcW w:w="3480" w:type="dxa"/>
            <w:shd w:val="clear" w:color="auto" w:fill="F5F8F7"/>
            <w:tcMar>
              <w:top w:w="60" w:type="dxa"/>
              <w:left w:w="90" w:type="dxa"/>
              <w:bottom w:w="60" w:type="dxa"/>
              <w:right w:w="90" w:type="dxa"/>
            </w:tcMar>
          </w:tcPr>
          <w:p w14:paraId="5D7F7BCE" w14:textId="77777777" w:rsidR="00BA3083" w:rsidRDefault="00000000">
            <w:pPr>
              <w:spacing w:after="20"/>
            </w:pPr>
            <w:r>
              <w:rPr>
                <w:sz w:val="19"/>
                <w:szCs w:val="19"/>
              </w:rPr>
              <w:t>None supplied — this is the additionality gap</w:t>
            </w:r>
          </w:p>
        </w:tc>
      </w:tr>
    </w:tbl>
    <w:p w14:paraId="456FB04D" w14:textId="77777777" w:rsidR="00BA3083" w:rsidRDefault="00000000">
      <w:pPr>
        <w:spacing w:after="110" w:line="264" w:lineRule="auto"/>
        <w:ind w:left="120"/>
      </w:pPr>
      <w:proofErr w:type="gramStart"/>
      <w:r>
        <w:rPr>
          <w:b/>
          <w:bCs/>
          <w:color w:val="6A1B9A"/>
          <w:sz w:val="17"/>
          <w:szCs w:val="17"/>
        </w:rPr>
        <w:t xml:space="preserve">JUDGEMENT  </w:t>
      </w:r>
      <w:r>
        <w:t>The</w:t>
      </w:r>
      <w:proofErr w:type="gramEnd"/>
      <w:r>
        <w:t xml:space="preserve"> additionality story is </w:t>
      </w:r>
      <w:r>
        <w:rPr>
          <w:b/>
          <w:bCs/>
        </w:rPr>
        <w:t>"acceleration + inclusion + evidence"</w:t>
      </w:r>
      <w:r>
        <w:t>, which is legitimate. But the EoI at times uses platform proof (readiness 9, 15k farmers) to imply the 100k trajectory is proven. It is not. The additionality is a bet on crowding-in, and that bet is currently unevidenced.</w:t>
      </w:r>
    </w:p>
    <w:p w14:paraId="68CB5575" w14:textId="77777777" w:rsidR="00BA3083" w:rsidRDefault="00000000">
      <w:pPr>
        <w:pStyle w:val="Heading2"/>
        <w:spacing w:before="220" w:after="100"/>
      </w:pPr>
      <w:bookmarkStart w:id="15" w:name="_Toc234870965"/>
      <w:r>
        <w:lastRenderedPageBreak/>
        <w:t>3.7 Weakest-link analysis</w:t>
      </w:r>
      <w:bookmarkEnd w:id="15"/>
    </w:p>
    <w:p w14:paraId="5B9A6163" w14:textId="77777777" w:rsidR="00BA3083" w:rsidRDefault="00000000">
      <w:pPr>
        <w:spacing w:after="120" w:line="264" w:lineRule="auto"/>
      </w:pPr>
      <w:r>
        <w:t>Candidate weakest links were evaluated against the ambition. Each is assessed for whether it is upstream (causal, dominates others) or downstream (symptom).</w:t>
      </w:r>
    </w:p>
    <w:tbl>
      <w:tblPr>
        <w:tblW w:w="9360" w:type="dxa"/>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left w:w="10" w:type="dxa"/>
          <w:right w:w="10" w:type="dxa"/>
        </w:tblCellMar>
        <w:tblLook w:val="04A0" w:firstRow="1" w:lastRow="0" w:firstColumn="1" w:lastColumn="0" w:noHBand="0" w:noVBand="1"/>
      </w:tblPr>
      <w:tblGrid>
        <w:gridCol w:w="2471"/>
        <w:gridCol w:w="1175"/>
        <w:gridCol w:w="1232"/>
        <w:gridCol w:w="4482"/>
      </w:tblGrid>
      <w:tr w:rsidR="00BA3083" w14:paraId="7A9FBAF4" w14:textId="77777777">
        <w:tblPrEx>
          <w:tblCellMar>
            <w:top w:w="0" w:type="dxa"/>
            <w:bottom w:w="0" w:type="dxa"/>
          </w:tblCellMar>
        </w:tblPrEx>
        <w:trPr>
          <w:tblHeader/>
        </w:trPr>
        <w:tc>
          <w:tcPr>
            <w:tcW w:w="2550" w:type="dxa"/>
            <w:shd w:val="clear" w:color="auto" w:fill="1B5E4F"/>
            <w:tcMar>
              <w:top w:w="60" w:type="dxa"/>
              <w:left w:w="90" w:type="dxa"/>
              <w:bottom w:w="60" w:type="dxa"/>
              <w:right w:w="90" w:type="dxa"/>
            </w:tcMar>
          </w:tcPr>
          <w:p w14:paraId="4C9704C8" w14:textId="77777777" w:rsidR="00BA3083" w:rsidRDefault="00000000">
            <w:pPr>
              <w:spacing w:after="20"/>
            </w:pPr>
            <w:r>
              <w:rPr>
                <w:b/>
                <w:bCs/>
                <w:color w:val="FFFFFF"/>
                <w:sz w:val="19"/>
                <w:szCs w:val="19"/>
              </w:rPr>
              <w:t>Candidate</w:t>
            </w:r>
          </w:p>
        </w:tc>
        <w:tc>
          <w:tcPr>
            <w:tcW w:w="900" w:type="dxa"/>
            <w:shd w:val="clear" w:color="auto" w:fill="1B5E4F"/>
            <w:tcMar>
              <w:top w:w="60" w:type="dxa"/>
              <w:left w:w="90" w:type="dxa"/>
              <w:bottom w:w="60" w:type="dxa"/>
              <w:right w:w="90" w:type="dxa"/>
            </w:tcMar>
          </w:tcPr>
          <w:p w14:paraId="589F431F" w14:textId="77777777" w:rsidR="00BA3083" w:rsidRDefault="00000000">
            <w:pPr>
              <w:spacing w:after="20"/>
            </w:pPr>
            <w:r>
              <w:rPr>
                <w:b/>
                <w:bCs/>
                <w:color w:val="FFFFFF"/>
                <w:sz w:val="19"/>
                <w:szCs w:val="19"/>
              </w:rPr>
              <w:t>U/D</w:t>
            </w:r>
          </w:p>
        </w:tc>
        <w:tc>
          <w:tcPr>
            <w:tcW w:w="1250" w:type="dxa"/>
            <w:shd w:val="clear" w:color="auto" w:fill="1B5E4F"/>
            <w:tcMar>
              <w:top w:w="60" w:type="dxa"/>
              <w:left w:w="90" w:type="dxa"/>
              <w:bottom w:w="60" w:type="dxa"/>
              <w:right w:w="90" w:type="dxa"/>
            </w:tcMar>
          </w:tcPr>
          <w:p w14:paraId="70DEEDA0" w14:textId="77777777" w:rsidR="00BA3083" w:rsidRDefault="00000000">
            <w:pPr>
              <w:spacing w:after="20"/>
            </w:pPr>
            <w:r>
              <w:rPr>
                <w:b/>
                <w:bCs/>
                <w:color w:val="FFFFFF"/>
                <w:sz w:val="19"/>
                <w:szCs w:val="19"/>
              </w:rPr>
              <w:t>Could bind?</w:t>
            </w:r>
          </w:p>
        </w:tc>
        <w:tc>
          <w:tcPr>
            <w:tcW w:w="4660" w:type="dxa"/>
            <w:shd w:val="clear" w:color="auto" w:fill="1B5E4F"/>
            <w:tcMar>
              <w:top w:w="60" w:type="dxa"/>
              <w:left w:w="90" w:type="dxa"/>
              <w:bottom w:w="60" w:type="dxa"/>
              <w:right w:w="90" w:type="dxa"/>
            </w:tcMar>
          </w:tcPr>
          <w:p w14:paraId="334F0C83" w14:textId="77777777" w:rsidR="00BA3083" w:rsidRDefault="00000000">
            <w:pPr>
              <w:spacing w:after="20"/>
            </w:pPr>
            <w:r>
              <w:rPr>
                <w:b/>
                <w:bCs/>
                <w:color w:val="FFFFFF"/>
                <w:sz w:val="19"/>
                <w:szCs w:val="19"/>
              </w:rPr>
              <w:t>Reasoning</w:t>
            </w:r>
          </w:p>
        </w:tc>
      </w:tr>
      <w:tr w:rsidR="00BA3083" w14:paraId="2883DD78" w14:textId="77777777">
        <w:tblPrEx>
          <w:tblCellMar>
            <w:top w:w="0" w:type="dxa"/>
            <w:bottom w:w="0" w:type="dxa"/>
          </w:tblCellMar>
        </w:tblPrEx>
        <w:tc>
          <w:tcPr>
            <w:tcW w:w="2550" w:type="dxa"/>
            <w:tcMar>
              <w:top w:w="60" w:type="dxa"/>
              <w:left w:w="90" w:type="dxa"/>
              <w:bottom w:w="60" w:type="dxa"/>
              <w:right w:w="90" w:type="dxa"/>
            </w:tcMar>
          </w:tcPr>
          <w:p w14:paraId="5CD419C6" w14:textId="77777777" w:rsidR="00BA3083" w:rsidRDefault="00000000">
            <w:pPr>
              <w:spacing w:after="20"/>
            </w:pPr>
            <w:r>
              <w:rPr>
                <w:sz w:val="19"/>
                <w:szCs w:val="19"/>
              </w:rPr>
              <w:t>Insurance pool viability &amp; subsidy financing at scale</w:t>
            </w:r>
          </w:p>
        </w:tc>
        <w:tc>
          <w:tcPr>
            <w:tcW w:w="900" w:type="dxa"/>
            <w:shd w:val="clear" w:color="auto" w:fill="F5D6DB"/>
            <w:tcMar>
              <w:top w:w="60" w:type="dxa"/>
              <w:left w:w="90" w:type="dxa"/>
              <w:bottom w:w="60" w:type="dxa"/>
              <w:right w:w="90" w:type="dxa"/>
            </w:tcMar>
          </w:tcPr>
          <w:p w14:paraId="4FEDB9CA" w14:textId="77777777" w:rsidR="00BA3083" w:rsidRDefault="00000000">
            <w:pPr>
              <w:spacing w:after="20"/>
            </w:pPr>
            <w:r>
              <w:rPr>
                <w:b/>
                <w:bCs/>
                <w:sz w:val="19"/>
                <w:szCs w:val="19"/>
              </w:rPr>
              <w:t>Upstream</w:t>
            </w:r>
          </w:p>
        </w:tc>
        <w:tc>
          <w:tcPr>
            <w:tcW w:w="1250" w:type="dxa"/>
            <w:tcMar>
              <w:top w:w="60" w:type="dxa"/>
              <w:left w:w="90" w:type="dxa"/>
              <w:bottom w:w="60" w:type="dxa"/>
              <w:right w:w="90" w:type="dxa"/>
            </w:tcMar>
          </w:tcPr>
          <w:p w14:paraId="6DFD53B2" w14:textId="77777777" w:rsidR="00BA3083" w:rsidRDefault="00000000">
            <w:pPr>
              <w:spacing w:after="20"/>
            </w:pPr>
            <w:r>
              <w:rPr>
                <w:b/>
                <w:bCs/>
                <w:sz w:val="19"/>
                <w:szCs w:val="19"/>
              </w:rPr>
              <w:t>Yes — dominant</w:t>
            </w:r>
          </w:p>
        </w:tc>
        <w:tc>
          <w:tcPr>
            <w:tcW w:w="4660" w:type="dxa"/>
            <w:tcMar>
              <w:top w:w="60" w:type="dxa"/>
              <w:left w:w="90" w:type="dxa"/>
              <w:bottom w:w="60" w:type="dxa"/>
              <w:right w:w="90" w:type="dxa"/>
            </w:tcMar>
          </w:tcPr>
          <w:p w14:paraId="2A80C149" w14:textId="77777777" w:rsidR="00BA3083" w:rsidRDefault="00000000">
            <w:pPr>
              <w:spacing w:after="20"/>
            </w:pPr>
            <w:r>
              <w:rPr>
                <w:sz w:val="19"/>
                <w:szCs w:val="19"/>
              </w:rPr>
              <w:t>If pools never reach viable diversification (0.5–1m precedent) and no one funds acquisition/subsidy from 15k→500k, the model cannot reach ambition regardless of delivery quality. Who pays, who continues after donor exit — both unanswered.</w:t>
            </w:r>
          </w:p>
        </w:tc>
      </w:tr>
      <w:tr w:rsidR="00BA3083" w14:paraId="052E359B" w14:textId="77777777">
        <w:tblPrEx>
          <w:tblCellMar>
            <w:top w:w="0" w:type="dxa"/>
            <w:bottom w:w="0" w:type="dxa"/>
          </w:tblCellMar>
        </w:tblPrEx>
        <w:tc>
          <w:tcPr>
            <w:tcW w:w="2550" w:type="dxa"/>
            <w:shd w:val="clear" w:color="auto" w:fill="F5F8F7"/>
            <w:tcMar>
              <w:top w:w="60" w:type="dxa"/>
              <w:left w:w="90" w:type="dxa"/>
              <w:bottom w:w="60" w:type="dxa"/>
              <w:right w:w="90" w:type="dxa"/>
            </w:tcMar>
          </w:tcPr>
          <w:p w14:paraId="65D4172A" w14:textId="77777777" w:rsidR="00BA3083" w:rsidRDefault="00000000">
            <w:pPr>
              <w:spacing w:after="20"/>
            </w:pPr>
            <w:r>
              <w:rPr>
                <w:sz w:val="19"/>
                <w:szCs w:val="19"/>
              </w:rPr>
              <w:t>Agent incentives / delivery black box</w:t>
            </w:r>
          </w:p>
        </w:tc>
        <w:tc>
          <w:tcPr>
            <w:tcW w:w="900" w:type="dxa"/>
            <w:shd w:val="clear" w:color="auto" w:fill="F5F8F7"/>
            <w:tcMar>
              <w:top w:w="60" w:type="dxa"/>
              <w:left w:w="90" w:type="dxa"/>
              <w:bottom w:w="60" w:type="dxa"/>
              <w:right w:w="90" w:type="dxa"/>
            </w:tcMar>
          </w:tcPr>
          <w:p w14:paraId="1489868B" w14:textId="77777777" w:rsidR="00BA3083" w:rsidRDefault="00000000">
            <w:pPr>
              <w:spacing w:after="20"/>
            </w:pPr>
            <w:r>
              <w:rPr>
                <w:sz w:val="19"/>
                <w:szCs w:val="19"/>
              </w:rPr>
              <w:t>Mid-stream</w:t>
            </w:r>
          </w:p>
        </w:tc>
        <w:tc>
          <w:tcPr>
            <w:tcW w:w="1250" w:type="dxa"/>
            <w:shd w:val="clear" w:color="auto" w:fill="F5F8F7"/>
            <w:tcMar>
              <w:top w:w="60" w:type="dxa"/>
              <w:left w:w="90" w:type="dxa"/>
              <w:bottom w:w="60" w:type="dxa"/>
              <w:right w:w="90" w:type="dxa"/>
            </w:tcMar>
          </w:tcPr>
          <w:p w14:paraId="7AFB45A1" w14:textId="77777777" w:rsidR="00BA3083" w:rsidRDefault="00000000">
            <w:pPr>
              <w:spacing w:after="20"/>
            </w:pPr>
            <w:r>
              <w:rPr>
                <w:sz w:val="19"/>
                <w:szCs w:val="19"/>
              </w:rPr>
              <w:t>Yes</w:t>
            </w:r>
          </w:p>
        </w:tc>
        <w:tc>
          <w:tcPr>
            <w:tcW w:w="4660" w:type="dxa"/>
            <w:shd w:val="clear" w:color="auto" w:fill="F5F8F7"/>
            <w:tcMar>
              <w:top w:w="60" w:type="dxa"/>
              <w:left w:w="90" w:type="dxa"/>
              <w:bottom w:w="60" w:type="dxa"/>
              <w:right w:w="90" w:type="dxa"/>
            </w:tcMar>
          </w:tcPr>
          <w:p w14:paraId="14AB281A" w14:textId="77777777" w:rsidR="00BA3083" w:rsidRDefault="00000000">
            <w:pPr>
              <w:spacing w:after="20"/>
            </w:pPr>
            <w:r>
              <w:rPr>
                <w:sz w:val="19"/>
                <w:szCs w:val="19"/>
              </w:rPr>
              <w:t>Determines inclusion and quality; but is a delivery-</w:t>
            </w:r>
            <w:proofErr w:type="spellStart"/>
            <w:r>
              <w:rPr>
                <w:sz w:val="19"/>
                <w:szCs w:val="19"/>
              </w:rPr>
              <w:t>optimisation</w:t>
            </w:r>
            <w:proofErr w:type="spellEnd"/>
            <w:r>
              <w:rPr>
                <w:sz w:val="19"/>
                <w:szCs w:val="19"/>
              </w:rPr>
              <w:t xml:space="preserve"> problem downstream of whether the financial model exists to deliver at all.</w:t>
            </w:r>
          </w:p>
        </w:tc>
      </w:tr>
      <w:tr w:rsidR="00BA3083" w14:paraId="63E5E1AA" w14:textId="77777777">
        <w:tblPrEx>
          <w:tblCellMar>
            <w:top w:w="0" w:type="dxa"/>
            <w:bottom w:w="0" w:type="dxa"/>
          </w:tblCellMar>
        </w:tblPrEx>
        <w:tc>
          <w:tcPr>
            <w:tcW w:w="2550" w:type="dxa"/>
            <w:tcMar>
              <w:top w:w="60" w:type="dxa"/>
              <w:left w:w="90" w:type="dxa"/>
              <w:bottom w:w="60" w:type="dxa"/>
              <w:right w:w="90" w:type="dxa"/>
            </w:tcMar>
          </w:tcPr>
          <w:p w14:paraId="58CB2BB6" w14:textId="77777777" w:rsidR="00BA3083" w:rsidRDefault="00000000">
            <w:pPr>
              <w:spacing w:after="20"/>
            </w:pPr>
            <w:r>
              <w:rPr>
                <w:sz w:val="19"/>
                <w:szCs w:val="19"/>
              </w:rPr>
              <w:t>Climate-risk pricing under non-stationarity</w:t>
            </w:r>
          </w:p>
        </w:tc>
        <w:tc>
          <w:tcPr>
            <w:tcW w:w="900" w:type="dxa"/>
            <w:tcMar>
              <w:top w:w="60" w:type="dxa"/>
              <w:left w:w="90" w:type="dxa"/>
              <w:bottom w:w="60" w:type="dxa"/>
              <w:right w:w="90" w:type="dxa"/>
            </w:tcMar>
          </w:tcPr>
          <w:p w14:paraId="0558CBFF" w14:textId="77777777" w:rsidR="00BA3083" w:rsidRDefault="00000000">
            <w:pPr>
              <w:spacing w:after="20"/>
            </w:pPr>
            <w:r>
              <w:rPr>
                <w:sz w:val="19"/>
                <w:szCs w:val="19"/>
              </w:rPr>
              <w:t>Upstream</w:t>
            </w:r>
          </w:p>
        </w:tc>
        <w:tc>
          <w:tcPr>
            <w:tcW w:w="1250" w:type="dxa"/>
            <w:tcMar>
              <w:top w:w="60" w:type="dxa"/>
              <w:left w:w="90" w:type="dxa"/>
              <w:bottom w:w="60" w:type="dxa"/>
              <w:right w:w="90" w:type="dxa"/>
            </w:tcMar>
          </w:tcPr>
          <w:p w14:paraId="3A96B82C" w14:textId="77777777" w:rsidR="00BA3083" w:rsidRDefault="00000000">
            <w:pPr>
              <w:spacing w:after="20"/>
            </w:pPr>
            <w:r>
              <w:rPr>
                <w:sz w:val="19"/>
                <w:szCs w:val="19"/>
              </w:rPr>
              <w:t>Yes</w:t>
            </w:r>
          </w:p>
        </w:tc>
        <w:tc>
          <w:tcPr>
            <w:tcW w:w="4660" w:type="dxa"/>
            <w:tcMar>
              <w:top w:w="60" w:type="dxa"/>
              <w:left w:w="90" w:type="dxa"/>
              <w:bottom w:w="60" w:type="dxa"/>
              <w:right w:w="90" w:type="dxa"/>
            </w:tcMar>
          </w:tcPr>
          <w:p w14:paraId="43245536" w14:textId="77777777" w:rsidR="00BA3083" w:rsidRDefault="00000000">
            <w:pPr>
              <w:spacing w:after="20"/>
            </w:pPr>
            <w:r>
              <w:rPr>
                <w:sz w:val="19"/>
                <w:szCs w:val="19"/>
              </w:rPr>
              <w:t>Genuinely upstream and unsolved industry-wide; but partners can price conservatively / use reinsurance — it raises cost rather than blocking existence. Feeds into the financing constraint.</w:t>
            </w:r>
          </w:p>
        </w:tc>
      </w:tr>
      <w:tr w:rsidR="00BA3083" w14:paraId="494AC554" w14:textId="77777777">
        <w:tblPrEx>
          <w:tblCellMar>
            <w:top w:w="0" w:type="dxa"/>
            <w:bottom w:w="0" w:type="dxa"/>
          </w:tblCellMar>
        </w:tblPrEx>
        <w:tc>
          <w:tcPr>
            <w:tcW w:w="2550" w:type="dxa"/>
            <w:shd w:val="clear" w:color="auto" w:fill="F5F8F7"/>
            <w:tcMar>
              <w:top w:w="60" w:type="dxa"/>
              <w:left w:w="90" w:type="dxa"/>
              <w:bottom w:w="60" w:type="dxa"/>
              <w:right w:w="90" w:type="dxa"/>
            </w:tcMar>
          </w:tcPr>
          <w:p w14:paraId="050F29ED" w14:textId="77777777" w:rsidR="00BA3083" w:rsidRDefault="00000000">
            <w:pPr>
              <w:spacing w:after="20"/>
            </w:pPr>
            <w:r>
              <w:rPr>
                <w:sz w:val="19"/>
                <w:szCs w:val="19"/>
              </w:rPr>
              <w:t>Claims-settlement speed vs. planting cycle</w:t>
            </w:r>
          </w:p>
        </w:tc>
        <w:tc>
          <w:tcPr>
            <w:tcW w:w="900" w:type="dxa"/>
            <w:shd w:val="clear" w:color="auto" w:fill="F5F8F7"/>
            <w:tcMar>
              <w:top w:w="60" w:type="dxa"/>
              <w:left w:w="90" w:type="dxa"/>
              <w:bottom w:w="60" w:type="dxa"/>
              <w:right w:w="90" w:type="dxa"/>
            </w:tcMar>
          </w:tcPr>
          <w:p w14:paraId="31C8238B" w14:textId="77777777" w:rsidR="00BA3083" w:rsidRDefault="00000000">
            <w:pPr>
              <w:spacing w:after="20"/>
            </w:pPr>
            <w:r>
              <w:rPr>
                <w:sz w:val="19"/>
                <w:szCs w:val="19"/>
              </w:rPr>
              <w:t>Downstream</w:t>
            </w:r>
          </w:p>
        </w:tc>
        <w:tc>
          <w:tcPr>
            <w:tcW w:w="1250" w:type="dxa"/>
            <w:shd w:val="clear" w:color="auto" w:fill="F5F8F7"/>
            <w:tcMar>
              <w:top w:w="60" w:type="dxa"/>
              <w:left w:w="90" w:type="dxa"/>
              <w:bottom w:w="60" w:type="dxa"/>
              <w:right w:w="90" w:type="dxa"/>
            </w:tcMar>
          </w:tcPr>
          <w:p w14:paraId="6608590B" w14:textId="77777777" w:rsidR="00BA3083" w:rsidRDefault="00000000">
            <w:pPr>
              <w:spacing w:after="20"/>
            </w:pPr>
            <w:r>
              <w:rPr>
                <w:sz w:val="19"/>
                <w:szCs w:val="19"/>
              </w:rPr>
              <w:t>Yes</w:t>
            </w:r>
          </w:p>
        </w:tc>
        <w:tc>
          <w:tcPr>
            <w:tcW w:w="4660" w:type="dxa"/>
            <w:shd w:val="clear" w:color="auto" w:fill="F5F8F7"/>
            <w:tcMar>
              <w:top w:w="60" w:type="dxa"/>
              <w:left w:w="90" w:type="dxa"/>
              <w:bottom w:w="60" w:type="dxa"/>
              <w:right w:w="90" w:type="dxa"/>
            </w:tcMar>
          </w:tcPr>
          <w:p w14:paraId="694CFB1F" w14:textId="77777777" w:rsidR="00BA3083" w:rsidRDefault="00000000">
            <w:pPr>
              <w:spacing w:after="20"/>
            </w:pPr>
            <w:r>
              <w:rPr>
                <w:sz w:val="19"/>
                <w:szCs w:val="19"/>
              </w:rPr>
              <w:t>Breaks trust and persistency if slow; important but a fixable operational parameter, not a system-level blocker.</w:t>
            </w:r>
          </w:p>
        </w:tc>
      </w:tr>
      <w:tr w:rsidR="00BA3083" w14:paraId="2ADB4013" w14:textId="77777777">
        <w:tblPrEx>
          <w:tblCellMar>
            <w:top w:w="0" w:type="dxa"/>
            <w:bottom w:w="0" w:type="dxa"/>
          </w:tblCellMar>
        </w:tblPrEx>
        <w:tc>
          <w:tcPr>
            <w:tcW w:w="2550" w:type="dxa"/>
            <w:tcMar>
              <w:top w:w="60" w:type="dxa"/>
              <w:left w:w="90" w:type="dxa"/>
              <w:bottom w:w="60" w:type="dxa"/>
              <w:right w:w="90" w:type="dxa"/>
            </w:tcMar>
          </w:tcPr>
          <w:p w14:paraId="54810506" w14:textId="77777777" w:rsidR="00BA3083" w:rsidRDefault="00000000">
            <w:pPr>
              <w:spacing w:after="20"/>
            </w:pPr>
            <w:r>
              <w:rPr>
                <w:sz w:val="19"/>
                <w:szCs w:val="19"/>
              </w:rPr>
              <w:t>Farmer trust / persistency (</w:t>
            </w:r>
            <w:proofErr w:type="spellStart"/>
            <w:r>
              <w:rPr>
                <w:sz w:val="19"/>
                <w:szCs w:val="19"/>
              </w:rPr>
              <w:t>disadoption</w:t>
            </w:r>
            <w:proofErr w:type="spellEnd"/>
            <w:r>
              <w:rPr>
                <w:sz w:val="19"/>
                <w:szCs w:val="19"/>
              </w:rPr>
              <w:t>)</w:t>
            </w:r>
          </w:p>
        </w:tc>
        <w:tc>
          <w:tcPr>
            <w:tcW w:w="900" w:type="dxa"/>
            <w:tcMar>
              <w:top w:w="60" w:type="dxa"/>
              <w:left w:w="90" w:type="dxa"/>
              <w:bottom w:w="60" w:type="dxa"/>
              <w:right w:w="90" w:type="dxa"/>
            </w:tcMar>
          </w:tcPr>
          <w:p w14:paraId="74AAAB64" w14:textId="77777777" w:rsidR="00BA3083" w:rsidRDefault="00000000">
            <w:pPr>
              <w:spacing w:after="20"/>
            </w:pPr>
            <w:r>
              <w:rPr>
                <w:sz w:val="19"/>
                <w:szCs w:val="19"/>
              </w:rPr>
              <w:t>Downstream</w:t>
            </w:r>
          </w:p>
        </w:tc>
        <w:tc>
          <w:tcPr>
            <w:tcW w:w="1250" w:type="dxa"/>
            <w:tcMar>
              <w:top w:w="60" w:type="dxa"/>
              <w:left w:w="90" w:type="dxa"/>
              <w:bottom w:w="60" w:type="dxa"/>
              <w:right w:w="90" w:type="dxa"/>
            </w:tcMar>
          </w:tcPr>
          <w:p w14:paraId="527E10F7" w14:textId="77777777" w:rsidR="00BA3083" w:rsidRDefault="00000000">
            <w:pPr>
              <w:spacing w:after="20"/>
            </w:pPr>
            <w:r>
              <w:rPr>
                <w:sz w:val="19"/>
                <w:szCs w:val="19"/>
              </w:rPr>
              <w:t>Yes</w:t>
            </w:r>
          </w:p>
        </w:tc>
        <w:tc>
          <w:tcPr>
            <w:tcW w:w="4660" w:type="dxa"/>
            <w:tcMar>
              <w:top w:w="60" w:type="dxa"/>
              <w:left w:w="90" w:type="dxa"/>
              <w:bottom w:w="60" w:type="dxa"/>
              <w:right w:w="90" w:type="dxa"/>
            </w:tcMar>
          </w:tcPr>
          <w:p w14:paraId="495DB450" w14:textId="77777777" w:rsidR="00BA3083" w:rsidRDefault="00000000">
            <w:pPr>
              <w:spacing w:after="20"/>
            </w:pPr>
            <w:r>
              <w:rPr>
                <w:sz w:val="19"/>
                <w:szCs w:val="19"/>
              </w:rPr>
              <w:t>Symptom of claims speed + tangible-value perception; Kohl's Syngenta point about farmers quitting when no payout arrives.</w:t>
            </w:r>
          </w:p>
        </w:tc>
      </w:tr>
      <w:tr w:rsidR="00BA3083" w14:paraId="3D252968" w14:textId="77777777">
        <w:tblPrEx>
          <w:tblCellMar>
            <w:top w:w="0" w:type="dxa"/>
            <w:bottom w:w="0" w:type="dxa"/>
          </w:tblCellMar>
        </w:tblPrEx>
        <w:tc>
          <w:tcPr>
            <w:tcW w:w="2550" w:type="dxa"/>
            <w:shd w:val="clear" w:color="auto" w:fill="F5F8F7"/>
            <w:tcMar>
              <w:top w:w="60" w:type="dxa"/>
              <w:left w:w="90" w:type="dxa"/>
              <w:bottom w:w="60" w:type="dxa"/>
              <w:right w:w="90" w:type="dxa"/>
            </w:tcMar>
          </w:tcPr>
          <w:p w14:paraId="3835D8AB" w14:textId="77777777" w:rsidR="00BA3083" w:rsidRDefault="00000000">
            <w:pPr>
              <w:spacing w:after="20"/>
            </w:pPr>
            <w:r>
              <w:rPr>
                <w:sz w:val="19"/>
                <w:szCs w:val="19"/>
              </w:rPr>
              <w:t>Denominator / ambition definition</w:t>
            </w:r>
          </w:p>
        </w:tc>
        <w:tc>
          <w:tcPr>
            <w:tcW w:w="900" w:type="dxa"/>
            <w:shd w:val="clear" w:color="auto" w:fill="F5F8F7"/>
            <w:tcMar>
              <w:top w:w="60" w:type="dxa"/>
              <w:left w:w="90" w:type="dxa"/>
              <w:bottom w:w="60" w:type="dxa"/>
              <w:right w:w="90" w:type="dxa"/>
            </w:tcMar>
          </w:tcPr>
          <w:p w14:paraId="04C5E1B4" w14:textId="77777777" w:rsidR="00BA3083" w:rsidRDefault="00000000">
            <w:pPr>
              <w:spacing w:after="20"/>
            </w:pPr>
            <w:r>
              <w:rPr>
                <w:sz w:val="19"/>
                <w:szCs w:val="19"/>
              </w:rPr>
              <w:t>Upstream</w:t>
            </w:r>
          </w:p>
        </w:tc>
        <w:tc>
          <w:tcPr>
            <w:tcW w:w="1250" w:type="dxa"/>
            <w:shd w:val="clear" w:color="auto" w:fill="F5F8F7"/>
            <w:tcMar>
              <w:top w:w="60" w:type="dxa"/>
              <w:left w:w="90" w:type="dxa"/>
              <w:bottom w:w="60" w:type="dxa"/>
              <w:right w:w="90" w:type="dxa"/>
            </w:tcMar>
          </w:tcPr>
          <w:p w14:paraId="3670781B" w14:textId="77777777" w:rsidR="00BA3083" w:rsidRDefault="00000000">
            <w:pPr>
              <w:spacing w:after="20"/>
            </w:pPr>
            <w:r>
              <w:rPr>
                <w:sz w:val="19"/>
                <w:szCs w:val="19"/>
              </w:rPr>
              <w:t>Partly</w:t>
            </w:r>
          </w:p>
        </w:tc>
        <w:tc>
          <w:tcPr>
            <w:tcW w:w="4660" w:type="dxa"/>
            <w:shd w:val="clear" w:color="auto" w:fill="F5F8F7"/>
            <w:tcMar>
              <w:top w:w="60" w:type="dxa"/>
              <w:left w:w="90" w:type="dxa"/>
              <w:bottom w:w="60" w:type="dxa"/>
              <w:right w:w="90" w:type="dxa"/>
            </w:tcMar>
          </w:tcPr>
          <w:p w14:paraId="13BC62C0" w14:textId="77777777" w:rsidR="00BA3083" w:rsidRDefault="00000000">
            <w:pPr>
              <w:spacing w:after="20"/>
            </w:pPr>
            <w:r>
              <w:rPr>
                <w:sz w:val="19"/>
                <w:szCs w:val="19"/>
              </w:rPr>
              <w:t>A reasoning weakness rather than a field constraint; it hides the financing gap but doesn't itself block scale.</w:t>
            </w:r>
          </w:p>
        </w:tc>
      </w:tr>
    </w:tbl>
    <w:p w14:paraId="55B24376" w14:textId="77777777" w:rsidR="00BA3083" w:rsidRDefault="00000000">
      <w:pPr>
        <w:pStyle w:val="Heading3"/>
        <w:spacing w:before="160" w:after="70"/>
      </w:pPr>
      <w:r>
        <w:t>Anti-legibility check</w:t>
      </w:r>
    </w:p>
    <w:p w14:paraId="32D2E70D" w14:textId="77777777" w:rsidR="00BA3083" w:rsidRDefault="00000000">
      <w:pPr>
        <w:spacing w:after="110" w:line="264" w:lineRule="auto"/>
        <w:ind w:left="120"/>
      </w:pPr>
      <w:proofErr w:type="gramStart"/>
      <w:r>
        <w:rPr>
          <w:b/>
          <w:bCs/>
          <w:color w:val="0B5394"/>
          <w:sz w:val="17"/>
          <w:szCs w:val="17"/>
        </w:rPr>
        <w:t xml:space="preserve">INTERPRETATION  </w:t>
      </w:r>
      <w:r>
        <w:t>The</w:t>
      </w:r>
      <w:proofErr w:type="gramEnd"/>
      <w:r>
        <w:t xml:space="preserve"> most </w:t>
      </w:r>
      <w:r>
        <w:rPr>
          <w:b/>
          <w:bCs/>
        </w:rPr>
        <w:t>legible</w:t>
      </w:r>
      <w:r>
        <w:t xml:space="preserve"> candidate — agent training / capacity building — is the one the workplan most </w:t>
      </w:r>
      <w:proofErr w:type="spellStart"/>
      <w:r>
        <w:t>emphasises</w:t>
      </w:r>
      <w:proofErr w:type="spellEnd"/>
      <w:r>
        <w:t xml:space="preserve">, because it is fundable, schedulable and reportable. The anti-legibility check flags exactly this: the track may be gravitating to the visible, tractable constraint (train agents) while the </w:t>
      </w:r>
      <w:r>
        <w:rPr>
          <w:b/>
          <w:bCs/>
        </w:rPr>
        <w:t>illegible, harder constraint</w:t>
      </w:r>
      <w:r>
        <w:t xml:space="preserve"> (a financing pathway that doesn't yet exist for the insurance leg at scale) receives least attention.</w:t>
      </w:r>
    </w:p>
    <w:p w14:paraId="5FF6A7C0" w14:textId="77777777" w:rsidR="00BA3083" w:rsidRDefault="00000000">
      <w:pPr>
        <w:pStyle w:val="Heading3"/>
        <w:spacing w:before="160" w:after="70"/>
      </w:pPr>
      <w:r>
        <w:t>Selected weakest link</w:t>
      </w:r>
    </w:p>
    <w:tbl>
      <w:tblPr>
        <w:tblW w:w="9360" w:type="dxa"/>
        <w:tblBorders>
          <w:left w:val="single" w:sz="24" w:space="0" w:color="6A1B9A"/>
        </w:tblBorders>
        <w:tblCellMar>
          <w:left w:w="10" w:type="dxa"/>
          <w:right w:w="10" w:type="dxa"/>
        </w:tblCellMar>
        <w:tblLook w:val="04A0" w:firstRow="1" w:lastRow="0" w:firstColumn="1" w:lastColumn="0" w:noHBand="0" w:noVBand="1"/>
      </w:tblPr>
      <w:tblGrid>
        <w:gridCol w:w="9360"/>
      </w:tblGrid>
      <w:tr w:rsidR="00BA3083" w14:paraId="0B288010" w14:textId="77777777">
        <w:tblPrEx>
          <w:tblCellMar>
            <w:top w:w="0" w:type="dxa"/>
            <w:bottom w:w="0" w:type="dxa"/>
          </w:tblCellMar>
        </w:tblPrEx>
        <w:tc>
          <w:tcPr>
            <w:tcW w:w="9360" w:type="dxa"/>
            <w:shd w:val="clear" w:color="auto" w:fill="FBEAEA"/>
            <w:tcMar>
              <w:top w:w="120" w:type="dxa"/>
              <w:left w:w="200" w:type="dxa"/>
              <w:bottom w:w="120" w:type="dxa"/>
              <w:right w:w="160" w:type="dxa"/>
            </w:tcMar>
          </w:tcPr>
          <w:p w14:paraId="148E5C46" w14:textId="77777777" w:rsidR="00BA3083" w:rsidRDefault="00000000">
            <w:pPr>
              <w:spacing w:after="60"/>
            </w:pPr>
            <w:r>
              <w:rPr>
                <w:b/>
                <w:bCs/>
                <w:color w:val="6A1B9A"/>
              </w:rPr>
              <w:t>The single most upstream constraint</w:t>
            </w:r>
          </w:p>
          <w:p w14:paraId="3476B602" w14:textId="77777777" w:rsidR="00BA3083" w:rsidRDefault="00000000">
            <w:pPr>
              <w:spacing w:after="50" w:line="258" w:lineRule="auto"/>
            </w:pPr>
            <w:r>
              <w:rPr>
                <w:b/>
                <w:bCs/>
                <w:color w:val="6A1B9A"/>
                <w:sz w:val="23"/>
                <w:szCs w:val="23"/>
              </w:rPr>
              <w:t>Financing sustainability of the insurance leg at scale</w:t>
            </w:r>
          </w:p>
          <w:p w14:paraId="493136A1" w14:textId="77777777" w:rsidR="00BA3083" w:rsidRDefault="00000000">
            <w:pPr>
              <w:spacing w:after="50" w:line="258" w:lineRule="auto"/>
            </w:pPr>
            <w:r>
              <w:t>Specifically: (1) whether the insurance pool can ever reach viable risk diversification at the numbers this model can plausibly reach, and (2) who funds customer acquisition, smart subsidies and FLDGs on the path from ~15,000 to hundreds of thousands of farmers.</w:t>
            </w:r>
          </w:p>
          <w:p w14:paraId="00099868" w14:textId="77777777" w:rsidR="00BA3083" w:rsidRDefault="00000000">
            <w:pPr>
              <w:spacing w:after="50" w:line="258" w:lineRule="auto"/>
            </w:pPr>
            <w:r>
              <w:t>It dominates because every other function (delivery, demand, trust, inclusion) is contingent on the financial model existing at scale. Delivery quality is worthless if there is no viable pool to deliver into; trust is moot if the product is withdrawn when subsidies end. The Syngenta Foundation precedent — a well-funded insurance-scaling effort that could not cross this exact gap — is the reference case.</w:t>
            </w:r>
          </w:p>
        </w:tc>
      </w:tr>
    </w:tbl>
    <w:p w14:paraId="2BC594B8" w14:textId="77777777" w:rsidR="00BA3083" w:rsidRDefault="00000000">
      <w:pPr>
        <w:pStyle w:val="Heading3"/>
        <w:spacing w:before="160" w:after="70"/>
      </w:pPr>
      <w:r>
        <w:t>Preserved disagreement between disciplines</w:t>
      </w:r>
    </w:p>
    <w:p w14:paraId="55E73319" w14:textId="77777777" w:rsidR="00BA3083" w:rsidRDefault="00000000">
      <w:pPr>
        <w:spacing w:after="110" w:line="264" w:lineRule="auto"/>
        <w:ind w:left="120"/>
      </w:pPr>
      <w:proofErr w:type="gramStart"/>
      <w:r>
        <w:rPr>
          <w:b/>
          <w:bCs/>
          <w:color w:val="0B5394"/>
          <w:sz w:val="17"/>
          <w:szCs w:val="17"/>
        </w:rPr>
        <w:t xml:space="preserve">INTERPRETATION  </w:t>
      </w:r>
      <w:r>
        <w:t>The</w:t>
      </w:r>
      <w:proofErr w:type="gramEnd"/>
      <w:r>
        <w:t xml:space="preserve"> </w:t>
      </w:r>
      <w:r>
        <w:rPr>
          <w:b/>
          <w:bCs/>
          <w:color w:val="1B5E4F"/>
        </w:rPr>
        <w:t>CGIAR Scaling Coach</w:t>
      </w:r>
      <w:r>
        <w:t xml:space="preserve"> and the </w:t>
      </w:r>
      <w:r>
        <w:rPr>
          <w:b/>
          <w:bCs/>
          <w:color w:val="6A1B9A"/>
        </w:rPr>
        <w:t>Kohl Strategy Coach</w:t>
      </w:r>
      <w:r>
        <w:t xml:space="preserve"> do not fully agree on the weakest link, and this is preserved rather than resolved:</w:t>
      </w:r>
    </w:p>
    <w:p w14:paraId="21A02F19" w14:textId="77777777" w:rsidR="00BA3083" w:rsidRDefault="00000000">
      <w:pPr>
        <w:pStyle w:val="ListParagraph"/>
        <w:numPr>
          <w:ilvl w:val="0"/>
          <w:numId w:val="2"/>
        </w:numPr>
        <w:spacing w:after="60" w:line="258" w:lineRule="auto"/>
      </w:pPr>
      <w:r>
        <w:lastRenderedPageBreak/>
        <w:t xml:space="preserve">Kohl view (adopted as primary): the </w:t>
      </w:r>
      <w:r>
        <w:rPr>
          <w:b/>
          <w:bCs/>
        </w:rPr>
        <w:t>financing/pool-viability</w:t>
      </w:r>
      <w:r>
        <w:t xml:space="preserve"> constraint is binding and upstream — consistent with his live meeting comments.</w:t>
      </w:r>
    </w:p>
    <w:p w14:paraId="193B8842" w14:textId="77777777" w:rsidR="00BA3083" w:rsidRDefault="00000000">
      <w:pPr>
        <w:pStyle w:val="ListParagraph"/>
        <w:numPr>
          <w:ilvl w:val="0"/>
          <w:numId w:val="2"/>
        </w:numPr>
        <w:spacing w:after="60" w:line="258" w:lineRule="auto"/>
      </w:pPr>
      <w:r>
        <w:t xml:space="preserve">CGIAR-coach view (minority): the </w:t>
      </w:r>
      <w:r>
        <w:rPr>
          <w:b/>
          <w:bCs/>
        </w:rPr>
        <w:t>agent-network delivery black box</w:t>
      </w:r>
      <w:r>
        <w:t xml:space="preserve"> is the more actionable binding constraint for inclusive scaling in the 2026 horizon, because it is what determines whether the women/youth/</w:t>
      </w:r>
      <w:proofErr w:type="spellStart"/>
      <w:r>
        <w:t>marginalised</w:t>
      </w:r>
      <w:proofErr w:type="spellEnd"/>
      <w:r>
        <w:t xml:space="preserve"> targets are met at all. Under this view, financing is a 2027+ problem and agents are the 2026 problem.</w:t>
      </w:r>
    </w:p>
    <w:p w14:paraId="1BE70BF8" w14:textId="77777777" w:rsidR="00BA3083" w:rsidRDefault="00000000">
      <w:pPr>
        <w:spacing w:after="110" w:line="264" w:lineRule="auto"/>
        <w:ind w:left="120"/>
      </w:pPr>
      <w:proofErr w:type="gramStart"/>
      <w:r>
        <w:rPr>
          <w:b/>
          <w:bCs/>
          <w:color w:val="6A1B9A"/>
          <w:sz w:val="17"/>
          <w:szCs w:val="17"/>
        </w:rPr>
        <w:t xml:space="preserve">JUDGEMENT  </w:t>
      </w:r>
      <w:r>
        <w:t>Both</w:t>
      </w:r>
      <w:proofErr w:type="gramEnd"/>
      <w:r>
        <w:t xml:space="preserve"> can be true at different time-horizons. Recommendation resolves the tension by </w:t>
      </w:r>
      <w:r>
        <w:rPr>
          <w:b/>
          <w:bCs/>
        </w:rPr>
        <w:t>sequencing</w:t>
      </w:r>
      <w:r>
        <w:t>: treat financing as the strategic gate and agents as the operational focus — not by declaring one wrong.</w:t>
      </w:r>
    </w:p>
    <w:p w14:paraId="09C2E138" w14:textId="77777777" w:rsidR="00BA3083" w:rsidRDefault="00000000">
      <w:pPr>
        <w:pStyle w:val="Heading2"/>
        <w:spacing w:before="220" w:after="100"/>
      </w:pPr>
      <w:bookmarkStart w:id="16" w:name="_Toc234870966"/>
      <w:r>
        <w:t>3.8 Critical assumptions</w:t>
      </w:r>
      <w:bookmarkEnd w:id="16"/>
    </w:p>
    <w:tbl>
      <w:tblPr>
        <w:tblW w:w="9360" w:type="dxa"/>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left w:w="10" w:type="dxa"/>
          <w:right w:w="10" w:type="dxa"/>
        </w:tblCellMar>
        <w:tblLook w:val="04A0" w:firstRow="1" w:lastRow="0" w:firstColumn="1" w:lastColumn="0" w:noHBand="0" w:noVBand="1"/>
      </w:tblPr>
      <w:tblGrid>
        <w:gridCol w:w="3900"/>
        <w:gridCol w:w="2560"/>
        <w:gridCol w:w="2900"/>
      </w:tblGrid>
      <w:tr w:rsidR="00BA3083" w14:paraId="255D48C6" w14:textId="77777777">
        <w:tblPrEx>
          <w:tblCellMar>
            <w:top w:w="0" w:type="dxa"/>
            <w:bottom w:w="0" w:type="dxa"/>
          </w:tblCellMar>
        </w:tblPrEx>
        <w:trPr>
          <w:tblHeader/>
        </w:trPr>
        <w:tc>
          <w:tcPr>
            <w:tcW w:w="3900" w:type="dxa"/>
            <w:shd w:val="clear" w:color="auto" w:fill="1B5E4F"/>
            <w:tcMar>
              <w:top w:w="60" w:type="dxa"/>
              <w:left w:w="90" w:type="dxa"/>
              <w:bottom w:w="60" w:type="dxa"/>
              <w:right w:w="90" w:type="dxa"/>
            </w:tcMar>
          </w:tcPr>
          <w:p w14:paraId="1446D6B2" w14:textId="77777777" w:rsidR="00BA3083" w:rsidRDefault="00000000">
            <w:pPr>
              <w:spacing w:after="20"/>
            </w:pPr>
            <w:r>
              <w:rPr>
                <w:b/>
                <w:bCs/>
                <w:color w:val="FFFFFF"/>
                <w:sz w:val="19"/>
                <w:szCs w:val="19"/>
              </w:rPr>
              <w:t>Assumption</w:t>
            </w:r>
          </w:p>
        </w:tc>
        <w:tc>
          <w:tcPr>
            <w:tcW w:w="2560" w:type="dxa"/>
            <w:shd w:val="clear" w:color="auto" w:fill="1B5E4F"/>
            <w:tcMar>
              <w:top w:w="60" w:type="dxa"/>
              <w:left w:w="90" w:type="dxa"/>
              <w:bottom w:w="60" w:type="dxa"/>
              <w:right w:w="90" w:type="dxa"/>
            </w:tcMar>
          </w:tcPr>
          <w:p w14:paraId="7CA72AB9" w14:textId="77777777" w:rsidR="00BA3083" w:rsidRDefault="00000000">
            <w:pPr>
              <w:spacing w:after="20"/>
            </w:pPr>
            <w:r>
              <w:rPr>
                <w:b/>
                <w:bCs/>
                <w:color w:val="FFFFFF"/>
                <w:sz w:val="19"/>
                <w:szCs w:val="19"/>
              </w:rPr>
              <w:t>Evidence</w:t>
            </w:r>
          </w:p>
        </w:tc>
        <w:tc>
          <w:tcPr>
            <w:tcW w:w="2900" w:type="dxa"/>
            <w:shd w:val="clear" w:color="auto" w:fill="1B5E4F"/>
            <w:tcMar>
              <w:top w:w="60" w:type="dxa"/>
              <w:left w:w="90" w:type="dxa"/>
              <w:bottom w:w="60" w:type="dxa"/>
              <w:right w:w="90" w:type="dxa"/>
            </w:tcMar>
          </w:tcPr>
          <w:p w14:paraId="341F0706" w14:textId="77777777" w:rsidR="00BA3083" w:rsidRDefault="00000000">
            <w:pPr>
              <w:spacing w:after="20"/>
            </w:pPr>
            <w:r>
              <w:rPr>
                <w:b/>
                <w:bCs/>
                <w:color w:val="FFFFFF"/>
                <w:sz w:val="19"/>
                <w:szCs w:val="19"/>
              </w:rPr>
              <w:t>Risk if wrong</w:t>
            </w:r>
          </w:p>
        </w:tc>
      </w:tr>
      <w:tr w:rsidR="00BA3083" w14:paraId="3EF453B6" w14:textId="77777777">
        <w:tblPrEx>
          <w:tblCellMar>
            <w:top w:w="0" w:type="dxa"/>
            <w:bottom w:w="0" w:type="dxa"/>
          </w:tblCellMar>
        </w:tblPrEx>
        <w:tc>
          <w:tcPr>
            <w:tcW w:w="3900" w:type="dxa"/>
            <w:tcMar>
              <w:top w:w="60" w:type="dxa"/>
              <w:left w:w="90" w:type="dxa"/>
              <w:bottom w:w="60" w:type="dxa"/>
              <w:right w:w="90" w:type="dxa"/>
            </w:tcMar>
          </w:tcPr>
          <w:p w14:paraId="06BD945F" w14:textId="77777777" w:rsidR="00BA3083" w:rsidRDefault="00000000">
            <w:pPr>
              <w:spacing w:after="20"/>
            </w:pPr>
            <w:r>
              <w:rPr>
                <w:sz w:val="19"/>
                <w:szCs w:val="19"/>
              </w:rPr>
              <w:t>Bundling with credit makes the insurance pool viable at reachable numbers</w:t>
            </w:r>
          </w:p>
        </w:tc>
        <w:tc>
          <w:tcPr>
            <w:tcW w:w="2560" w:type="dxa"/>
            <w:tcMar>
              <w:top w:w="60" w:type="dxa"/>
              <w:left w:w="90" w:type="dxa"/>
              <w:bottom w:w="60" w:type="dxa"/>
              <w:right w:w="90" w:type="dxa"/>
            </w:tcMar>
          </w:tcPr>
          <w:p w14:paraId="31F1BC15" w14:textId="77777777" w:rsidR="00BA3083" w:rsidRDefault="00000000">
            <w:pPr>
              <w:spacing w:after="20"/>
            </w:pPr>
            <w:r>
              <w:rPr>
                <w:sz w:val="19"/>
                <w:szCs w:val="19"/>
              </w:rPr>
              <w:t>Asserted; no pool math</w:t>
            </w:r>
          </w:p>
        </w:tc>
        <w:tc>
          <w:tcPr>
            <w:tcW w:w="2900" w:type="dxa"/>
            <w:tcMar>
              <w:top w:w="60" w:type="dxa"/>
              <w:left w:w="90" w:type="dxa"/>
              <w:bottom w:w="60" w:type="dxa"/>
              <w:right w:w="90" w:type="dxa"/>
            </w:tcMar>
          </w:tcPr>
          <w:p w14:paraId="21C9349E" w14:textId="77777777" w:rsidR="00BA3083" w:rsidRDefault="00000000">
            <w:pPr>
              <w:spacing w:after="20"/>
            </w:pPr>
            <w:r>
              <w:rPr>
                <w:sz w:val="19"/>
                <w:szCs w:val="19"/>
              </w:rPr>
              <w:t>Whole scaling model fails — reverts to Syngenta outcome</w:t>
            </w:r>
          </w:p>
        </w:tc>
      </w:tr>
      <w:tr w:rsidR="00BA3083" w14:paraId="79DD3CA1" w14:textId="77777777">
        <w:tblPrEx>
          <w:tblCellMar>
            <w:top w:w="0" w:type="dxa"/>
            <w:bottom w:w="0" w:type="dxa"/>
          </w:tblCellMar>
        </w:tblPrEx>
        <w:tc>
          <w:tcPr>
            <w:tcW w:w="3900" w:type="dxa"/>
            <w:shd w:val="clear" w:color="auto" w:fill="F5F8F7"/>
            <w:tcMar>
              <w:top w:w="60" w:type="dxa"/>
              <w:left w:w="90" w:type="dxa"/>
              <w:bottom w:w="60" w:type="dxa"/>
              <w:right w:w="90" w:type="dxa"/>
            </w:tcMar>
          </w:tcPr>
          <w:p w14:paraId="3E3C3D71" w14:textId="77777777" w:rsidR="00BA3083" w:rsidRDefault="00000000">
            <w:pPr>
              <w:spacing w:after="20"/>
            </w:pPr>
            <w:r>
              <w:rPr>
                <w:sz w:val="19"/>
                <w:szCs w:val="19"/>
              </w:rPr>
              <w:t>Subsidies/FLDGs can be phased out without collapsing uptake</w:t>
            </w:r>
          </w:p>
        </w:tc>
        <w:tc>
          <w:tcPr>
            <w:tcW w:w="2560" w:type="dxa"/>
            <w:shd w:val="clear" w:color="auto" w:fill="F5F8F7"/>
            <w:tcMar>
              <w:top w:w="60" w:type="dxa"/>
              <w:left w:w="90" w:type="dxa"/>
              <w:bottom w:w="60" w:type="dxa"/>
              <w:right w:w="90" w:type="dxa"/>
            </w:tcMar>
          </w:tcPr>
          <w:p w14:paraId="280DE71A" w14:textId="77777777" w:rsidR="00BA3083" w:rsidRDefault="00000000">
            <w:pPr>
              <w:spacing w:after="20"/>
            </w:pPr>
            <w:r>
              <w:rPr>
                <w:sz w:val="19"/>
                <w:szCs w:val="19"/>
              </w:rPr>
              <w:t>Kenya plan: 20%→lower→0 over 3 yrs; untested</w:t>
            </w:r>
          </w:p>
        </w:tc>
        <w:tc>
          <w:tcPr>
            <w:tcW w:w="2900" w:type="dxa"/>
            <w:shd w:val="clear" w:color="auto" w:fill="F5F8F7"/>
            <w:tcMar>
              <w:top w:w="60" w:type="dxa"/>
              <w:left w:w="90" w:type="dxa"/>
              <w:bottom w:w="60" w:type="dxa"/>
              <w:right w:w="90" w:type="dxa"/>
            </w:tcMar>
          </w:tcPr>
          <w:p w14:paraId="38679C20" w14:textId="77777777" w:rsidR="00BA3083" w:rsidRDefault="00000000">
            <w:pPr>
              <w:spacing w:after="20"/>
            </w:pPr>
            <w:r>
              <w:rPr>
                <w:sz w:val="19"/>
                <w:szCs w:val="19"/>
              </w:rPr>
              <w:t>Uptake collapses at phase-out; not self-sustaining</w:t>
            </w:r>
          </w:p>
        </w:tc>
      </w:tr>
      <w:tr w:rsidR="00BA3083" w14:paraId="0980D146" w14:textId="77777777">
        <w:tblPrEx>
          <w:tblCellMar>
            <w:top w:w="0" w:type="dxa"/>
            <w:bottom w:w="0" w:type="dxa"/>
          </w:tblCellMar>
        </w:tblPrEx>
        <w:tc>
          <w:tcPr>
            <w:tcW w:w="3900" w:type="dxa"/>
            <w:tcMar>
              <w:top w:w="60" w:type="dxa"/>
              <w:left w:w="90" w:type="dxa"/>
              <w:bottom w:w="60" w:type="dxa"/>
              <w:right w:w="90" w:type="dxa"/>
            </w:tcMar>
          </w:tcPr>
          <w:p w14:paraId="376BF7DB" w14:textId="77777777" w:rsidR="00BA3083" w:rsidRDefault="00000000">
            <w:pPr>
              <w:spacing w:after="20"/>
            </w:pPr>
            <w:r>
              <w:rPr>
                <w:sz w:val="19"/>
                <w:szCs w:val="19"/>
              </w:rPr>
              <w:t>Bilateral/social finance will crowd in to fund the 15k→100k gap</w:t>
            </w:r>
          </w:p>
        </w:tc>
        <w:tc>
          <w:tcPr>
            <w:tcW w:w="2560" w:type="dxa"/>
            <w:tcMar>
              <w:top w:w="60" w:type="dxa"/>
              <w:left w:w="90" w:type="dxa"/>
              <w:bottom w:w="60" w:type="dxa"/>
              <w:right w:w="90" w:type="dxa"/>
            </w:tcMar>
          </w:tcPr>
          <w:p w14:paraId="441060B4" w14:textId="77777777" w:rsidR="00BA3083" w:rsidRDefault="00000000">
            <w:pPr>
              <w:spacing w:after="20"/>
            </w:pPr>
            <w:r>
              <w:rPr>
                <w:sz w:val="19"/>
                <w:szCs w:val="19"/>
              </w:rPr>
              <w:t>Several applications pending, none secured</w:t>
            </w:r>
          </w:p>
        </w:tc>
        <w:tc>
          <w:tcPr>
            <w:tcW w:w="2900" w:type="dxa"/>
            <w:tcMar>
              <w:top w:w="60" w:type="dxa"/>
              <w:left w:w="90" w:type="dxa"/>
              <w:bottom w:w="60" w:type="dxa"/>
              <w:right w:w="90" w:type="dxa"/>
            </w:tcMar>
          </w:tcPr>
          <w:p w14:paraId="435AB28E" w14:textId="77777777" w:rsidR="00BA3083" w:rsidRDefault="00000000">
            <w:pPr>
              <w:spacing w:after="20"/>
            </w:pPr>
            <w:r>
              <w:rPr>
                <w:sz w:val="19"/>
                <w:szCs w:val="19"/>
              </w:rPr>
              <w:t>Growth stalls at commercial-only trajectory</w:t>
            </w:r>
          </w:p>
        </w:tc>
      </w:tr>
      <w:tr w:rsidR="00BA3083" w14:paraId="1574DC78" w14:textId="77777777">
        <w:tblPrEx>
          <w:tblCellMar>
            <w:top w:w="0" w:type="dxa"/>
            <w:bottom w:w="0" w:type="dxa"/>
          </w:tblCellMar>
        </w:tblPrEx>
        <w:tc>
          <w:tcPr>
            <w:tcW w:w="3900" w:type="dxa"/>
            <w:shd w:val="clear" w:color="auto" w:fill="F5F8F7"/>
            <w:tcMar>
              <w:top w:w="60" w:type="dxa"/>
              <w:left w:w="90" w:type="dxa"/>
              <w:bottom w:w="60" w:type="dxa"/>
              <w:right w:w="90" w:type="dxa"/>
            </w:tcMar>
          </w:tcPr>
          <w:p w14:paraId="2DE91C2F" w14:textId="77777777" w:rsidR="00BA3083" w:rsidRDefault="00000000">
            <w:pPr>
              <w:spacing w:after="20"/>
            </w:pPr>
            <w:r>
              <w:rPr>
                <w:sz w:val="19"/>
                <w:szCs w:val="19"/>
              </w:rPr>
              <w:t>Climate risk can be priced adequately despite non-stationarity</w:t>
            </w:r>
          </w:p>
        </w:tc>
        <w:tc>
          <w:tcPr>
            <w:tcW w:w="2560" w:type="dxa"/>
            <w:shd w:val="clear" w:color="auto" w:fill="F5F8F7"/>
            <w:tcMar>
              <w:top w:w="60" w:type="dxa"/>
              <w:left w:w="90" w:type="dxa"/>
              <w:bottom w:w="60" w:type="dxa"/>
              <w:right w:w="90" w:type="dxa"/>
            </w:tcMar>
          </w:tcPr>
          <w:p w14:paraId="62EB01ED" w14:textId="77777777" w:rsidR="00BA3083" w:rsidRDefault="00000000">
            <w:pPr>
              <w:spacing w:after="20"/>
            </w:pPr>
            <w:r>
              <w:rPr>
                <w:sz w:val="19"/>
                <w:szCs w:val="19"/>
              </w:rPr>
              <w:t>Partners "doing what they can"</w:t>
            </w:r>
          </w:p>
        </w:tc>
        <w:tc>
          <w:tcPr>
            <w:tcW w:w="2900" w:type="dxa"/>
            <w:shd w:val="clear" w:color="auto" w:fill="F5F8F7"/>
            <w:tcMar>
              <w:top w:w="60" w:type="dxa"/>
              <w:left w:w="90" w:type="dxa"/>
              <w:bottom w:w="60" w:type="dxa"/>
              <w:right w:w="90" w:type="dxa"/>
            </w:tcMar>
          </w:tcPr>
          <w:p w14:paraId="6CB5CC8B" w14:textId="77777777" w:rsidR="00BA3083" w:rsidRDefault="00000000">
            <w:pPr>
              <w:spacing w:after="20"/>
            </w:pPr>
            <w:r>
              <w:rPr>
                <w:sz w:val="19"/>
                <w:szCs w:val="19"/>
              </w:rPr>
              <w:t>Mispriced risk → insurer losses → withdrawal</w:t>
            </w:r>
          </w:p>
        </w:tc>
      </w:tr>
      <w:tr w:rsidR="00BA3083" w14:paraId="6F2E0068" w14:textId="77777777">
        <w:tblPrEx>
          <w:tblCellMar>
            <w:top w:w="0" w:type="dxa"/>
            <w:bottom w:w="0" w:type="dxa"/>
          </w:tblCellMar>
        </w:tblPrEx>
        <w:tc>
          <w:tcPr>
            <w:tcW w:w="3900" w:type="dxa"/>
            <w:tcMar>
              <w:top w:w="60" w:type="dxa"/>
              <w:left w:w="90" w:type="dxa"/>
              <w:bottom w:w="60" w:type="dxa"/>
              <w:right w:w="90" w:type="dxa"/>
            </w:tcMar>
          </w:tcPr>
          <w:p w14:paraId="3F3AB7B1" w14:textId="77777777" w:rsidR="00BA3083" w:rsidRDefault="00000000">
            <w:pPr>
              <w:spacing w:after="20"/>
            </w:pPr>
            <w:r>
              <w:rPr>
                <w:sz w:val="19"/>
                <w:szCs w:val="19"/>
              </w:rPr>
              <w:t>Claims settle fast enough for next planting cycle</w:t>
            </w:r>
          </w:p>
        </w:tc>
        <w:tc>
          <w:tcPr>
            <w:tcW w:w="2560" w:type="dxa"/>
            <w:tcMar>
              <w:top w:w="60" w:type="dxa"/>
              <w:left w:w="90" w:type="dxa"/>
              <w:bottom w:w="60" w:type="dxa"/>
              <w:right w:w="90" w:type="dxa"/>
            </w:tcMar>
          </w:tcPr>
          <w:p w14:paraId="4AA5E1CF" w14:textId="77777777" w:rsidR="00BA3083" w:rsidRDefault="00000000">
            <w:pPr>
              <w:spacing w:after="20"/>
            </w:pPr>
            <w:r>
              <w:rPr>
                <w:sz w:val="19"/>
                <w:szCs w:val="19"/>
              </w:rPr>
              <w:t>No data; M-Pesa assumed to help</w:t>
            </w:r>
          </w:p>
        </w:tc>
        <w:tc>
          <w:tcPr>
            <w:tcW w:w="2900" w:type="dxa"/>
            <w:tcMar>
              <w:top w:w="60" w:type="dxa"/>
              <w:left w:w="90" w:type="dxa"/>
              <w:bottom w:w="60" w:type="dxa"/>
              <w:right w:w="90" w:type="dxa"/>
            </w:tcMar>
          </w:tcPr>
          <w:p w14:paraId="58D49A3D" w14:textId="77777777" w:rsidR="00BA3083" w:rsidRDefault="00000000">
            <w:pPr>
              <w:spacing w:after="20"/>
            </w:pPr>
            <w:r>
              <w:rPr>
                <w:sz w:val="19"/>
                <w:szCs w:val="19"/>
              </w:rPr>
              <w:t xml:space="preserve">Trust erodes; persistency falls; </w:t>
            </w:r>
            <w:proofErr w:type="spellStart"/>
            <w:r>
              <w:rPr>
                <w:sz w:val="19"/>
                <w:szCs w:val="19"/>
              </w:rPr>
              <w:t>disadoption</w:t>
            </w:r>
            <w:proofErr w:type="spellEnd"/>
          </w:p>
        </w:tc>
      </w:tr>
      <w:tr w:rsidR="00BA3083" w14:paraId="7A43E665" w14:textId="77777777">
        <w:tblPrEx>
          <w:tblCellMar>
            <w:top w:w="0" w:type="dxa"/>
            <w:bottom w:w="0" w:type="dxa"/>
          </w:tblCellMar>
        </w:tblPrEx>
        <w:tc>
          <w:tcPr>
            <w:tcW w:w="3900" w:type="dxa"/>
            <w:shd w:val="clear" w:color="auto" w:fill="F5F8F7"/>
            <w:tcMar>
              <w:top w:w="60" w:type="dxa"/>
              <w:left w:w="90" w:type="dxa"/>
              <w:bottom w:w="60" w:type="dxa"/>
              <w:right w:w="90" w:type="dxa"/>
            </w:tcMar>
          </w:tcPr>
          <w:p w14:paraId="52D28559" w14:textId="77777777" w:rsidR="00BA3083" w:rsidRDefault="00000000">
            <w:pPr>
              <w:spacing w:after="20"/>
            </w:pPr>
            <w:r>
              <w:rPr>
                <w:sz w:val="19"/>
                <w:szCs w:val="19"/>
              </w:rPr>
              <w:t>Agents deliver inclusively rather than cream-skimming</w:t>
            </w:r>
          </w:p>
        </w:tc>
        <w:tc>
          <w:tcPr>
            <w:tcW w:w="2560" w:type="dxa"/>
            <w:shd w:val="clear" w:color="auto" w:fill="F5F8F7"/>
            <w:tcMar>
              <w:top w:w="60" w:type="dxa"/>
              <w:left w:w="90" w:type="dxa"/>
              <w:bottom w:w="60" w:type="dxa"/>
              <w:right w:w="90" w:type="dxa"/>
            </w:tcMar>
          </w:tcPr>
          <w:p w14:paraId="71529300" w14:textId="77777777" w:rsidR="00BA3083" w:rsidRDefault="00000000">
            <w:pPr>
              <w:spacing w:after="20"/>
            </w:pPr>
            <w:r>
              <w:rPr>
                <w:sz w:val="19"/>
                <w:szCs w:val="19"/>
              </w:rPr>
              <w:t>Acknowledged black box</w:t>
            </w:r>
          </w:p>
        </w:tc>
        <w:tc>
          <w:tcPr>
            <w:tcW w:w="2900" w:type="dxa"/>
            <w:shd w:val="clear" w:color="auto" w:fill="F5F8F7"/>
            <w:tcMar>
              <w:top w:w="60" w:type="dxa"/>
              <w:left w:w="90" w:type="dxa"/>
              <w:bottom w:w="60" w:type="dxa"/>
              <w:right w:w="90" w:type="dxa"/>
            </w:tcMar>
          </w:tcPr>
          <w:p w14:paraId="07DE67E1" w14:textId="77777777" w:rsidR="00BA3083" w:rsidRDefault="00000000">
            <w:pPr>
              <w:spacing w:after="20"/>
            </w:pPr>
            <w:r>
              <w:rPr>
                <w:sz w:val="19"/>
                <w:szCs w:val="19"/>
              </w:rPr>
              <w:t>Inclusion targets (women/youth/</w:t>
            </w:r>
            <w:proofErr w:type="spellStart"/>
            <w:r>
              <w:rPr>
                <w:sz w:val="19"/>
                <w:szCs w:val="19"/>
              </w:rPr>
              <w:t>marginalised</w:t>
            </w:r>
            <w:proofErr w:type="spellEnd"/>
            <w:r>
              <w:rPr>
                <w:sz w:val="19"/>
                <w:szCs w:val="19"/>
              </w:rPr>
              <w:t>) missed</w:t>
            </w:r>
          </w:p>
        </w:tc>
      </w:tr>
    </w:tbl>
    <w:p w14:paraId="19EAB1B8" w14:textId="77777777" w:rsidR="00BA3083" w:rsidRDefault="00000000">
      <w:pPr>
        <w:pStyle w:val="Heading2"/>
        <w:spacing w:before="220" w:after="100"/>
      </w:pPr>
      <w:bookmarkStart w:id="17" w:name="_Toc234870967"/>
      <w:r>
        <w:t>3.9 Sustainability analysis</w:t>
      </w:r>
      <w:bookmarkEnd w:id="17"/>
    </w:p>
    <w:tbl>
      <w:tblPr>
        <w:tblW w:w="9360" w:type="dxa"/>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left w:w="10" w:type="dxa"/>
          <w:right w:w="10" w:type="dxa"/>
        </w:tblCellMar>
        <w:tblLook w:val="04A0" w:firstRow="1" w:lastRow="0" w:firstColumn="1" w:lastColumn="0" w:noHBand="0" w:noVBand="1"/>
      </w:tblPr>
      <w:tblGrid>
        <w:gridCol w:w="2450"/>
        <w:gridCol w:w="1550"/>
        <w:gridCol w:w="5360"/>
      </w:tblGrid>
      <w:tr w:rsidR="00BA3083" w14:paraId="06241DB8" w14:textId="77777777">
        <w:tblPrEx>
          <w:tblCellMar>
            <w:top w:w="0" w:type="dxa"/>
            <w:bottom w:w="0" w:type="dxa"/>
          </w:tblCellMar>
        </w:tblPrEx>
        <w:trPr>
          <w:tblHeader/>
        </w:trPr>
        <w:tc>
          <w:tcPr>
            <w:tcW w:w="2450" w:type="dxa"/>
            <w:shd w:val="clear" w:color="auto" w:fill="1B5E4F"/>
            <w:tcMar>
              <w:top w:w="60" w:type="dxa"/>
              <w:left w:w="90" w:type="dxa"/>
              <w:bottom w:w="60" w:type="dxa"/>
              <w:right w:w="90" w:type="dxa"/>
            </w:tcMar>
          </w:tcPr>
          <w:p w14:paraId="5BB0B170" w14:textId="77777777" w:rsidR="00BA3083" w:rsidRDefault="00000000">
            <w:pPr>
              <w:spacing w:after="20"/>
            </w:pPr>
            <w:r>
              <w:rPr>
                <w:b/>
                <w:bCs/>
                <w:color w:val="FFFFFF"/>
                <w:sz w:val="19"/>
                <w:szCs w:val="19"/>
              </w:rPr>
              <w:t>Dimension</w:t>
            </w:r>
          </w:p>
        </w:tc>
        <w:tc>
          <w:tcPr>
            <w:tcW w:w="1550" w:type="dxa"/>
            <w:shd w:val="clear" w:color="auto" w:fill="1B5E4F"/>
            <w:tcMar>
              <w:top w:w="60" w:type="dxa"/>
              <w:left w:w="90" w:type="dxa"/>
              <w:bottom w:w="60" w:type="dxa"/>
              <w:right w:w="90" w:type="dxa"/>
            </w:tcMar>
          </w:tcPr>
          <w:p w14:paraId="24940E79" w14:textId="77777777" w:rsidR="00BA3083" w:rsidRDefault="00000000">
            <w:pPr>
              <w:spacing w:after="20"/>
            </w:pPr>
            <w:r>
              <w:rPr>
                <w:b/>
                <w:bCs/>
                <w:color w:val="FFFFFF"/>
                <w:sz w:val="19"/>
                <w:szCs w:val="19"/>
              </w:rPr>
              <w:t>Rating</w:t>
            </w:r>
          </w:p>
        </w:tc>
        <w:tc>
          <w:tcPr>
            <w:tcW w:w="5360" w:type="dxa"/>
            <w:shd w:val="clear" w:color="auto" w:fill="1B5E4F"/>
            <w:tcMar>
              <w:top w:w="60" w:type="dxa"/>
              <w:left w:w="90" w:type="dxa"/>
              <w:bottom w:w="60" w:type="dxa"/>
              <w:right w:w="90" w:type="dxa"/>
            </w:tcMar>
          </w:tcPr>
          <w:p w14:paraId="5EFC0A4D" w14:textId="77777777" w:rsidR="00BA3083" w:rsidRDefault="00000000">
            <w:pPr>
              <w:spacing w:after="20"/>
            </w:pPr>
            <w:r>
              <w:rPr>
                <w:b/>
                <w:bCs/>
                <w:color w:val="FFFFFF"/>
                <w:sz w:val="19"/>
                <w:szCs w:val="19"/>
              </w:rPr>
              <w:t>Basis</w:t>
            </w:r>
          </w:p>
        </w:tc>
      </w:tr>
      <w:tr w:rsidR="00BA3083" w14:paraId="06801C39" w14:textId="77777777">
        <w:tblPrEx>
          <w:tblCellMar>
            <w:top w:w="0" w:type="dxa"/>
            <w:bottom w:w="0" w:type="dxa"/>
          </w:tblCellMar>
        </w:tblPrEx>
        <w:tc>
          <w:tcPr>
            <w:tcW w:w="2450" w:type="dxa"/>
            <w:tcMar>
              <w:top w:w="60" w:type="dxa"/>
              <w:left w:w="90" w:type="dxa"/>
              <w:bottom w:w="60" w:type="dxa"/>
              <w:right w:w="90" w:type="dxa"/>
            </w:tcMar>
          </w:tcPr>
          <w:p w14:paraId="3294C4FB" w14:textId="77777777" w:rsidR="00BA3083" w:rsidRDefault="00000000">
            <w:pPr>
              <w:spacing w:after="20"/>
            </w:pPr>
            <w:r>
              <w:rPr>
                <w:sz w:val="19"/>
                <w:szCs w:val="19"/>
              </w:rPr>
              <w:t>Technical</w:t>
            </w:r>
          </w:p>
        </w:tc>
        <w:tc>
          <w:tcPr>
            <w:tcW w:w="1550" w:type="dxa"/>
            <w:tcMar>
              <w:top w:w="60" w:type="dxa"/>
              <w:left w:w="90" w:type="dxa"/>
              <w:bottom w:w="60" w:type="dxa"/>
              <w:right w:w="90" w:type="dxa"/>
            </w:tcMar>
          </w:tcPr>
          <w:p w14:paraId="1055A050" w14:textId="77777777" w:rsidR="00BA3083" w:rsidRDefault="00000000">
            <w:pPr>
              <w:spacing w:after="20"/>
            </w:pPr>
            <w:r>
              <w:rPr>
                <w:b/>
                <w:bCs/>
                <w:color w:val="1B5E4F"/>
                <w:sz w:val="19"/>
                <w:szCs w:val="19"/>
              </w:rPr>
              <w:t>Strong</w:t>
            </w:r>
          </w:p>
        </w:tc>
        <w:tc>
          <w:tcPr>
            <w:tcW w:w="5360" w:type="dxa"/>
            <w:tcMar>
              <w:top w:w="60" w:type="dxa"/>
              <w:left w:w="90" w:type="dxa"/>
              <w:bottom w:w="60" w:type="dxa"/>
              <w:right w:w="90" w:type="dxa"/>
            </w:tcMar>
          </w:tcPr>
          <w:p w14:paraId="3FF3C958" w14:textId="77777777" w:rsidR="00BA3083" w:rsidRDefault="00000000">
            <w:pPr>
              <w:spacing w:after="20"/>
            </w:pPr>
            <w:r>
              <w:rPr>
                <w:sz w:val="19"/>
                <w:szCs w:val="19"/>
              </w:rPr>
              <w:t>Platforms operational; models being improved; readiness 9</w:t>
            </w:r>
          </w:p>
        </w:tc>
      </w:tr>
      <w:tr w:rsidR="00BA3083" w14:paraId="40AC45BF" w14:textId="77777777">
        <w:tblPrEx>
          <w:tblCellMar>
            <w:top w:w="0" w:type="dxa"/>
            <w:bottom w:w="0" w:type="dxa"/>
          </w:tblCellMar>
        </w:tblPrEx>
        <w:tc>
          <w:tcPr>
            <w:tcW w:w="2450" w:type="dxa"/>
            <w:shd w:val="clear" w:color="auto" w:fill="F5F8F7"/>
            <w:tcMar>
              <w:top w:w="60" w:type="dxa"/>
              <w:left w:w="90" w:type="dxa"/>
              <w:bottom w:w="60" w:type="dxa"/>
              <w:right w:w="90" w:type="dxa"/>
            </w:tcMar>
          </w:tcPr>
          <w:p w14:paraId="7BC775B8" w14:textId="77777777" w:rsidR="00BA3083" w:rsidRDefault="00000000">
            <w:pPr>
              <w:spacing w:after="20"/>
            </w:pPr>
            <w:r>
              <w:rPr>
                <w:sz w:val="19"/>
                <w:szCs w:val="19"/>
              </w:rPr>
              <w:t>Financial (credit)</w:t>
            </w:r>
          </w:p>
        </w:tc>
        <w:tc>
          <w:tcPr>
            <w:tcW w:w="1550" w:type="dxa"/>
            <w:shd w:val="clear" w:color="auto" w:fill="F5F8F7"/>
            <w:tcMar>
              <w:top w:w="60" w:type="dxa"/>
              <w:left w:w="90" w:type="dxa"/>
              <w:bottom w:w="60" w:type="dxa"/>
              <w:right w:w="90" w:type="dxa"/>
            </w:tcMar>
          </w:tcPr>
          <w:p w14:paraId="2DFC0AD5" w14:textId="77777777" w:rsidR="00BA3083" w:rsidRDefault="00000000">
            <w:pPr>
              <w:spacing w:after="20"/>
            </w:pPr>
            <w:r>
              <w:rPr>
                <w:b/>
                <w:bCs/>
                <w:color w:val="8A6D00"/>
                <w:sz w:val="19"/>
                <w:szCs w:val="19"/>
              </w:rPr>
              <w:t>Moderate</w:t>
            </w:r>
          </w:p>
        </w:tc>
        <w:tc>
          <w:tcPr>
            <w:tcW w:w="5360" w:type="dxa"/>
            <w:shd w:val="clear" w:color="auto" w:fill="F5F8F7"/>
            <w:tcMar>
              <w:top w:w="60" w:type="dxa"/>
              <w:left w:w="90" w:type="dxa"/>
              <w:bottom w:w="60" w:type="dxa"/>
              <w:right w:w="90" w:type="dxa"/>
            </w:tcMar>
          </w:tcPr>
          <w:p w14:paraId="393851F0" w14:textId="77777777" w:rsidR="00BA3083" w:rsidRDefault="00000000">
            <w:pPr>
              <w:spacing w:after="20"/>
            </w:pPr>
            <w:r>
              <w:rPr>
                <w:sz w:val="19"/>
                <w:szCs w:val="19"/>
              </w:rPr>
              <w:t>Revenue-positive unit economics reported (unaudited)</w:t>
            </w:r>
          </w:p>
        </w:tc>
      </w:tr>
      <w:tr w:rsidR="00BA3083" w14:paraId="50FE6A6B" w14:textId="77777777">
        <w:tblPrEx>
          <w:tblCellMar>
            <w:top w:w="0" w:type="dxa"/>
            <w:bottom w:w="0" w:type="dxa"/>
          </w:tblCellMar>
        </w:tblPrEx>
        <w:tc>
          <w:tcPr>
            <w:tcW w:w="2450" w:type="dxa"/>
            <w:tcMar>
              <w:top w:w="60" w:type="dxa"/>
              <w:left w:w="90" w:type="dxa"/>
              <w:bottom w:w="60" w:type="dxa"/>
              <w:right w:w="90" w:type="dxa"/>
            </w:tcMar>
          </w:tcPr>
          <w:p w14:paraId="2BFC76E5" w14:textId="77777777" w:rsidR="00BA3083" w:rsidRDefault="00000000">
            <w:pPr>
              <w:spacing w:after="20"/>
            </w:pPr>
            <w:r>
              <w:rPr>
                <w:sz w:val="19"/>
                <w:szCs w:val="19"/>
              </w:rPr>
              <w:t>Financial (insurance)</w:t>
            </w:r>
          </w:p>
        </w:tc>
        <w:tc>
          <w:tcPr>
            <w:tcW w:w="1550" w:type="dxa"/>
            <w:tcMar>
              <w:top w:w="60" w:type="dxa"/>
              <w:left w:w="90" w:type="dxa"/>
              <w:bottom w:w="60" w:type="dxa"/>
              <w:right w:w="90" w:type="dxa"/>
            </w:tcMar>
          </w:tcPr>
          <w:p w14:paraId="0F6A061D" w14:textId="77777777" w:rsidR="00BA3083" w:rsidRDefault="00000000">
            <w:pPr>
              <w:spacing w:after="20"/>
            </w:pPr>
            <w:r>
              <w:rPr>
                <w:b/>
                <w:bCs/>
                <w:color w:val="8B2635"/>
                <w:sz w:val="19"/>
                <w:szCs w:val="19"/>
              </w:rPr>
              <w:t>Weak</w:t>
            </w:r>
          </w:p>
        </w:tc>
        <w:tc>
          <w:tcPr>
            <w:tcW w:w="5360" w:type="dxa"/>
            <w:tcMar>
              <w:top w:w="60" w:type="dxa"/>
              <w:left w:w="90" w:type="dxa"/>
              <w:bottom w:w="60" w:type="dxa"/>
              <w:right w:w="90" w:type="dxa"/>
            </w:tcMar>
          </w:tcPr>
          <w:p w14:paraId="71792E9E" w14:textId="77777777" w:rsidR="00BA3083" w:rsidRDefault="00000000">
            <w:pPr>
              <w:spacing w:after="20"/>
            </w:pPr>
            <w:r>
              <w:rPr>
                <w:sz w:val="19"/>
                <w:szCs w:val="19"/>
              </w:rPr>
              <w:t>Pool viability unproven; subsidy dependence beyond 2026</w:t>
            </w:r>
          </w:p>
        </w:tc>
      </w:tr>
      <w:tr w:rsidR="00BA3083" w14:paraId="25832401" w14:textId="77777777">
        <w:tblPrEx>
          <w:tblCellMar>
            <w:top w:w="0" w:type="dxa"/>
            <w:bottom w:w="0" w:type="dxa"/>
          </w:tblCellMar>
        </w:tblPrEx>
        <w:tc>
          <w:tcPr>
            <w:tcW w:w="2450" w:type="dxa"/>
            <w:shd w:val="clear" w:color="auto" w:fill="F5F8F7"/>
            <w:tcMar>
              <w:top w:w="60" w:type="dxa"/>
              <w:left w:w="90" w:type="dxa"/>
              <w:bottom w:w="60" w:type="dxa"/>
              <w:right w:w="90" w:type="dxa"/>
            </w:tcMar>
          </w:tcPr>
          <w:p w14:paraId="4B4570D9" w14:textId="77777777" w:rsidR="00BA3083" w:rsidRDefault="00000000">
            <w:pPr>
              <w:spacing w:after="20"/>
            </w:pPr>
            <w:r>
              <w:rPr>
                <w:sz w:val="19"/>
                <w:szCs w:val="19"/>
              </w:rPr>
              <w:t>Institutional</w:t>
            </w:r>
          </w:p>
        </w:tc>
        <w:tc>
          <w:tcPr>
            <w:tcW w:w="1550" w:type="dxa"/>
            <w:shd w:val="clear" w:color="auto" w:fill="F5F8F7"/>
            <w:tcMar>
              <w:top w:w="60" w:type="dxa"/>
              <w:left w:w="90" w:type="dxa"/>
              <w:bottom w:w="60" w:type="dxa"/>
              <w:right w:w="90" w:type="dxa"/>
            </w:tcMar>
          </w:tcPr>
          <w:p w14:paraId="420716D7" w14:textId="77777777" w:rsidR="00BA3083" w:rsidRDefault="00000000">
            <w:pPr>
              <w:spacing w:after="20"/>
            </w:pPr>
            <w:r>
              <w:rPr>
                <w:b/>
                <w:bCs/>
                <w:color w:val="8A6D00"/>
                <w:sz w:val="19"/>
                <w:szCs w:val="19"/>
              </w:rPr>
              <w:t>Moderate</w:t>
            </w:r>
          </w:p>
        </w:tc>
        <w:tc>
          <w:tcPr>
            <w:tcW w:w="5360" w:type="dxa"/>
            <w:shd w:val="clear" w:color="auto" w:fill="F5F8F7"/>
            <w:tcMar>
              <w:top w:w="60" w:type="dxa"/>
              <w:left w:w="90" w:type="dxa"/>
              <w:bottom w:w="60" w:type="dxa"/>
              <w:right w:w="90" w:type="dxa"/>
            </w:tcMar>
          </w:tcPr>
          <w:p w14:paraId="25040010" w14:textId="77777777" w:rsidR="00BA3083" w:rsidRDefault="00000000">
            <w:pPr>
              <w:spacing w:after="20"/>
            </w:pPr>
            <w:r>
              <w:rPr>
                <w:sz w:val="19"/>
                <w:szCs w:val="19"/>
              </w:rPr>
              <w:t>Enterprises will continue commercially; inclusive mandate less durable</w:t>
            </w:r>
          </w:p>
        </w:tc>
      </w:tr>
      <w:tr w:rsidR="00BA3083" w14:paraId="71A107F3" w14:textId="77777777">
        <w:tblPrEx>
          <w:tblCellMar>
            <w:top w:w="0" w:type="dxa"/>
            <w:bottom w:w="0" w:type="dxa"/>
          </w:tblCellMar>
        </w:tblPrEx>
        <w:tc>
          <w:tcPr>
            <w:tcW w:w="2450" w:type="dxa"/>
            <w:tcMar>
              <w:top w:w="60" w:type="dxa"/>
              <w:left w:w="90" w:type="dxa"/>
              <w:bottom w:w="60" w:type="dxa"/>
              <w:right w:w="90" w:type="dxa"/>
            </w:tcMar>
          </w:tcPr>
          <w:p w14:paraId="33090B10" w14:textId="77777777" w:rsidR="00BA3083" w:rsidRDefault="00000000">
            <w:pPr>
              <w:spacing w:after="20"/>
            </w:pPr>
            <w:r>
              <w:rPr>
                <w:sz w:val="19"/>
                <w:szCs w:val="19"/>
              </w:rPr>
              <w:t>Ownership</w:t>
            </w:r>
          </w:p>
        </w:tc>
        <w:tc>
          <w:tcPr>
            <w:tcW w:w="1550" w:type="dxa"/>
            <w:tcMar>
              <w:top w:w="60" w:type="dxa"/>
              <w:left w:w="90" w:type="dxa"/>
              <w:bottom w:w="60" w:type="dxa"/>
              <w:right w:w="90" w:type="dxa"/>
            </w:tcMar>
          </w:tcPr>
          <w:p w14:paraId="7CFA3056" w14:textId="77777777" w:rsidR="00BA3083" w:rsidRDefault="00000000">
            <w:pPr>
              <w:spacing w:after="20"/>
            </w:pPr>
            <w:r>
              <w:rPr>
                <w:b/>
                <w:bCs/>
                <w:color w:val="1B5E4F"/>
                <w:sz w:val="19"/>
                <w:szCs w:val="19"/>
              </w:rPr>
              <w:t>Strong</w:t>
            </w:r>
          </w:p>
        </w:tc>
        <w:tc>
          <w:tcPr>
            <w:tcW w:w="5360" w:type="dxa"/>
            <w:tcMar>
              <w:top w:w="60" w:type="dxa"/>
              <w:left w:w="90" w:type="dxa"/>
              <w:bottom w:w="60" w:type="dxa"/>
              <w:right w:w="90" w:type="dxa"/>
            </w:tcMar>
          </w:tcPr>
          <w:p w14:paraId="251D570B" w14:textId="77777777" w:rsidR="00BA3083" w:rsidRDefault="00000000">
            <w:pPr>
              <w:spacing w:after="20"/>
            </w:pPr>
            <w:r>
              <w:rPr>
                <w:sz w:val="19"/>
                <w:szCs w:val="19"/>
              </w:rPr>
              <w:t>Private partners own product; CGIAR role explicitly temporary</w:t>
            </w:r>
          </w:p>
        </w:tc>
      </w:tr>
      <w:tr w:rsidR="00BA3083" w14:paraId="0613506D" w14:textId="77777777">
        <w:tblPrEx>
          <w:tblCellMar>
            <w:top w:w="0" w:type="dxa"/>
            <w:bottom w:w="0" w:type="dxa"/>
          </w:tblCellMar>
        </w:tblPrEx>
        <w:tc>
          <w:tcPr>
            <w:tcW w:w="2450" w:type="dxa"/>
            <w:shd w:val="clear" w:color="auto" w:fill="F5F8F7"/>
            <w:tcMar>
              <w:top w:w="60" w:type="dxa"/>
              <w:left w:w="90" w:type="dxa"/>
              <w:bottom w:w="60" w:type="dxa"/>
              <w:right w:w="90" w:type="dxa"/>
            </w:tcMar>
          </w:tcPr>
          <w:p w14:paraId="49BAF601" w14:textId="77777777" w:rsidR="00BA3083" w:rsidRDefault="00000000">
            <w:pPr>
              <w:spacing w:after="20"/>
            </w:pPr>
            <w:r>
              <w:rPr>
                <w:sz w:val="19"/>
                <w:szCs w:val="19"/>
              </w:rPr>
              <w:t>Incentive</w:t>
            </w:r>
          </w:p>
        </w:tc>
        <w:tc>
          <w:tcPr>
            <w:tcW w:w="1550" w:type="dxa"/>
            <w:shd w:val="clear" w:color="auto" w:fill="F5F8F7"/>
            <w:tcMar>
              <w:top w:w="60" w:type="dxa"/>
              <w:left w:w="90" w:type="dxa"/>
              <w:bottom w:w="60" w:type="dxa"/>
              <w:right w:w="90" w:type="dxa"/>
            </w:tcMar>
          </w:tcPr>
          <w:p w14:paraId="247C6074" w14:textId="77777777" w:rsidR="00BA3083" w:rsidRDefault="00000000">
            <w:pPr>
              <w:spacing w:after="20"/>
            </w:pPr>
            <w:r>
              <w:rPr>
                <w:b/>
                <w:bCs/>
                <w:color w:val="8A6D00"/>
                <w:sz w:val="19"/>
                <w:szCs w:val="19"/>
              </w:rPr>
              <w:t>Moderate</w:t>
            </w:r>
          </w:p>
        </w:tc>
        <w:tc>
          <w:tcPr>
            <w:tcW w:w="5360" w:type="dxa"/>
            <w:shd w:val="clear" w:color="auto" w:fill="F5F8F7"/>
            <w:tcMar>
              <w:top w:w="60" w:type="dxa"/>
              <w:left w:w="90" w:type="dxa"/>
              <w:bottom w:w="60" w:type="dxa"/>
              <w:right w:w="90" w:type="dxa"/>
            </w:tcMar>
          </w:tcPr>
          <w:p w14:paraId="528CFEAF" w14:textId="77777777" w:rsidR="00BA3083" w:rsidRDefault="00000000">
            <w:pPr>
              <w:spacing w:after="20"/>
            </w:pPr>
            <w:r>
              <w:rPr>
                <w:sz w:val="19"/>
                <w:szCs w:val="19"/>
              </w:rPr>
              <w:t>Aligned for profitable segments; misaligned for hardest-to-reach</w:t>
            </w:r>
          </w:p>
        </w:tc>
      </w:tr>
      <w:tr w:rsidR="00BA3083" w14:paraId="15F4FFF6" w14:textId="77777777">
        <w:tblPrEx>
          <w:tblCellMar>
            <w:top w:w="0" w:type="dxa"/>
            <w:bottom w:w="0" w:type="dxa"/>
          </w:tblCellMar>
        </w:tblPrEx>
        <w:tc>
          <w:tcPr>
            <w:tcW w:w="2450" w:type="dxa"/>
            <w:tcMar>
              <w:top w:w="60" w:type="dxa"/>
              <w:left w:w="90" w:type="dxa"/>
              <w:bottom w:w="60" w:type="dxa"/>
              <w:right w:w="90" w:type="dxa"/>
            </w:tcMar>
          </w:tcPr>
          <w:p w14:paraId="2E0118B3" w14:textId="77777777" w:rsidR="00BA3083" w:rsidRDefault="00000000">
            <w:pPr>
              <w:spacing w:after="20"/>
            </w:pPr>
            <w:r>
              <w:rPr>
                <w:sz w:val="19"/>
                <w:szCs w:val="19"/>
              </w:rPr>
              <w:t>Political</w:t>
            </w:r>
          </w:p>
        </w:tc>
        <w:tc>
          <w:tcPr>
            <w:tcW w:w="1550" w:type="dxa"/>
            <w:tcMar>
              <w:top w:w="60" w:type="dxa"/>
              <w:left w:w="90" w:type="dxa"/>
              <w:bottom w:w="60" w:type="dxa"/>
              <w:right w:w="90" w:type="dxa"/>
            </w:tcMar>
          </w:tcPr>
          <w:p w14:paraId="7B1D6038" w14:textId="77777777" w:rsidR="00BA3083" w:rsidRDefault="00000000">
            <w:pPr>
              <w:spacing w:after="20"/>
            </w:pPr>
            <w:r>
              <w:rPr>
                <w:b/>
                <w:bCs/>
                <w:color w:val="8B2635"/>
                <w:sz w:val="19"/>
                <w:szCs w:val="19"/>
              </w:rPr>
              <w:t>Unknown</w:t>
            </w:r>
          </w:p>
        </w:tc>
        <w:tc>
          <w:tcPr>
            <w:tcW w:w="5360" w:type="dxa"/>
            <w:tcMar>
              <w:top w:w="60" w:type="dxa"/>
              <w:left w:w="90" w:type="dxa"/>
              <w:bottom w:w="60" w:type="dxa"/>
              <w:right w:w="90" w:type="dxa"/>
            </w:tcMar>
          </w:tcPr>
          <w:p w14:paraId="31013257" w14:textId="77777777" w:rsidR="00BA3083" w:rsidRDefault="00000000">
            <w:pPr>
              <w:spacing w:after="20"/>
            </w:pPr>
            <w:r>
              <w:rPr>
                <w:sz w:val="19"/>
                <w:szCs w:val="19"/>
              </w:rPr>
              <w:t>Policy engagement deferred; ceiling of private-only pathway untested</w:t>
            </w:r>
          </w:p>
        </w:tc>
      </w:tr>
    </w:tbl>
    <w:p w14:paraId="730C375D" w14:textId="77777777" w:rsidR="00BA3083" w:rsidRDefault="00000000">
      <w:pPr>
        <w:pStyle w:val="Heading2"/>
        <w:spacing w:before="220" w:after="100"/>
      </w:pPr>
      <w:bookmarkStart w:id="18" w:name="_Toc234870968"/>
      <w:r>
        <w:t>3.10 Evidence quality &amp; confidence</w:t>
      </w:r>
      <w:bookmarkEnd w:id="18"/>
    </w:p>
    <w:p w14:paraId="36B4D110" w14:textId="77777777" w:rsidR="00BA3083" w:rsidRDefault="00000000">
      <w:pPr>
        <w:spacing w:after="110" w:line="264" w:lineRule="auto"/>
        <w:ind w:left="120"/>
      </w:pPr>
      <w:proofErr w:type="gramStart"/>
      <w:r>
        <w:rPr>
          <w:b/>
          <w:bCs/>
          <w:color w:val="6A1B9A"/>
          <w:sz w:val="17"/>
          <w:szCs w:val="17"/>
        </w:rPr>
        <w:t xml:space="preserve">JUDGEMENT  </w:t>
      </w:r>
      <w:r>
        <w:t>Overall</w:t>
      </w:r>
      <w:proofErr w:type="gramEnd"/>
      <w:r>
        <w:t xml:space="preserve"> evidence quality: </w:t>
      </w:r>
      <w:r>
        <w:rPr>
          <w:b/>
          <w:bCs/>
        </w:rPr>
        <w:t>high for farmer-level impact, low for scaling-system viability</w:t>
      </w:r>
      <w:r>
        <w:t xml:space="preserve">. The RCT base is genuinely strong (multiple studies, two geographies, independent academic framing) — but every study addresses </w:t>
      </w:r>
      <w:r>
        <w:rPr>
          <w:i/>
          <w:iCs/>
        </w:rPr>
        <w:t>whether the product helps farmers</w:t>
      </w:r>
      <w:r>
        <w:t xml:space="preserve">, none addresses </w:t>
      </w:r>
      <w:r>
        <w:rPr>
          <w:i/>
          <w:iCs/>
        </w:rPr>
        <w:t>whether the system scales</w:t>
      </w:r>
      <w:r>
        <w:t xml:space="preserve">. Source </w:t>
      </w:r>
      <w:r>
        <w:lastRenderedPageBreak/>
        <w:t>independence is moderate: most studies share the same PI (Kramer/IFPRI), so they are not fully independent corroboration.</w:t>
      </w:r>
    </w:p>
    <w:tbl>
      <w:tblPr>
        <w:tblW w:w="9360" w:type="dxa"/>
        <w:tblBorders>
          <w:left w:val="single" w:sz="24" w:space="0" w:color="0B5394"/>
        </w:tblBorders>
        <w:tblCellMar>
          <w:left w:w="10" w:type="dxa"/>
          <w:right w:w="10" w:type="dxa"/>
        </w:tblCellMar>
        <w:tblLook w:val="04A0" w:firstRow="1" w:lastRow="0" w:firstColumn="1" w:lastColumn="0" w:noHBand="0" w:noVBand="1"/>
      </w:tblPr>
      <w:tblGrid>
        <w:gridCol w:w="9360"/>
      </w:tblGrid>
      <w:tr w:rsidR="00BA3083" w14:paraId="36B08FEC" w14:textId="77777777">
        <w:tblPrEx>
          <w:tblCellMar>
            <w:top w:w="0" w:type="dxa"/>
            <w:bottom w:w="0" w:type="dxa"/>
          </w:tblCellMar>
        </w:tblPrEx>
        <w:tc>
          <w:tcPr>
            <w:tcW w:w="9360" w:type="dxa"/>
            <w:shd w:val="clear" w:color="auto" w:fill="EEF3F1"/>
            <w:tcMar>
              <w:top w:w="120" w:type="dxa"/>
              <w:left w:w="200" w:type="dxa"/>
              <w:bottom w:w="120" w:type="dxa"/>
              <w:right w:w="160" w:type="dxa"/>
            </w:tcMar>
          </w:tcPr>
          <w:p w14:paraId="51C52A67" w14:textId="77777777" w:rsidR="00BA3083" w:rsidRDefault="00000000">
            <w:pPr>
              <w:spacing w:after="60"/>
            </w:pPr>
            <w:r>
              <w:rPr>
                <w:b/>
                <w:bCs/>
                <w:color w:val="0B5394"/>
              </w:rPr>
              <w:t>Confidence summary (Analyst scale)</w:t>
            </w:r>
          </w:p>
          <w:p w14:paraId="13F89839" w14:textId="77777777" w:rsidR="00BA3083" w:rsidRDefault="00000000">
            <w:pPr>
              <w:spacing w:after="50" w:line="258" w:lineRule="auto"/>
            </w:pPr>
            <w:r>
              <w:rPr>
                <w:b/>
                <w:bCs/>
              </w:rPr>
              <w:t xml:space="preserve">Problem–solution fit: </w:t>
            </w:r>
            <w:proofErr w:type="gramStart"/>
            <w:r>
              <w:rPr>
                <w:b/>
                <w:bCs/>
                <w:color w:val="1B5E4F"/>
              </w:rPr>
              <w:t>Well</w:t>
            </w:r>
            <w:proofErr w:type="gramEnd"/>
            <w:r>
              <w:rPr>
                <w:b/>
                <w:bCs/>
                <w:color w:val="1B5E4F"/>
              </w:rPr>
              <w:t xml:space="preserve"> supported</w:t>
            </w:r>
          </w:p>
          <w:p w14:paraId="42F47E46" w14:textId="77777777" w:rsidR="00BA3083" w:rsidRDefault="00000000">
            <w:pPr>
              <w:spacing w:after="50" w:line="258" w:lineRule="auto"/>
            </w:pPr>
            <w:r>
              <w:rPr>
                <w:b/>
                <w:bCs/>
              </w:rPr>
              <w:t xml:space="preserve">Adoptability &amp; user demand: </w:t>
            </w:r>
            <w:proofErr w:type="gramStart"/>
            <w:r>
              <w:rPr>
                <w:b/>
                <w:bCs/>
                <w:color w:val="1B5E4F"/>
              </w:rPr>
              <w:t>Well</w:t>
            </w:r>
            <w:proofErr w:type="gramEnd"/>
            <w:r>
              <w:rPr>
                <w:b/>
                <w:bCs/>
                <w:color w:val="1B5E4F"/>
              </w:rPr>
              <w:t xml:space="preserve"> supported</w:t>
            </w:r>
          </w:p>
          <w:p w14:paraId="389D2CC8" w14:textId="77777777" w:rsidR="00BA3083" w:rsidRDefault="00000000">
            <w:pPr>
              <w:spacing w:after="50" w:line="258" w:lineRule="auto"/>
            </w:pPr>
            <w:r>
              <w:rPr>
                <w:b/>
                <w:bCs/>
              </w:rPr>
              <w:t xml:space="preserve">Commercial viability of credit leg: </w:t>
            </w:r>
            <w:r>
              <w:rPr>
                <w:b/>
                <w:bCs/>
                <w:color w:val="8A6D00"/>
              </w:rPr>
              <w:t>Moderately supported</w:t>
            </w:r>
          </w:p>
          <w:p w14:paraId="00CBB6F9" w14:textId="77777777" w:rsidR="00BA3083" w:rsidRDefault="00000000">
            <w:pPr>
              <w:spacing w:after="50" w:line="258" w:lineRule="auto"/>
            </w:pPr>
            <w:r>
              <w:rPr>
                <w:b/>
                <w:bCs/>
              </w:rPr>
              <w:t xml:space="preserve">Scaling-system viability (insurance + subsidy): </w:t>
            </w:r>
            <w:r>
              <w:rPr>
                <w:b/>
                <w:bCs/>
                <w:color w:val="8B2635"/>
              </w:rPr>
              <w:t>Insufficient evidence</w:t>
            </w:r>
          </w:p>
          <w:p w14:paraId="2237186B" w14:textId="77777777" w:rsidR="00BA3083" w:rsidRDefault="00000000">
            <w:pPr>
              <w:spacing w:after="50" w:line="258" w:lineRule="auto"/>
            </w:pPr>
            <w:r>
              <w:rPr>
                <w:b/>
                <w:bCs/>
              </w:rPr>
              <w:t xml:space="preserve">Path to 100,000 farmers: </w:t>
            </w:r>
            <w:r>
              <w:rPr>
                <w:b/>
                <w:bCs/>
                <w:color w:val="8B2635"/>
              </w:rPr>
              <w:t>Speculative</w:t>
            </w:r>
          </w:p>
        </w:tc>
      </w:tr>
    </w:tbl>
    <w:p w14:paraId="2E8E27EA" w14:textId="77777777" w:rsidR="00BA3083" w:rsidRDefault="00000000">
      <w:r>
        <w:br w:type="page"/>
      </w:r>
    </w:p>
    <w:p w14:paraId="1E9E0FB5" w14:textId="77777777" w:rsidR="00BA3083" w:rsidRDefault="00000000">
      <w:pPr>
        <w:pStyle w:val="Heading1"/>
        <w:spacing w:before="320" w:after="140"/>
      </w:pPr>
      <w:bookmarkStart w:id="19" w:name="_Toc234870969"/>
      <w:r>
        <w:lastRenderedPageBreak/>
        <w:t>4 · Stage-Gating Assessment</w:t>
      </w:r>
      <w:bookmarkEnd w:id="19"/>
    </w:p>
    <w:p w14:paraId="30CD421C" w14:textId="77777777" w:rsidR="00BA3083" w:rsidRDefault="00000000">
      <w:pPr>
        <w:spacing w:after="120" w:line="264" w:lineRule="auto"/>
      </w:pPr>
      <w:r>
        <w:t>Components are assessed separately because they sit at different stages, then integrated. "Component" here = the two legs of the bundle plus the inclusive-scaling wrapper.</w:t>
      </w:r>
    </w:p>
    <w:p w14:paraId="4D6DFE38" w14:textId="77777777" w:rsidR="00BA3083" w:rsidRDefault="00000000">
      <w:pPr>
        <w:pStyle w:val="Heading2"/>
        <w:spacing w:before="220" w:after="100"/>
      </w:pPr>
      <w:bookmarkStart w:id="20" w:name="_Toc234870970"/>
      <w:r>
        <w:t>4.1 Component-level staging</w:t>
      </w:r>
      <w:bookmarkEnd w:id="20"/>
    </w:p>
    <w:tbl>
      <w:tblPr>
        <w:tblW w:w="9410" w:type="dxa"/>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left w:w="10" w:type="dxa"/>
          <w:right w:w="10" w:type="dxa"/>
        </w:tblCellMar>
        <w:tblLook w:val="04A0" w:firstRow="1" w:lastRow="0" w:firstColumn="1" w:lastColumn="0" w:noHBand="0" w:noVBand="1"/>
      </w:tblPr>
      <w:tblGrid>
        <w:gridCol w:w="2550"/>
        <w:gridCol w:w="1650"/>
        <w:gridCol w:w="1650"/>
        <w:gridCol w:w="3560"/>
      </w:tblGrid>
      <w:tr w:rsidR="00BA3083" w14:paraId="48208B83" w14:textId="77777777">
        <w:tblPrEx>
          <w:tblCellMar>
            <w:top w:w="0" w:type="dxa"/>
            <w:bottom w:w="0" w:type="dxa"/>
          </w:tblCellMar>
        </w:tblPrEx>
        <w:trPr>
          <w:tblHeader/>
        </w:trPr>
        <w:tc>
          <w:tcPr>
            <w:tcW w:w="2550" w:type="dxa"/>
            <w:shd w:val="clear" w:color="auto" w:fill="1B5E4F"/>
            <w:tcMar>
              <w:top w:w="60" w:type="dxa"/>
              <w:left w:w="90" w:type="dxa"/>
              <w:bottom w:w="60" w:type="dxa"/>
              <w:right w:w="90" w:type="dxa"/>
            </w:tcMar>
          </w:tcPr>
          <w:p w14:paraId="0FBE8037" w14:textId="77777777" w:rsidR="00BA3083" w:rsidRDefault="00000000">
            <w:pPr>
              <w:spacing w:after="20"/>
            </w:pPr>
            <w:r>
              <w:rPr>
                <w:b/>
                <w:bCs/>
                <w:color w:val="FFFFFF"/>
                <w:sz w:val="19"/>
                <w:szCs w:val="19"/>
              </w:rPr>
              <w:t>Component</w:t>
            </w:r>
          </w:p>
        </w:tc>
        <w:tc>
          <w:tcPr>
            <w:tcW w:w="1650" w:type="dxa"/>
            <w:shd w:val="clear" w:color="auto" w:fill="1B5E4F"/>
            <w:tcMar>
              <w:top w:w="60" w:type="dxa"/>
              <w:left w:w="90" w:type="dxa"/>
              <w:bottom w:w="60" w:type="dxa"/>
              <w:right w:w="90" w:type="dxa"/>
            </w:tcMar>
          </w:tcPr>
          <w:p w14:paraId="1A49779A" w14:textId="77777777" w:rsidR="00BA3083" w:rsidRDefault="00000000">
            <w:pPr>
              <w:spacing w:after="20"/>
            </w:pPr>
            <w:r>
              <w:rPr>
                <w:b/>
                <w:bCs/>
                <w:color w:val="FFFFFF"/>
                <w:sz w:val="19"/>
                <w:szCs w:val="19"/>
              </w:rPr>
              <w:t>Current stage</w:t>
            </w:r>
          </w:p>
        </w:tc>
        <w:tc>
          <w:tcPr>
            <w:tcW w:w="1650" w:type="dxa"/>
            <w:shd w:val="clear" w:color="auto" w:fill="1B5E4F"/>
            <w:tcMar>
              <w:top w:w="60" w:type="dxa"/>
              <w:left w:w="90" w:type="dxa"/>
              <w:bottom w:w="60" w:type="dxa"/>
              <w:right w:w="90" w:type="dxa"/>
            </w:tcMar>
          </w:tcPr>
          <w:p w14:paraId="0F7E1C93" w14:textId="77777777" w:rsidR="00BA3083" w:rsidRDefault="00000000">
            <w:pPr>
              <w:spacing w:after="20"/>
            </w:pPr>
            <w:r>
              <w:rPr>
                <w:b/>
                <w:bCs/>
                <w:color w:val="FFFFFF"/>
                <w:sz w:val="19"/>
                <w:szCs w:val="19"/>
              </w:rPr>
              <w:t>Confidence</w:t>
            </w:r>
          </w:p>
        </w:tc>
        <w:tc>
          <w:tcPr>
            <w:tcW w:w="3560" w:type="dxa"/>
            <w:shd w:val="clear" w:color="auto" w:fill="1B5E4F"/>
            <w:tcMar>
              <w:top w:w="60" w:type="dxa"/>
              <w:left w:w="90" w:type="dxa"/>
              <w:bottom w:w="60" w:type="dxa"/>
              <w:right w:w="90" w:type="dxa"/>
            </w:tcMar>
          </w:tcPr>
          <w:p w14:paraId="741AEDC5" w14:textId="77777777" w:rsidR="00BA3083" w:rsidRDefault="00000000">
            <w:pPr>
              <w:spacing w:after="20"/>
            </w:pPr>
            <w:r>
              <w:rPr>
                <w:b/>
                <w:bCs/>
                <w:color w:val="FFFFFF"/>
                <w:sz w:val="19"/>
                <w:szCs w:val="19"/>
              </w:rPr>
              <w:t>Basis</w:t>
            </w:r>
          </w:p>
        </w:tc>
      </w:tr>
      <w:tr w:rsidR="00BA3083" w14:paraId="5864726D" w14:textId="77777777">
        <w:tblPrEx>
          <w:tblCellMar>
            <w:top w:w="0" w:type="dxa"/>
            <w:bottom w:w="0" w:type="dxa"/>
          </w:tblCellMar>
        </w:tblPrEx>
        <w:tc>
          <w:tcPr>
            <w:tcW w:w="2550" w:type="dxa"/>
            <w:tcMar>
              <w:top w:w="60" w:type="dxa"/>
              <w:left w:w="90" w:type="dxa"/>
              <w:bottom w:w="60" w:type="dxa"/>
              <w:right w:w="90" w:type="dxa"/>
            </w:tcMar>
          </w:tcPr>
          <w:p w14:paraId="2394FE7A" w14:textId="77777777" w:rsidR="00BA3083" w:rsidRDefault="00000000">
            <w:pPr>
              <w:spacing w:after="20"/>
            </w:pPr>
            <w:r>
              <w:rPr>
                <w:sz w:val="19"/>
                <w:szCs w:val="19"/>
              </w:rPr>
              <w:t>Digital credit (</w:t>
            </w:r>
            <w:proofErr w:type="spellStart"/>
            <w:r>
              <w:rPr>
                <w:sz w:val="19"/>
                <w:szCs w:val="19"/>
              </w:rPr>
              <w:t>KhetScore</w:t>
            </w:r>
            <w:proofErr w:type="spellEnd"/>
            <w:r>
              <w:rPr>
                <w:sz w:val="19"/>
                <w:szCs w:val="19"/>
              </w:rPr>
              <w:t>, India)</w:t>
            </w:r>
          </w:p>
        </w:tc>
        <w:tc>
          <w:tcPr>
            <w:tcW w:w="1650" w:type="dxa"/>
            <w:tcMar>
              <w:top w:w="60" w:type="dxa"/>
              <w:left w:w="90" w:type="dxa"/>
              <w:bottom w:w="60" w:type="dxa"/>
              <w:right w:w="90" w:type="dxa"/>
            </w:tcMar>
          </w:tcPr>
          <w:p w14:paraId="25F358A7" w14:textId="77777777" w:rsidR="00BA3083" w:rsidRDefault="00000000">
            <w:pPr>
              <w:spacing w:after="20"/>
            </w:pPr>
            <w:r>
              <w:rPr>
                <w:b/>
                <w:bCs/>
                <w:color w:val="1B5E4F"/>
                <w:sz w:val="19"/>
                <w:szCs w:val="19"/>
              </w:rPr>
              <w:t>Scaling</w:t>
            </w:r>
          </w:p>
        </w:tc>
        <w:tc>
          <w:tcPr>
            <w:tcW w:w="1650" w:type="dxa"/>
            <w:tcMar>
              <w:top w:w="60" w:type="dxa"/>
              <w:left w:w="90" w:type="dxa"/>
              <w:bottom w:w="60" w:type="dxa"/>
              <w:right w:w="90" w:type="dxa"/>
            </w:tcMar>
          </w:tcPr>
          <w:p w14:paraId="039CB957" w14:textId="77777777" w:rsidR="00BA3083" w:rsidRDefault="00000000">
            <w:pPr>
              <w:spacing w:after="20"/>
            </w:pPr>
            <w:r>
              <w:rPr>
                <w:sz w:val="19"/>
                <w:szCs w:val="19"/>
              </w:rPr>
              <w:t>Moderate</w:t>
            </w:r>
          </w:p>
        </w:tc>
        <w:tc>
          <w:tcPr>
            <w:tcW w:w="3560" w:type="dxa"/>
            <w:tcMar>
              <w:top w:w="60" w:type="dxa"/>
              <w:left w:w="90" w:type="dxa"/>
              <w:bottom w:w="60" w:type="dxa"/>
              <w:right w:w="90" w:type="dxa"/>
            </w:tcMar>
          </w:tcPr>
          <w:p w14:paraId="2E7EFAB3" w14:textId="77777777" w:rsidR="00BA3083" w:rsidRDefault="00000000">
            <w:pPr>
              <w:spacing w:after="20"/>
            </w:pPr>
            <w:r>
              <w:rPr>
                <w:sz w:val="19"/>
                <w:szCs w:val="19"/>
              </w:rPr>
              <w:t>Live commercial lending; revenue-positive; RCT-validated</w:t>
            </w:r>
          </w:p>
        </w:tc>
      </w:tr>
      <w:tr w:rsidR="00BA3083" w14:paraId="26250E10" w14:textId="77777777">
        <w:tblPrEx>
          <w:tblCellMar>
            <w:top w:w="0" w:type="dxa"/>
            <w:bottom w:w="0" w:type="dxa"/>
          </w:tblCellMar>
        </w:tblPrEx>
        <w:tc>
          <w:tcPr>
            <w:tcW w:w="2550" w:type="dxa"/>
            <w:shd w:val="clear" w:color="auto" w:fill="F5F8F7"/>
            <w:tcMar>
              <w:top w:w="60" w:type="dxa"/>
              <w:left w:w="90" w:type="dxa"/>
              <w:bottom w:w="60" w:type="dxa"/>
              <w:right w:w="90" w:type="dxa"/>
            </w:tcMar>
          </w:tcPr>
          <w:p w14:paraId="2086B1CA" w14:textId="77777777" w:rsidR="00BA3083" w:rsidRDefault="00000000">
            <w:pPr>
              <w:spacing w:after="20"/>
            </w:pPr>
            <w:r>
              <w:rPr>
                <w:sz w:val="19"/>
                <w:szCs w:val="19"/>
              </w:rPr>
              <w:t>Credit via lenders (TARA, Kenya)</w:t>
            </w:r>
          </w:p>
        </w:tc>
        <w:tc>
          <w:tcPr>
            <w:tcW w:w="1650" w:type="dxa"/>
            <w:shd w:val="clear" w:color="auto" w:fill="F5F8F7"/>
            <w:tcMar>
              <w:top w:w="60" w:type="dxa"/>
              <w:left w:w="90" w:type="dxa"/>
              <w:bottom w:w="60" w:type="dxa"/>
              <w:right w:w="90" w:type="dxa"/>
            </w:tcMar>
          </w:tcPr>
          <w:p w14:paraId="6A5F6554" w14:textId="77777777" w:rsidR="00BA3083" w:rsidRDefault="00000000">
            <w:pPr>
              <w:spacing w:after="20"/>
            </w:pPr>
            <w:r>
              <w:rPr>
                <w:b/>
                <w:bCs/>
                <w:color w:val="8A6D00"/>
                <w:sz w:val="19"/>
                <w:szCs w:val="19"/>
              </w:rPr>
              <w:t>Transition to Scale</w:t>
            </w:r>
          </w:p>
        </w:tc>
        <w:tc>
          <w:tcPr>
            <w:tcW w:w="1650" w:type="dxa"/>
            <w:shd w:val="clear" w:color="auto" w:fill="F5F8F7"/>
            <w:tcMar>
              <w:top w:w="60" w:type="dxa"/>
              <w:left w:w="90" w:type="dxa"/>
              <w:bottom w:w="60" w:type="dxa"/>
              <w:right w:w="90" w:type="dxa"/>
            </w:tcMar>
          </w:tcPr>
          <w:p w14:paraId="68BF2446" w14:textId="77777777" w:rsidR="00BA3083" w:rsidRDefault="00000000">
            <w:pPr>
              <w:spacing w:after="20"/>
            </w:pPr>
            <w:r>
              <w:rPr>
                <w:sz w:val="19"/>
                <w:szCs w:val="19"/>
              </w:rPr>
              <w:t>Moderate</w:t>
            </w:r>
          </w:p>
        </w:tc>
        <w:tc>
          <w:tcPr>
            <w:tcW w:w="3560" w:type="dxa"/>
            <w:shd w:val="clear" w:color="auto" w:fill="F5F8F7"/>
            <w:tcMar>
              <w:top w:w="60" w:type="dxa"/>
              <w:left w:w="90" w:type="dxa"/>
              <w:bottom w:w="60" w:type="dxa"/>
              <w:right w:w="90" w:type="dxa"/>
            </w:tcMar>
          </w:tcPr>
          <w:p w14:paraId="07DF8CB1" w14:textId="77777777" w:rsidR="00BA3083" w:rsidRDefault="00000000">
            <w:pPr>
              <w:spacing w:after="20"/>
            </w:pPr>
            <w:r>
              <w:rPr>
                <w:sz w:val="19"/>
                <w:szCs w:val="19"/>
              </w:rPr>
              <w:t xml:space="preserve">Works through partners; slower to </w:t>
            </w:r>
            <w:proofErr w:type="spellStart"/>
            <w:r>
              <w:rPr>
                <w:sz w:val="19"/>
                <w:szCs w:val="19"/>
              </w:rPr>
              <w:t>materialise</w:t>
            </w:r>
            <w:proofErr w:type="spellEnd"/>
            <w:r>
              <w:rPr>
                <w:sz w:val="19"/>
                <w:szCs w:val="19"/>
              </w:rPr>
              <w:t xml:space="preserve"> (3k vs 12k)</w:t>
            </w:r>
          </w:p>
        </w:tc>
      </w:tr>
      <w:tr w:rsidR="00BA3083" w14:paraId="1CCF36BF" w14:textId="77777777">
        <w:tblPrEx>
          <w:tblCellMar>
            <w:top w:w="0" w:type="dxa"/>
            <w:bottom w:w="0" w:type="dxa"/>
          </w:tblCellMar>
        </w:tblPrEx>
        <w:tc>
          <w:tcPr>
            <w:tcW w:w="2550" w:type="dxa"/>
            <w:tcMar>
              <w:top w:w="60" w:type="dxa"/>
              <w:left w:w="90" w:type="dxa"/>
              <w:bottom w:w="60" w:type="dxa"/>
              <w:right w:w="90" w:type="dxa"/>
            </w:tcMar>
          </w:tcPr>
          <w:p w14:paraId="76993248" w14:textId="77777777" w:rsidR="00BA3083" w:rsidRDefault="00000000">
            <w:pPr>
              <w:spacing w:after="20"/>
            </w:pPr>
            <w:r>
              <w:rPr>
                <w:sz w:val="19"/>
                <w:szCs w:val="19"/>
              </w:rPr>
              <w:t>Picture-based insurance (both)</w:t>
            </w:r>
          </w:p>
        </w:tc>
        <w:tc>
          <w:tcPr>
            <w:tcW w:w="1650" w:type="dxa"/>
            <w:tcMar>
              <w:top w:w="60" w:type="dxa"/>
              <w:left w:w="90" w:type="dxa"/>
              <w:bottom w:w="60" w:type="dxa"/>
              <w:right w:w="90" w:type="dxa"/>
            </w:tcMar>
          </w:tcPr>
          <w:p w14:paraId="6E2AF661" w14:textId="77777777" w:rsidR="00BA3083" w:rsidRDefault="00000000">
            <w:pPr>
              <w:spacing w:after="20"/>
            </w:pPr>
            <w:r>
              <w:rPr>
                <w:b/>
                <w:bCs/>
                <w:color w:val="8A6D00"/>
                <w:sz w:val="19"/>
                <w:szCs w:val="19"/>
              </w:rPr>
              <w:t>Transition to Scale</w:t>
            </w:r>
          </w:p>
        </w:tc>
        <w:tc>
          <w:tcPr>
            <w:tcW w:w="1650" w:type="dxa"/>
            <w:tcMar>
              <w:top w:w="60" w:type="dxa"/>
              <w:left w:w="90" w:type="dxa"/>
              <w:bottom w:w="60" w:type="dxa"/>
              <w:right w:w="90" w:type="dxa"/>
            </w:tcMar>
          </w:tcPr>
          <w:p w14:paraId="013ADB9B" w14:textId="77777777" w:rsidR="00BA3083" w:rsidRDefault="00000000">
            <w:pPr>
              <w:spacing w:after="20"/>
            </w:pPr>
            <w:r>
              <w:rPr>
                <w:sz w:val="19"/>
                <w:szCs w:val="19"/>
              </w:rPr>
              <w:t>Low–Mod</w:t>
            </w:r>
          </w:p>
        </w:tc>
        <w:tc>
          <w:tcPr>
            <w:tcW w:w="3560" w:type="dxa"/>
            <w:tcMar>
              <w:top w:w="60" w:type="dxa"/>
              <w:left w:w="90" w:type="dxa"/>
              <w:bottom w:w="60" w:type="dxa"/>
              <w:right w:w="90" w:type="dxa"/>
            </w:tcMar>
          </w:tcPr>
          <w:p w14:paraId="4A07803B" w14:textId="77777777" w:rsidR="00BA3083" w:rsidRDefault="00000000">
            <w:pPr>
              <w:spacing w:after="20"/>
            </w:pPr>
            <w:r>
              <w:rPr>
                <w:sz w:val="19"/>
                <w:szCs w:val="19"/>
              </w:rPr>
              <w:t>Placed commercially but pool viability at scale unproven</w:t>
            </w:r>
          </w:p>
        </w:tc>
      </w:tr>
      <w:tr w:rsidR="00BA3083" w14:paraId="1039D1F0" w14:textId="77777777">
        <w:tblPrEx>
          <w:tblCellMar>
            <w:top w:w="0" w:type="dxa"/>
            <w:bottom w:w="0" w:type="dxa"/>
          </w:tblCellMar>
        </w:tblPrEx>
        <w:tc>
          <w:tcPr>
            <w:tcW w:w="2550" w:type="dxa"/>
            <w:shd w:val="clear" w:color="auto" w:fill="F5F8F7"/>
            <w:tcMar>
              <w:top w:w="60" w:type="dxa"/>
              <w:left w:w="90" w:type="dxa"/>
              <w:bottom w:w="60" w:type="dxa"/>
              <w:right w:w="90" w:type="dxa"/>
            </w:tcMar>
          </w:tcPr>
          <w:p w14:paraId="5473FE20" w14:textId="77777777" w:rsidR="00BA3083" w:rsidRDefault="00000000">
            <w:pPr>
              <w:spacing w:after="20"/>
            </w:pPr>
            <w:r>
              <w:rPr>
                <w:sz w:val="19"/>
                <w:szCs w:val="19"/>
              </w:rPr>
              <w:t>Inclusive-scaling wrapper (women/youth/</w:t>
            </w:r>
            <w:proofErr w:type="spellStart"/>
            <w:r>
              <w:rPr>
                <w:sz w:val="19"/>
                <w:szCs w:val="19"/>
              </w:rPr>
              <w:t>marginalised</w:t>
            </w:r>
            <w:proofErr w:type="spellEnd"/>
            <w:r>
              <w:rPr>
                <w:sz w:val="19"/>
                <w:szCs w:val="19"/>
              </w:rPr>
              <w:t>)</w:t>
            </w:r>
          </w:p>
        </w:tc>
        <w:tc>
          <w:tcPr>
            <w:tcW w:w="1650" w:type="dxa"/>
            <w:shd w:val="clear" w:color="auto" w:fill="F5F8F7"/>
            <w:tcMar>
              <w:top w:w="60" w:type="dxa"/>
              <w:left w:w="90" w:type="dxa"/>
              <w:bottom w:w="60" w:type="dxa"/>
              <w:right w:w="90" w:type="dxa"/>
            </w:tcMar>
          </w:tcPr>
          <w:p w14:paraId="00E8E912" w14:textId="77777777" w:rsidR="00BA3083" w:rsidRDefault="00000000">
            <w:pPr>
              <w:spacing w:after="20"/>
            </w:pPr>
            <w:r>
              <w:rPr>
                <w:b/>
                <w:bCs/>
                <w:color w:val="8B2635"/>
                <w:sz w:val="19"/>
                <w:szCs w:val="19"/>
              </w:rPr>
              <w:t>Proof of Concept</w:t>
            </w:r>
          </w:p>
        </w:tc>
        <w:tc>
          <w:tcPr>
            <w:tcW w:w="1650" w:type="dxa"/>
            <w:shd w:val="clear" w:color="auto" w:fill="F5F8F7"/>
            <w:tcMar>
              <w:top w:w="60" w:type="dxa"/>
              <w:left w:w="90" w:type="dxa"/>
              <w:bottom w:w="60" w:type="dxa"/>
              <w:right w:w="90" w:type="dxa"/>
            </w:tcMar>
          </w:tcPr>
          <w:p w14:paraId="02420A0B" w14:textId="77777777" w:rsidR="00BA3083" w:rsidRDefault="00000000">
            <w:pPr>
              <w:spacing w:after="20"/>
            </w:pPr>
            <w:r>
              <w:rPr>
                <w:sz w:val="19"/>
                <w:szCs w:val="19"/>
              </w:rPr>
              <w:t>Low</w:t>
            </w:r>
          </w:p>
        </w:tc>
        <w:tc>
          <w:tcPr>
            <w:tcW w:w="3560" w:type="dxa"/>
            <w:shd w:val="clear" w:color="auto" w:fill="F5F8F7"/>
            <w:tcMar>
              <w:top w:w="60" w:type="dxa"/>
              <w:left w:w="90" w:type="dxa"/>
              <w:bottom w:w="60" w:type="dxa"/>
              <w:right w:w="90" w:type="dxa"/>
            </w:tcMar>
          </w:tcPr>
          <w:p w14:paraId="3A880BCF" w14:textId="77777777" w:rsidR="00BA3083" w:rsidRDefault="00000000">
            <w:pPr>
              <w:spacing w:after="20"/>
            </w:pPr>
            <w:r>
              <w:rPr>
                <w:sz w:val="19"/>
                <w:szCs w:val="19"/>
              </w:rPr>
              <w:t>Targets set; delivery via unproven agent-inclusion mechanism</w:t>
            </w:r>
          </w:p>
        </w:tc>
      </w:tr>
    </w:tbl>
    <w:p w14:paraId="1537A53A" w14:textId="77777777" w:rsidR="00BA3083" w:rsidRDefault="00000000">
      <w:pPr>
        <w:pStyle w:val="Heading2"/>
        <w:spacing w:before="220" w:after="100"/>
      </w:pPr>
      <w:bookmarkStart w:id="21" w:name="_Toc234870971"/>
      <w:r>
        <w:t>4.2 Entry / exit criteria &amp; gaps</w:t>
      </w:r>
      <w:bookmarkEnd w:id="21"/>
    </w:p>
    <w:p w14:paraId="12CA6F06" w14:textId="77777777" w:rsidR="00BA3083" w:rsidRDefault="00000000">
      <w:pPr>
        <w:pStyle w:val="Heading3"/>
        <w:spacing w:before="160" w:after="70"/>
      </w:pPr>
      <w:r>
        <w:t>Proof of Concept</w:t>
      </w:r>
    </w:p>
    <w:p w14:paraId="7B12018F" w14:textId="77777777" w:rsidR="00BA3083" w:rsidRDefault="00000000">
      <w:pPr>
        <w:pStyle w:val="ListParagraph"/>
        <w:numPr>
          <w:ilvl w:val="0"/>
          <w:numId w:val="2"/>
        </w:numPr>
        <w:spacing w:after="60" w:line="258" w:lineRule="auto"/>
      </w:pPr>
      <w:r>
        <w:rPr>
          <w:b/>
          <w:bCs/>
        </w:rPr>
        <w:t xml:space="preserve">Entry: technical feasibility + problem fit. </w:t>
      </w:r>
      <w:r>
        <w:rPr>
          <w:color w:val="1B5E4F"/>
        </w:rPr>
        <w:t>Met.</w:t>
      </w:r>
    </w:p>
    <w:p w14:paraId="7CD2B69E" w14:textId="77777777" w:rsidR="00BA3083" w:rsidRDefault="00000000">
      <w:pPr>
        <w:pStyle w:val="ListParagraph"/>
        <w:numPr>
          <w:ilvl w:val="0"/>
          <w:numId w:val="2"/>
        </w:numPr>
        <w:spacing w:after="60" w:line="258" w:lineRule="auto"/>
      </w:pPr>
      <w:r>
        <w:rPr>
          <w:b/>
          <w:bCs/>
        </w:rPr>
        <w:t xml:space="preserve">Exit: validated impact under real-world conditions. </w:t>
      </w:r>
      <w:r>
        <w:rPr>
          <w:color w:val="1B5E4F"/>
        </w:rPr>
        <w:t>Met</w:t>
      </w:r>
      <w:r>
        <w:t xml:space="preserve"> (RCTs, readiness 9).</w:t>
      </w:r>
    </w:p>
    <w:p w14:paraId="3AB4CC5A" w14:textId="77777777" w:rsidR="00BA3083" w:rsidRDefault="00000000">
      <w:pPr>
        <w:pStyle w:val="Heading3"/>
        <w:spacing w:before="160" w:after="70"/>
      </w:pPr>
      <w:r>
        <w:t>Transition to Scale</w:t>
      </w:r>
    </w:p>
    <w:p w14:paraId="45106366" w14:textId="77777777" w:rsidR="00BA3083" w:rsidRDefault="00000000">
      <w:pPr>
        <w:pStyle w:val="ListParagraph"/>
        <w:numPr>
          <w:ilvl w:val="0"/>
          <w:numId w:val="2"/>
        </w:numPr>
        <w:spacing w:after="60" w:line="258" w:lineRule="auto"/>
      </w:pPr>
      <w:r>
        <w:rPr>
          <w:b/>
          <w:bCs/>
        </w:rPr>
        <w:t xml:space="preserve">Entry: proven product + committed delivery partners + early commercial operation. </w:t>
      </w:r>
      <w:r>
        <w:rPr>
          <w:color w:val="1B5E4F"/>
        </w:rPr>
        <w:t>Met.</w:t>
      </w:r>
    </w:p>
    <w:p w14:paraId="20C21D91" w14:textId="77777777" w:rsidR="00BA3083" w:rsidRDefault="00000000">
      <w:pPr>
        <w:pStyle w:val="ListParagraph"/>
        <w:numPr>
          <w:ilvl w:val="0"/>
          <w:numId w:val="2"/>
        </w:numPr>
        <w:spacing w:after="60" w:line="258" w:lineRule="auto"/>
      </w:pPr>
      <w:r>
        <w:t xml:space="preserve">Exit: demonstrated </w:t>
      </w:r>
      <w:r>
        <w:rPr>
          <w:b/>
          <w:bCs/>
        </w:rPr>
        <w:t>business-model viability at scale</w:t>
      </w:r>
      <w:r>
        <w:t xml:space="preserve"> + secured financing pathway + evidence of self-sustaining demand after subsidy. </w:t>
      </w:r>
      <w:r>
        <w:rPr>
          <w:color w:val="8B2635"/>
        </w:rPr>
        <w:t>Not met.</w:t>
      </w:r>
    </w:p>
    <w:p w14:paraId="51F51187" w14:textId="77777777" w:rsidR="00BA3083" w:rsidRDefault="00000000">
      <w:pPr>
        <w:pStyle w:val="ListParagraph"/>
        <w:numPr>
          <w:ilvl w:val="0"/>
          <w:numId w:val="2"/>
        </w:numPr>
        <w:spacing w:after="60" w:line="258" w:lineRule="auto"/>
      </w:pPr>
      <w:r>
        <w:t>Remaining gaps: insurance-pool math; subsidy-exit evidence; crowd-in of committed finance; claims-speed data; agent-inclusion proof.</w:t>
      </w:r>
    </w:p>
    <w:p w14:paraId="41AE3751" w14:textId="77777777" w:rsidR="00BA3083" w:rsidRDefault="00000000">
      <w:pPr>
        <w:pStyle w:val="Heading3"/>
        <w:spacing w:before="160" w:after="70"/>
      </w:pPr>
      <w:r>
        <w:t>Scaling</w:t>
      </w:r>
    </w:p>
    <w:p w14:paraId="538CFF02" w14:textId="77777777" w:rsidR="00BA3083" w:rsidRDefault="00000000">
      <w:pPr>
        <w:pStyle w:val="ListParagraph"/>
        <w:numPr>
          <w:ilvl w:val="0"/>
          <w:numId w:val="2"/>
        </w:numPr>
        <w:spacing w:after="60" w:line="258" w:lineRule="auto"/>
      </w:pPr>
      <w:r>
        <w:rPr>
          <w:b/>
          <w:bCs/>
        </w:rPr>
        <w:t xml:space="preserve">Entry: viability + financing + institutional ownership demonstrated. </w:t>
      </w:r>
      <w:r>
        <w:rPr>
          <w:color w:val="8B2635"/>
        </w:rPr>
        <w:t xml:space="preserve">Not met for the </w:t>
      </w:r>
      <w:proofErr w:type="gramStart"/>
      <w:r>
        <w:rPr>
          <w:color w:val="8B2635"/>
        </w:rPr>
        <w:t>bundle as a whole</w:t>
      </w:r>
      <w:proofErr w:type="gramEnd"/>
      <w:r>
        <w:t xml:space="preserve"> (met for India credit leg alone).</w:t>
      </w:r>
    </w:p>
    <w:p w14:paraId="631FCEBC" w14:textId="77777777" w:rsidR="00BA3083" w:rsidRDefault="00000000">
      <w:pPr>
        <w:pStyle w:val="Heading2"/>
        <w:spacing w:before="220" w:after="100"/>
      </w:pPr>
      <w:bookmarkStart w:id="22" w:name="_Toc234870972"/>
      <w:r>
        <w:t>4.3 Integrated judgement</w:t>
      </w:r>
      <w:bookmarkEnd w:id="22"/>
    </w:p>
    <w:tbl>
      <w:tblPr>
        <w:tblW w:w="9360" w:type="dxa"/>
        <w:tblBorders>
          <w:left w:val="single" w:sz="24" w:space="0" w:color="6A1B9A"/>
        </w:tblBorders>
        <w:tblCellMar>
          <w:left w:w="10" w:type="dxa"/>
          <w:right w:w="10" w:type="dxa"/>
        </w:tblCellMar>
        <w:tblLook w:val="04A0" w:firstRow="1" w:lastRow="0" w:firstColumn="1" w:lastColumn="0" w:noHBand="0" w:noVBand="1"/>
      </w:tblPr>
      <w:tblGrid>
        <w:gridCol w:w="9360"/>
      </w:tblGrid>
      <w:tr w:rsidR="00BA3083" w14:paraId="1EA05211" w14:textId="77777777">
        <w:tblPrEx>
          <w:tblCellMar>
            <w:top w:w="0" w:type="dxa"/>
            <w:bottom w:w="0" w:type="dxa"/>
          </w:tblCellMar>
        </w:tblPrEx>
        <w:tc>
          <w:tcPr>
            <w:tcW w:w="9360" w:type="dxa"/>
            <w:shd w:val="clear" w:color="auto" w:fill="F2EAF7"/>
            <w:tcMar>
              <w:top w:w="120" w:type="dxa"/>
              <w:left w:w="200" w:type="dxa"/>
              <w:bottom w:w="120" w:type="dxa"/>
              <w:right w:w="160" w:type="dxa"/>
            </w:tcMar>
          </w:tcPr>
          <w:p w14:paraId="564AE86C" w14:textId="77777777" w:rsidR="00BA3083" w:rsidRDefault="00000000">
            <w:pPr>
              <w:spacing w:after="60"/>
            </w:pPr>
            <w:r>
              <w:rPr>
                <w:b/>
                <w:bCs/>
                <w:color w:val="6A1B9A"/>
              </w:rPr>
              <w:t>Recommended gate</w:t>
            </w:r>
          </w:p>
          <w:p w14:paraId="12C3672E" w14:textId="77777777" w:rsidR="00BA3083" w:rsidRDefault="00000000">
            <w:pPr>
              <w:spacing w:after="50" w:line="258" w:lineRule="auto"/>
            </w:pPr>
            <w:r>
              <w:rPr>
                <w:b/>
                <w:bCs/>
              </w:rPr>
              <w:t xml:space="preserve">Current integrated stage: </w:t>
            </w:r>
            <w:r>
              <w:rPr>
                <w:b/>
                <w:bCs/>
                <w:color w:val="6A1B9A"/>
              </w:rPr>
              <w:t>Transition to Scale</w:t>
            </w:r>
          </w:p>
          <w:p w14:paraId="6D5A116C" w14:textId="77777777" w:rsidR="00BA3083" w:rsidRDefault="00000000">
            <w:pPr>
              <w:spacing w:after="50" w:line="258" w:lineRule="auto"/>
            </w:pPr>
            <w:r>
              <w:rPr>
                <w:b/>
                <w:bCs/>
              </w:rPr>
              <w:t>Recommended gate decision: ADVANCE with conditions (Targeted Bottleneck Support), NOT unconditional scaling investment.</w:t>
            </w:r>
          </w:p>
          <w:p w14:paraId="335B418A" w14:textId="77777777" w:rsidR="00BA3083" w:rsidRDefault="00000000">
            <w:pPr>
              <w:spacing w:after="50" w:line="258" w:lineRule="auto"/>
            </w:pPr>
            <w:r>
              <w:rPr>
                <w:b/>
                <w:bCs/>
              </w:rPr>
              <w:t xml:space="preserve">Confidence: </w:t>
            </w:r>
            <w:r>
              <w:t>Moderate.</w:t>
            </w:r>
          </w:p>
          <w:p w14:paraId="4EEE14C9" w14:textId="77777777" w:rsidR="00BA3083" w:rsidRDefault="00000000">
            <w:pPr>
              <w:spacing w:after="50" w:line="258" w:lineRule="auto"/>
            </w:pPr>
            <w:r>
              <w:rPr>
                <w:b/>
                <w:bCs/>
              </w:rPr>
              <w:t xml:space="preserve">Justification: </w:t>
            </w:r>
            <w:r>
              <w:t>Advancing is justified by strong impact evidence and live commercial operations. Conditioning is required because the exit criterion for this stage — proven viability of the financing/insurance system at scale — is unmet and unevidenced. Releasing full scaling investment now would fund growth toward a ceiling the model has not shown it can pass.</w:t>
            </w:r>
          </w:p>
        </w:tc>
      </w:tr>
    </w:tbl>
    <w:p w14:paraId="07791100" w14:textId="77777777" w:rsidR="00BA3083" w:rsidRDefault="00000000">
      <w:r>
        <w:br w:type="page"/>
      </w:r>
    </w:p>
    <w:p w14:paraId="4A8DD0AA" w14:textId="77777777" w:rsidR="00BA3083" w:rsidRDefault="00000000">
      <w:pPr>
        <w:pStyle w:val="Heading1"/>
        <w:spacing w:before="320" w:after="140"/>
      </w:pPr>
      <w:bookmarkStart w:id="23" w:name="_Toc234870973"/>
      <w:r>
        <w:lastRenderedPageBreak/>
        <w:t>5 · Scaling Strategy Review</w:t>
      </w:r>
      <w:bookmarkEnd w:id="23"/>
    </w:p>
    <w:p w14:paraId="3D8AF548" w14:textId="77777777" w:rsidR="00BA3083" w:rsidRDefault="00000000">
      <w:pPr>
        <w:pStyle w:val="Heading2"/>
        <w:spacing w:before="220" w:after="100"/>
      </w:pPr>
      <w:bookmarkStart w:id="24" w:name="_Toc234870974"/>
      <w:r>
        <w:t>5.1 Strategic diagnosis</w:t>
      </w:r>
      <w:bookmarkEnd w:id="24"/>
    </w:p>
    <w:p w14:paraId="16F097BC" w14:textId="77777777" w:rsidR="00BA3083" w:rsidRDefault="00000000">
      <w:pPr>
        <w:spacing w:after="110" w:line="264" w:lineRule="auto"/>
        <w:ind w:left="120"/>
      </w:pPr>
      <w:proofErr w:type="gramStart"/>
      <w:r>
        <w:rPr>
          <w:b/>
          <w:bCs/>
          <w:color w:val="6A1B9A"/>
          <w:sz w:val="17"/>
          <w:szCs w:val="17"/>
        </w:rPr>
        <w:t xml:space="preserve">JUDGEMENT  </w:t>
      </w:r>
      <w:r>
        <w:t>This</w:t>
      </w:r>
      <w:proofErr w:type="gramEnd"/>
      <w:r>
        <w:t xml:space="preserve"> is a </w:t>
      </w:r>
      <w:r>
        <w:rPr>
          <w:b/>
          <w:bCs/>
        </w:rPr>
        <w:t>strong innovation inside an incomplete scaling system</w:t>
      </w:r>
      <w:r>
        <w:t xml:space="preserve">. The team has done the hard technical and validation work exceptionally well and has secured two capable commercial partners. The strategy's gap is not effort or evidence — it is that the plan </w:t>
      </w:r>
      <w:proofErr w:type="spellStart"/>
      <w:r>
        <w:t>optimises</w:t>
      </w:r>
      <w:proofErr w:type="spellEnd"/>
      <w:r>
        <w:t xml:space="preserve"> the parts of the system that are already working (product, delivery, capacity) and under-specifies the part that isn't (the financing architecture that would carry the insurance leg to hundreds of thousands of farmers).</w:t>
      </w:r>
    </w:p>
    <w:p w14:paraId="26F9D333" w14:textId="77777777" w:rsidR="00BA3083" w:rsidRDefault="00000000">
      <w:pPr>
        <w:spacing w:after="110" w:line="264" w:lineRule="auto"/>
        <w:ind w:left="120"/>
      </w:pPr>
      <w:proofErr w:type="gramStart"/>
      <w:r>
        <w:rPr>
          <w:b/>
          <w:bCs/>
          <w:color w:val="0B5394"/>
          <w:sz w:val="17"/>
          <w:szCs w:val="17"/>
        </w:rPr>
        <w:t xml:space="preserve">INTERPRETATION  </w:t>
      </w:r>
      <w:r>
        <w:t>Krupnik's</w:t>
      </w:r>
      <w:proofErr w:type="gramEnd"/>
      <w:r>
        <w:t xml:space="preserve"> meeting framing captures it precisely: this is the smallest track by adoption, taken on </w:t>
      </w:r>
      <w:r>
        <w:rPr>
          <w:b/>
          <w:bCs/>
        </w:rPr>
        <w:t>as a deliberate risk</w:t>
      </w:r>
      <w:r>
        <w:t xml:space="preserve"> for its novelty and evidence, with an explicit ask to show a </w:t>
      </w:r>
      <w:r>
        <w:rPr>
          <w:b/>
          <w:bCs/>
        </w:rPr>
        <w:t>"systematic narrative of deep scaling"</w:t>
      </w:r>
      <w:r>
        <w:t xml:space="preserve"> rather than just annual numbers. That narrative is the missing deliverable.</w:t>
      </w:r>
    </w:p>
    <w:p w14:paraId="59282571" w14:textId="77777777" w:rsidR="00BA3083" w:rsidRDefault="00000000">
      <w:pPr>
        <w:pStyle w:val="Heading2"/>
        <w:spacing w:before="220" w:after="100"/>
      </w:pPr>
      <w:bookmarkStart w:id="25" w:name="_Toc234870975"/>
      <w:r>
        <w:t>5.2 Priority actions</w:t>
      </w:r>
      <w:bookmarkEnd w:id="25"/>
    </w:p>
    <w:p w14:paraId="743138B0" w14:textId="77777777" w:rsidR="00BA3083" w:rsidRDefault="00000000">
      <w:pPr>
        <w:pStyle w:val="ListParagraph"/>
        <w:numPr>
          <w:ilvl w:val="0"/>
          <w:numId w:val="3"/>
        </w:numPr>
        <w:spacing w:after="60" w:line="258" w:lineRule="auto"/>
      </w:pPr>
      <w:r>
        <w:rPr>
          <w:b/>
          <w:bCs/>
        </w:rPr>
        <w:t>Build the insurance-viability case</w:t>
      </w:r>
      <w:r>
        <w:t xml:space="preserve"> — obtain from </w:t>
      </w:r>
      <w:proofErr w:type="spellStart"/>
      <w:r>
        <w:t>Dvara</w:t>
      </w:r>
      <w:proofErr w:type="spellEnd"/>
      <w:r>
        <w:t>/ACRE and their insurers/reinsurer (Zep-Re) the minimum pool size for viable diversification and the acquisition-cost curve from 15k→500k. This is the gate-defining number.</w:t>
      </w:r>
    </w:p>
    <w:p w14:paraId="1F58B392" w14:textId="77777777" w:rsidR="00BA3083" w:rsidRDefault="00000000">
      <w:pPr>
        <w:pStyle w:val="ListParagraph"/>
        <w:numPr>
          <w:ilvl w:val="0"/>
          <w:numId w:val="3"/>
        </w:numPr>
        <w:spacing w:after="60" w:line="258" w:lineRule="auto"/>
      </w:pPr>
      <w:r>
        <w:rPr>
          <w:b/>
          <w:bCs/>
        </w:rPr>
        <w:t>Write the subsidy-exit and financing plan</w:t>
      </w:r>
      <w:r>
        <w:t xml:space="preserve"> — quantify subsidy/FLDG cost at 100k+ and name the committed source. Convert "crowd-in" from hope to a pipeline with probabilities.</w:t>
      </w:r>
    </w:p>
    <w:p w14:paraId="28EDB6A4" w14:textId="77777777" w:rsidR="00BA3083" w:rsidRDefault="00000000">
      <w:pPr>
        <w:pStyle w:val="ListParagraph"/>
        <w:numPr>
          <w:ilvl w:val="0"/>
          <w:numId w:val="3"/>
        </w:numPr>
        <w:spacing w:after="60" w:line="258" w:lineRule="auto"/>
      </w:pPr>
      <w:r>
        <w:rPr>
          <w:b/>
          <w:bCs/>
        </w:rPr>
        <w:t>Instrument claims speed</w:t>
      </w:r>
      <w:r>
        <w:t xml:space="preserve"> — measure days-to-payout against the planting calendar in 2026 as a first-class MELIA indicator.</w:t>
      </w:r>
    </w:p>
    <w:p w14:paraId="428479CF" w14:textId="77777777" w:rsidR="00BA3083" w:rsidRDefault="00000000">
      <w:pPr>
        <w:pStyle w:val="ListParagraph"/>
        <w:numPr>
          <w:ilvl w:val="0"/>
          <w:numId w:val="3"/>
        </w:numPr>
        <w:spacing w:after="60" w:line="258" w:lineRule="auto"/>
      </w:pPr>
      <w:r>
        <w:rPr>
          <w:b/>
          <w:bCs/>
        </w:rPr>
        <w:t>Open the agent black box</w:t>
      </w:r>
      <w:r>
        <w:t xml:space="preserve"> — run the A/B / </w:t>
      </w:r>
      <w:proofErr w:type="spellStart"/>
      <w:r>
        <w:t>behavioural</w:t>
      </w:r>
      <w:proofErr w:type="spellEnd"/>
      <w:r>
        <w:t xml:space="preserve"> study with AoW5 on agent incentives and inclusion bias (the PhD study with U. Göttingen is the natural vehicle).</w:t>
      </w:r>
    </w:p>
    <w:p w14:paraId="6F41D7EF" w14:textId="77777777" w:rsidR="00BA3083" w:rsidRDefault="00000000">
      <w:pPr>
        <w:pStyle w:val="ListParagraph"/>
        <w:numPr>
          <w:ilvl w:val="0"/>
          <w:numId w:val="3"/>
        </w:numPr>
        <w:spacing w:after="60" w:line="258" w:lineRule="auto"/>
      </w:pPr>
      <w:r>
        <w:rPr>
          <w:b/>
          <w:bCs/>
        </w:rPr>
        <w:t>Reconcile the facts</w:t>
      </w:r>
      <w:r>
        <w:t xml:space="preserve"> — fix canonical reach/target/partner numbers (see §2.3) before external communication.</w:t>
      </w:r>
    </w:p>
    <w:p w14:paraId="4C05CE94" w14:textId="77777777" w:rsidR="00BA3083" w:rsidRDefault="00000000">
      <w:pPr>
        <w:pStyle w:val="Heading2"/>
        <w:spacing w:before="220" w:after="100"/>
      </w:pPr>
      <w:bookmarkStart w:id="26" w:name="_Toc234870976"/>
      <w:r>
        <w:t>5.3 Owner-specific recommendations</w:t>
      </w:r>
      <w:bookmarkEnd w:id="26"/>
    </w:p>
    <w:tbl>
      <w:tblPr>
        <w:tblW w:w="9360" w:type="dxa"/>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left w:w="10" w:type="dxa"/>
          <w:right w:w="10" w:type="dxa"/>
        </w:tblCellMar>
        <w:tblLook w:val="04A0" w:firstRow="1" w:lastRow="0" w:firstColumn="1" w:lastColumn="0" w:noHBand="0" w:noVBand="1"/>
      </w:tblPr>
      <w:tblGrid>
        <w:gridCol w:w="2350"/>
        <w:gridCol w:w="7010"/>
      </w:tblGrid>
      <w:tr w:rsidR="00BA3083" w14:paraId="404E300D" w14:textId="77777777">
        <w:tblPrEx>
          <w:tblCellMar>
            <w:top w:w="0" w:type="dxa"/>
            <w:bottom w:w="0" w:type="dxa"/>
          </w:tblCellMar>
        </w:tblPrEx>
        <w:trPr>
          <w:tblHeader/>
        </w:trPr>
        <w:tc>
          <w:tcPr>
            <w:tcW w:w="2350" w:type="dxa"/>
            <w:shd w:val="clear" w:color="auto" w:fill="1B5E4F"/>
            <w:tcMar>
              <w:top w:w="60" w:type="dxa"/>
              <w:left w:w="90" w:type="dxa"/>
              <w:bottom w:w="60" w:type="dxa"/>
              <w:right w:w="90" w:type="dxa"/>
            </w:tcMar>
          </w:tcPr>
          <w:p w14:paraId="15D2ED0B" w14:textId="77777777" w:rsidR="00BA3083" w:rsidRDefault="00000000">
            <w:pPr>
              <w:spacing w:after="20"/>
            </w:pPr>
            <w:r>
              <w:rPr>
                <w:b/>
                <w:bCs/>
                <w:color w:val="FFFFFF"/>
                <w:sz w:val="19"/>
                <w:szCs w:val="19"/>
              </w:rPr>
              <w:t>Owner</w:t>
            </w:r>
          </w:p>
        </w:tc>
        <w:tc>
          <w:tcPr>
            <w:tcW w:w="7010" w:type="dxa"/>
            <w:shd w:val="clear" w:color="auto" w:fill="1B5E4F"/>
            <w:tcMar>
              <w:top w:w="60" w:type="dxa"/>
              <w:left w:w="90" w:type="dxa"/>
              <w:bottom w:w="60" w:type="dxa"/>
              <w:right w:w="90" w:type="dxa"/>
            </w:tcMar>
          </w:tcPr>
          <w:p w14:paraId="57DC7A57" w14:textId="77777777" w:rsidR="00BA3083" w:rsidRDefault="00000000">
            <w:pPr>
              <w:spacing w:after="20"/>
            </w:pPr>
            <w:r>
              <w:rPr>
                <w:b/>
                <w:bCs/>
                <w:color w:val="FFFFFF"/>
                <w:sz w:val="19"/>
                <w:szCs w:val="19"/>
              </w:rPr>
              <w:t>Recommended focus</w:t>
            </w:r>
          </w:p>
        </w:tc>
      </w:tr>
      <w:tr w:rsidR="00BA3083" w14:paraId="28F4C83B" w14:textId="77777777">
        <w:tblPrEx>
          <w:tblCellMar>
            <w:top w:w="0" w:type="dxa"/>
            <w:bottom w:w="0" w:type="dxa"/>
          </w:tblCellMar>
        </w:tblPrEx>
        <w:tc>
          <w:tcPr>
            <w:tcW w:w="2350" w:type="dxa"/>
            <w:tcMar>
              <w:top w:w="60" w:type="dxa"/>
              <w:left w:w="90" w:type="dxa"/>
              <w:bottom w:w="60" w:type="dxa"/>
              <w:right w:w="90" w:type="dxa"/>
            </w:tcMar>
          </w:tcPr>
          <w:p w14:paraId="12963167" w14:textId="77777777" w:rsidR="00BA3083" w:rsidRDefault="00000000">
            <w:pPr>
              <w:spacing w:after="20"/>
            </w:pPr>
            <w:r>
              <w:rPr>
                <w:b/>
                <w:bCs/>
                <w:sz w:val="19"/>
                <w:szCs w:val="19"/>
              </w:rPr>
              <w:t>IFPRI (Kramer)</w:t>
            </w:r>
          </w:p>
        </w:tc>
        <w:tc>
          <w:tcPr>
            <w:tcW w:w="7010" w:type="dxa"/>
            <w:tcMar>
              <w:top w:w="60" w:type="dxa"/>
              <w:left w:w="90" w:type="dxa"/>
              <w:bottom w:w="60" w:type="dxa"/>
              <w:right w:w="90" w:type="dxa"/>
            </w:tcMar>
          </w:tcPr>
          <w:p w14:paraId="26F1E541" w14:textId="77777777" w:rsidR="00BA3083" w:rsidRDefault="00000000">
            <w:pPr>
              <w:spacing w:after="20"/>
            </w:pPr>
            <w:r>
              <w:rPr>
                <w:sz w:val="19"/>
                <w:szCs w:val="19"/>
              </w:rPr>
              <w:t>Own the deep-scaling narrative and the insurance-viability evidence; convene the pool-math conversation with insurers/Zep-Re; lead fact reconciliation.</w:t>
            </w:r>
          </w:p>
        </w:tc>
      </w:tr>
      <w:tr w:rsidR="00BA3083" w14:paraId="7D46D541" w14:textId="77777777">
        <w:tblPrEx>
          <w:tblCellMar>
            <w:top w:w="0" w:type="dxa"/>
            <w:bottom w:w="0" w:type="dxa"/>
          </w:tblCellMar>
        </w:tblPrEx>
        <w:tc>
          <w:tcPr>
            <w:tcW w:w="2350" w:type="dxa"/>
            <w:shd w:val="clear" w:color="auto" w:fill="F5F8F7"/>
            <w:tcMar>
              <w:top w:w="60" w:type="dxa"/>
              <w:left w:w="90" w:type="dxa"/>
              <w:bottom w:w="60" w:type="dxa"/>
              <w:right w:w="90" w:type="dxa"/>
            </w:tcMar>
          </w:tcPr>
          <w:p w14:paraId="51B23C33" w14:textId="77777777" w:rsidR="00BA3083" w:rsidRDefault="00000000">
            <w:pPr>
              <w:spacing w:after="20"/>
            </w:pPr>
            <w:r>
              <w:rPr>
                <w:b/>
                <w:bCs/>
                <w:sz w:val="19"/>
                <w:szCs w:val="19"/>
              </w:rPr>
              <w:t>Alliance (Ramirez/</w:t>
            </w:r>
            <w:proofErr w:type="spellStart"/>
            <w:r>
              <w:rPr>
                <w:b/>
                <w:bCs/>
                <w:sz w:val="19"/>
                <w:szCs w:val="19"/>
              </w:rPr>
              <w:t>Achicanoy</w:t>
            </w:r>
            <w:proofErr w:type="spellEnd"/>
            <w:r>
              <w:rPr>
                <w:b/>
                <w:bCs/>
                <w:sz w:val="19"/>
                <w:szCs w:val="19"/>
              </w:rPr>
              <w:t>)</w:t>
            </w:r>
          </w:p>
        </w:tc>
        <w:tc>
          <w:tcPr>
            <w:tcW w:w="7010" w:type="dxa"/>
            <w:shd w:val="clear" w:color="auto" w:fill="F5F8F7"/>
            <w:tcMar>
              <w:top w:w="60" w:type="dxa"/>
              <w:left w:w="90" w:type="dxa"/>
              <w:bottom w:w="60" w:type="dxa"/>
              <w:right w:w="90" w:type="dxa"/>
            </w:tcMar>
          </w:tcPr>
          <w:p w14:paraId="3DBC5648" w14:textId="77777777" w:rsidR="00BA3083" w:rsidRDefault="00000000">
            <w:pPr>
              <w:spacing w:after="20"/>
            </w:pPr>
            <w:r>
              <w:rPr>
                <w:sz w:val="19"/>
                <w:szCs w:val="19"/>
              </w:rPr>
              <w:t>Deliver climate-risk-pricing methodology under non-stationarity; make it the answer to Kohl's pricing question, not just model refinement.</w:t>
            </w:r>
          </w:p>
        </w:tc>
      </w:tr>
      <w:tr w:rsidR="00BA3083" w14:paraId="319E9B1D" w14:textId="77777777">
        <w:tblPrEx>
          <w:tblCellMar>
            <w:top w:w="0" w:type="dxa"/>
            <w:bottom w:w="0" w:type="dxa"/>
          </w:tblCellMar>
        </w:tblPrEx>
        <w:tc>
          <w:tcPr>
            <w:tcW w:w="2350" w:type="dxa"/>
            <w:tcMar>
              <w:top w:w="60" w:type="dxa"/>
              <w:left w:w="90" w:type="dxa"/>
              <w:bottom w:w="60" w:type="dxa"/>
              <w:right w:w="90" w:type="dxa"/>
            </w:tcMar>
          </w:tcPr>
          <w:p w14:paraId="21701B4C" w14:textId="77777777" w:rsidR="00BA3083" w:rsidRDefault="00000000">
            <w:pPr>
              <w:spacing w:after="20"/>
            </w:pPr>
            <w:proofErr w:type="spellStart"/>
            <w:r>
              <w:rPr>
                <w:b/>
                <w:bCs/>
                <w:sz w:val="19"/>
                <w:szCs w:val="19"/>
              </w:rPr>
              <w:t>Dvara</w:t>
            </w:r>
            <w:proofErr w:type="spellEnd"/>
            <w:r>
              <w:rPr>
                <w:b/>
                <w:bCs/>
                <w:sz w:val="19"/>
                <w:szCs w:val="19"/>
              </w:rPr>
              <w:t xml:space="preserve"> / ACRE</w:t>
            </w:r>
          </w:p>
        </w:tc>
        <w:tc>
          <w:tcPr>
            <w:tcW w:w="7010" w:type="dxa"/>
            <w:tcMar>
              <w:top w:w="60" w:type="dxa"/>
              <w:left w:w="90" w:type="dxa"/>
              <w:bottom w:w="60" w:type="dxa"/>
              <w:right w:w="90" w:type="dxa"/>
            </w:tcMar>
          </w:tcPr>
          <w:p w14:paraId="64D3EFAD" w14:textId="77777777" w:rsidR="00BA3083" w:rsidRDefault="00000000">
            <w:pPr>
              <w:spacing w:after="20"/>
            </w:pPr>
            <w:r>
              <w:rPr>
                <w:sz w:val="19"/>
                <w:szCs w:val="19"/>
              </w:rPr>
              <w:t>Supply commercial terms + acquisition-cost data; state their own view of minimum viable scale and their subsidy-independence timeline.</w:t>
            </w:r>
          </w:p>
        </w:tc>
      </w:tr>
      <w:tr w:rsidR="00BA3083" w14:paraId="6111AFE3" w14:textId="77777777">
        <w:tblPrEx>
          <w:tblCellMar>
            <w:top w:w="0" w:type="dxa"/>
            <w:bottom w:w="0" w:type="dxa"/>
          </w:tblCellMar>
        </w:tblPrEx>
        <w:tc>
          <w:tcPr>
            <w:tcW w:w="2350" w:type="dxa"/>
            <w:shd w:val="clear" w:color="auto" w:fill="F5F8F7"/>
            <w:tcMar>
              <w:top w:w="60" w:type="dxa"/>
              <w:left w:w="90" w:type="dxa"/>
              <w:bottom w:w="60" w:type="dxa"/>
              <w:right w:w="90" w:type="dxa"/>
            </w:tcMar>
          </w:tcPr>
          <w:p w14:paraId="2CB16427" w14:textId="77777777" w:rsidR="00BA3083" w:rsidRDefault="00000000">
            <w:pPr>
              <w:spacing w:after="20"/>
            </w:pPr>
            <w:r>
              <w:rPr>
                <w:b/>
                <w:bCs/>
                <w:sz w:val="19"/>
                <w:szCs w:val="19"/>
              </w:rPr>
              <w:t>S4I AoW4 (Investment)</w:t>
            </w:r>
          </w:p>
        </w:tc>
        <w:tc>
          <w:tcPr>
            <w:tcW w:w="7010" w:type="dxa"/>
            <w:shd w:val="clear" w:color="auto" w:fill="F5F8F7"/>
            <w:tcMar>
              <w:top w:w="60" w:type="dxa"/>
              <w:left w:w="90" w:type="dxa"/>
              <w:bottom w:w="60" w:type="dxa"/>
              <w:right w:w="90" w:type="dxa"/>
            </w:tcMar>
          </w:tcPr>
          <w:p w14:paraId="2C5C03FC" w14:textId="77777777" w:rsidR="00BA3083" w:rsidRDefault="00000000">
            <w:pPr>
              <w:spacing w:after="20"/>
            </w:pPr>
            <w:r>
              <w:rPr>
                <w:sz w:val="19"/>
                <w:szCs w:val="19"/>
              </w:rPr>
              <w:t xml:space="preserve">Engage now on the crowd-in pipeline; the track's additionality depends on finance that AoW4 is positioned to help </w:t>
            </w:r>
            <w:proofErr w:type="spellStart"/>
            <w:r>
              <w:rPr>
                <w:sz w:val="19"/>
                <w:szCs w:val="19"/>
              </w:rPr>
              <w:t>mobilise</w:t>
            </w:r>
            <w:proofErr w:type="spellEnd"/>
            <w:r>
              <w:rPr>
                <w:sz w:val="19"/>
                <w:szCs w:val="19"/>
              </w:rPr>
              <w:t>.</w:t>
            </w:r>
          </w:p>
        </w:tc>
      </w:tr>
      <w:tr w:rsidR="00BA3083" w14:paraId="1C294D72" w14:textId="77777777">
        <w:tblPrEx>
          <w:tblCellMar>
            <w:top w:w="0" w:type="dxa"/>
            <w:bottom w:w="0" w:type="dxa"/>
          </w:tblCellMar>
        </w:tblPrEx>
        <w:tc>
          <w:tcPr>
            <w:tcW w:w="2350" w:type="dxa"/>
            <w:tcMar>
              <w:top w:w="60" w:type="dxa"/>
              <w:left w:w="90" w:type="dxa"/>
              <w:bottom w:w="60" w:type="dxa"/>
              <w:right w:w="90" w:type="dxa"/>
            </w:tcMar>
          </w:tcPr>
          <w:p w14:paraId="7E959365" w14:textId="77777777" w:rsidR="00BA3083" w:rsidRDefault="00000000">
            <w:pPr>
              <w:spacing w:after="20"/>
            </w:pPr>
            <w:r>
              <w:rPr>
                <w:b/>
                <w:bCs/>
                <w:sz w:val="19"/>
                <w:szCs w:val="19"/>
              </w:rPr>
              <w:t>S4I AoW5 (Learning)</w:t>
            </w:r>
          </w:p>
        </w:tc>
        <w:tc>
          <w:tcPr>
            <w:tcW w:w="7010" w:type="dxa"/>
            <w:tcMar>
              <w:top w:w="60" w:type="dxa"/>
              <w:left w:w="90" w:type="dxa"/>
              <w:bottom w:w="60" w:type="dxa"/>
              <w:right w:w="90" w:type="dxa"/>
            </w:tcMar>
          </w:tcPr>
          <w:p w14:paraId="4B44742A" w14:textId="77777777" w:rsidR="00BA3083" w:rsidRDefault="00000000">
            <w:pPr>
              <w:spacing w:after="20"/>
            </w:pPr>
            <w:r>
              <w:rPr>
                <w:sz w:val="19"/>
                <w:szCs w:val="19"/>
              </w:rPr>
              <w:t xml:space="preserve">Co-design the agent-network and </w:t>
            </w:r>
            <w:proofErr w:type="spellStart"/>
            <w:r>
              <w:rPr>
                <w:sz w:val="19"/>
                <w:szCs w:val="19"/>
              </w:rPr>
              <w:t>disadoption</w:t>
            </w:r>
            <w:proofErr w:type="spellEnd"/>
            <w:r>
              <w:rPr>
                <w:sz w:val="19"/>
                <w:szCs w:val="19"/>
              </w:rPr>
              <w:t xml:space="preserve"> studies; treat this track as the portfolio's agent-network learning case.</w:t>
            </w:r>
          </w:p>
        </w:tc>
      </w:tr>
      <w:tr w:rsidR="00BA3083" w14:paraId="4EFC5CEC" w14:textId="77777777">
        <w:tblPrEx>
          <w:tblCellMar>
            <w:top w:w="0" w:type="dxa"/>
            <w:bottom w:w="0" w:type="dxa"/>
          </w:tblCellMar>
        </w:tblPrEx>
        <w:tc>
          <w:tcPr>
            <w:tcW w:w="2350" w:type="dxa"/>
            <w:shd w:val="clear" w:color="auto" w:fill="F5F8F7"/>
            <w:tcMar>
              <w:top w:w="60" w:type="dxa"/>
              <w:left w:w="90" w:type="dxa"/>
              <w:bottom w:w="60" w:type="dxa"/>
              <w:right w:w="90" w:type="dxa"/>
            </w:tcMar>
          </w:tcPr>
          <w:p w14:paraId="778CCE40" w14:textId="77777777" w:rsidR="00BA3083" w:rsidRDefault="00000000">
            <w:pPr>
              <w:spacing w:after="20"/>
            </w:pPr>
            <w:r>
              <w:rPr>
                <w:b/>
                <w:bCs/>
                <w:sz w:val="19"/>
                <w:szCs w:val="19"/>
              </w:rPr>
              <w:t>Gender Accelerator</w:t>
            </w:r>
          </w:p>
        </w:tc>
        <w:tc>
          <w:tcPr>
            <w:tcW w:w="7010" w:type="dxa"/>
            <w:shd w:val="clear" w:color="auto" w:fill="F5F8F7"/>
            <w:tcMar>
              <w:top w:w="60" w:type="dxa"/>
              <w:left w:w="90" w:type="dxa"/>
              <w:bottom w:w="60" w:type="dxa"/>
              <w:right w:w="90" w:type="dxa"/>
            </w:tcMar>
          </w:tcPr>
          <w:p w14:paraId="6FD16429" w14:textId="77777777" w:rsidR="00BA3083" w:rsidRDefault="00000000">
            <w:pPr>
              <w:spacing w:after="20"/>
            </w:pPr>
            <w:r>
              <w:rPr>
                <w:sz w:val="19"/>
                <w:szCs w:val="19"/>
              </w:rPr>
              <w:t xml:space="preserve">Move from equity monitoring to testing which delivery mechanisms </w:t>
            </w:r>
            <w:proofErr w:type="gramStart"/>
            <w:r>
              <w:rPr>
                <w:sz w:val="19"/>
                <w:szCs w:val="19"/>
              </w:rPr>
              <w:t>actually protect</w:t>
            </w:r>
            <w:proofErr w:type="gramEnd"/>
            <w:r>
              <w:rPr>
                <w:sz w:val="19"/>
                <w:szCs w:val="19"/>
              </w:rPr>
              <w:t xml:space="preserve"> inclusion at the agent interface.</w:t>
            </w:r>
          </w:p>
        </w:tc>
      </w:tr>
    </w:tbl>
    <w:p w14:paraId="4285B675" w14:textId="77777777" w:rsidR="00BA3083" w:rsidRDefault="00000000">
      <w:pPr>
        <w:pStyle w:val="Heading2"/>
        <w:spacing w:before="220" w:after="100"/>
      </w:pPr>
      <w:bookmarkStart w:id="27" w:name="_Toc234870977"/>
      <w:r>
        <w:t>5.4 Adaptive management (decision rules, not fixed plans)</w:t>
      </w:r>
      <w:bookmarkEnd w:id="27"/>
    </w:p>
    <w:p w14:paraId="1EB56F7D" w14:textId="77777777" w:rsidR="00BA3083" w:rsidRDefault="00000000">
      <w:pPr>
        <w:pStyle w:val="ListParagraph"/>
        <w:numPr>
          <w:ilvl w:val="0"/>
          <w:numId w:val="2"/>
        </w:numPr>
        <w:spacing w:after="60" w:line="258" w:lineRule="auto"/>
      </w:pPr>
      <w:r>
        <w:t>If claims-to-payout consistently exceeds one planting cycle → escalate to a redesign of the payout trigger before expanding reach.</w:t>
      </w:r>
    </w:p>
    <w:p w14:paraId="3182BEBD" w14:textId="77777777" w:rsidR="00BA3083" w:rsidRDefault="00000000">
      <w:pPr>
        <w:pStyle w:val="ListParagraph"/>
        <w:numPr>
          <w:ilvl w:val="0"/>
          <w:numId w:val="2"/>
        </w:numPr>
        <w:spacing w:after="60" w:line="258" w:lineRule="auto"/>
      </w:pPr>
      <w:r>
        <w:lastRenderedPageBreak/>
        <w:t xml:space="preserve">If subsidy-funded uptake does not persist into the first </w:t>
      </w:r>
      <w:proofErr w:type="spellStart"/>
      <w:r>
        <w:t>unsubsidised</w:t>
      </w:r>
      <w:proofErr w:type="spellEnd"/>
      <w:r>
        <w:t xml:space="preserve"> season → pause reach expansion, diagnose willingness-to-pay before scaling further.</w:t>
      </w:r>
    </w:p>
    <w:p w14:paraId="7FDC3891" w14:textId="77777777" w:rsidR="00BA3083" w:rsidRDefault="00000000">
      <w:pPr>
        <w:pStyle w:val="ListParagraph"/>
        <w:numPr>
          <w:ilvl w:val="0"/>
          <w:numId w:val="2"/>
        </w:numPr>
        <w:spacing w:after="60" w:line="258" w:lineRule="auto"/>
      </w:pPr>
      <w:r>
        <w:t>If agent data show cream-skimming → adjust agent incentives before growing the agent network.</w:t>
      </w:r>
    </w:p>
    <w:p w14:paraId="3E72FFB2" w14:textId="77777777" w:rsidR="00BA3083" w:rsidRDefault="00000000">
      <w:pPr>
        <w:pStyle w:val="ListParagraph"/>
        <w:numPr>
          <w:ilvl w:val="0"/>
          <w:numId w:val="2"/>
        </w:numPr>
        <w:spacing w:after="60" w:line="258" w:lineRule="auto"/>
      </w:pPr>
      <w:r>
        <w:t>If no committed subsidy financier emerges by Q4 2026 → re-scope ambition to the commercially self-sustaining denominator rather than 100,000.</w:t>
      </w:r>
    </w:p>
    <w:p w14:paraId="5CC83497" w14:textId="77777777" w:rsidR="00BA3083" w:rsidRDefault="00000000">
      <w:pPr>
        <w:pStyle w:val="Heading2"/>
        <w:spacing w:before="220" w:after="100"/>
      </w:pPr>
      <w:bookmarkStart w:id="28" w:name="_Toc234870978"/>
      <w:r>
        <w:t>5.5 Institutionalization assessment</w:t>
      </w:r>
      <w:bookmarkEnd w:id="28"/>
    </w:p>
    <w:p w14:paraId="07967866" w14:textId="77777777" w:rsidR="00BA3083" w:rsidRDefault="00000000">
      <w:pPr>
        <w:spacing w:after="110" w:line="264" w:lineRule="auto"/>
        <w:ind w:left="120"/>
      </w:pPr>
      <w:proofErr w:type="gramStart"/>
      <w:r>
        <w:rPr>
          <w:b/>
          <w:bCs/>
          <w:color w:val="6A1B9A"/>
          <w:sz w:val="17"/>
          <w:szCs w:val="17"/>
        </w:rPr>
        <w:t xml:space="preserve">JUDGEMENT  </w:t>
      </w:r>
      <w:r>
        <w:t>Institutionalization</w:t>
      </w:r>
      <w:proofErr w:type="gramEnd"/>
      <w:r>
        <w:t xml:space="preserve"> is </w:t>
      </w:r>
      <w:r>
        <w:rPr>
          <w:b/>
          <w:bCs/>
        </w:rPr>
        <w:t>commercial rather than public</w:t>
      </w:r>
      <w:r>
        <w:t xml:space="preserve">. The durable home of the innovation is the two enterprises' balance sheets, not a government scheme. That is legitimate and arguably more sustainable than a public pathway — </w:t>
      </w:r>
      <w:r>
        <w:rPr>
          <w:i/>
          <w:iCs/>
        </w:rPr>
        <w:t>provided</w:t>
      </w:r>
      <w:r>
        <w:t xml:space="preserve"> the inclusive mandate survives </w:t>
      </w:r>
      <w:proofErr w:type="spellStart"/>
      <w:r>
        <w:t>commercialisation</w:t>
      </w:r>
      <w:proofErr w:type="spellEnd"/>
      <w:r>
        <w:t>. The risk is a two-tier outcome: the product persists for creditworthy farmers while the women/youth/</w:t>
      </w:r>
      <w:proofErr w:type="spellStart"/>
      <w:r>
        <w:t>marginalised</w:t>
      </w:r>
      <w:proofErr w:type="spellEnd"/>
      <w:r>
        <w:t xml:space="preserve"> segment, which depends on subsidy and de-risking, is quietly dropped once S4I exits. Policy engagement was deliberately deferred; this caps the ceiling of the private-only pathway and should be revisited as a 2027 option, not closed.</w:t>
      </w:r>
    </w:p>
    <w:p w14:paraId="329597FA" w14:textId="77777777" w:rsidR="00BA3083" w:rsidRDefault="00000000">
      <w:pPr>
        <w:pStyle w:val="Heading2"/>
        <w:spacing w:before="220" w:after="100"/>
      </w:pPr>
      <w:bookmarkStart w:id="29" w:name="_Toc234870979"/>
      <w:r>
        <w:t>5.6 Learning experiments</w:t>
      </w:r>
      <w:bookmarkEnd w:id="29"/>
    </w:p>
    <w:p w14:paraId="2FF43121" w14:textId="77777777" w:rsidR="00BA3083" w:rsidRDefault="00000000">
      <w:pPr>
        <w:spacing w:after="120" w:line="264" w:lineRule="auto"/>
      </w:pPr>
      <w:r>
        <w:t>For each major uncertainty, the smallest experiment that would resolve it and the decision it would change:</w:t>
      </w:r>
    </w:p>
    <w:tbl>
      <w:tblPr>
        <w:tblW w:w="9360" w:type="dxa"/>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left w:w="10" w:type="dxa"/>
          <w:right w:w="10" w:type="dxa"/>
        </w:tblCellMar>
        <w:tblLook w:val="04A0" w:firstRow="1" w:lastRow="0" w:firstColumn="1" w:lastColumn="0" w:noHBand="0" w:noVBand="1"/>
      </w:tblPr>
      <w:tblGrid>
        <w:gridCol w:w="2450"/>
        <w:gridCol w:w="3050"/>
        <w:gridCol w:w="2050"/>
        <w:gridCol w:w="1810"/>
      </w:tblGrid>
      <w:tr w:rsidR="00BA3083" w14:paraId="4D7F90A2" w14:textId="77777777">
        <w:tblPrEx>
          <w:tblCellMar>
            <w:top w:w="0" w:type="dxa"/>
            <w:bottom w:w="0" w:type="dxa"/>
          </w:tblCellMar>
        </w:tblPrEx>
        <w:trPr>
          <w:tblHeader/>
        </w:trPr>
        <w:tc>
          <w:tcPr>
            <w:tcW w:w="2450" w:type="dxa"/>
            <w:shd w:val="clear" w:color="auto" w:fill="1B5E4F"/>
            <w:tcMar>
              <w:top w:w="60" w:type="dxa"/>
              <w:left w:w="90" w:type="dxa"/>
              <w:bottom w:w="60" w:type="dxa"/>
              <w:right w:w="90" w:type="dxa"/>
            </w:tcMar>
          </w:tcPr>
          <w:p w14:paraId="460D9AA0" w14:textId="77777777" w:rsidR="00BA3083" w:rsidRDefault="00000000">
            <w:pPr>
              <w:spacing w:after="20"/>
            </w:pPr>
            <w:r>
              <w:rPr>
                <w:b/>
                <w:bCs/>
                <w:color w:val="FFFFFF"/>
                <w:sz w:val="19"/>
                <w:szCs w:val="19"/>
              </w:rPr>
              <w:t>Uncertainty</w:t>
            </w:r>
          </w:p>
        </w:tc>
        <w:tc>
          <w:tcPr>
            <w:tcW w:w="3050" w:type="dxa"/>
            <w:shd w:val="clear" w:color="auto" w:fill="1B5E4F"/>
            <w:tcMar>
              <w:top w:w="60" w:type="dxa"/>
              <w:left w:w="90" w:type="dxa"/>
              <w:bottom w:w="60" w:type="dxa"/>
              <w:right w:w="90" w:type="dxa"/>
            </w:tcMar>
          </w:tcPr>
          <w:p w14:paraId="12F1CB96" w14:textId="77777777" w:rsidR="00BA3083" w:rsidRDefault="00000000">
            <w:pPr>
              <w:spacing w:after="20"/>
            </w:pPr>
            <w:r>
              <w:rPr>
                <w:b/>
                <w:bCs/>
                <w:color w:val="FFFFFF"/>
                <w:sz w:val="19"/>
                <w:szCs w:val="19"/>
              </w:rPr>
              <w:t>Smallest experiment</w:t>
            </w:r>
          </w:p>
        </w:tc>
        <w:tc>
          <w:tcPr>
            <w:tcW w:w="2050" w:type="dxa"/>
            <w:shd w:val="clear" w:color="auto" w:fill="1B5E4F"/>
            <w:tcMar>
              <w:top w:w="60" w:type="dxa"/>
              <w:left w:w="90" w:type="dxa"/>
              <w:bottom w:w="60" w:type="dxa"/>
              <w:right w:w="90" w:type="dxa"/>
            </w:tcMar>
          </w:tcPr>
          <w:p w14:paraId="611BFCB4" w14:textId="77777777" w:rsidR="00BA3083" w:rsidRDefault="00000000">
            <w:pPr>
              <w:spacing w:after="20"/>
            </w:pPr>
            <w:r>
              <w:rPr>
                <w:b/>
                <w:bCs/>
                <w:color w:val="FFFFFF"/>
                <w:sz w:val="19"/>
                <w:szCs w:val="19"/>
              </w:rPr>
              <w:t>Evidence produced</w:t>
            </w:r>
          </w:p>
        </w:tc>
        <w:tc>
          <w:tcPr>
            <w:tcW w:w="1810" w:type="dxa"/>
            <w:shd w:val="clear" w:color="auto" w:fill="1B5E4F"/>
            <w:tcMar>
              <w:top w:w="60" w:type="dxa"/>
              <w:left w:w="90" w:type="dxa"/>
              <w:bottom w:w="60" w:type="dxa"/>
              <w:right w:w="90" w:type="dxa"/>
            </w:tcMar>
          </w:tcPr>
          <w:p w14:paraId="09BA5C9C" w14:textId="77777777" w:rsidR="00BA3083" w:rsidRDefault="00000000">
            <w:pPr>
              <w:spacing w:after="20"/>
            </w:pPr>
            <w:r>
              <w:rPr>
                <w:b/>
                <w:bCs/>
                <w:color w:val="FFFFFF"/>
                <w:sz w:val="19"/>
                <w:szCs w:val="19"/>
              </w:rPr>
              <w:t>Decision changed</w:t>
            </w:r>
          </w:p>
        </w:tc>
      </w:tr>
      <w:tr w:rsidR="00BA3083" w14:paraId="3636FF9A" w14:textId="77777777">
        <w:tblPrEx>
          <w:tblCellMar>
            <w:top w:w="0" w:type="dxa"/>
            <w:bottom w:w="0" w:type="dxa"/>
          </w:tblCellMar>
        </w:tblPrEx>
        <w:tc>
          <w:tcPr>
            <w:tcW w:w="2450" w:type="dxa"/>
            <w:tcMar>
              <w:top w:w="60" w:type="dxa"/>
              <w:left w:w="90" w:type="dxa"/>
              <w:bottom w:w="60" w:type="dxa"/>
              <w:right w:w="90" w:type="dxa"/>
            </w:tcMar>
          </w:tcPr>
          <w:p w14:paraId="31DC6707" w14:textId="77777777" w:rsidR="00BA3083" w:rsidRDefault="00000000">
            <w:pPr>
              <w:spacing w:after="20"/>
            </w:pPr>
            <w:r>
              <w:rPr>
                <w:sz w:val="19"/>
                <w:szCs w:val="19"/>
              </w:rPr>
              <w:t>Insurance pool viability</w:t>
            </w:r>
          </w:p>
        </w:tc>
        <w:tc>
          <w:tcPr>
            <w:tcW w:w="3050" w:type="dxa"/>
            <w:tcMar>
              <w:top w:w="60" w:type="dxa"/>
              <w:left w:w="90" w:type="dxa"/>
              <w:bottom w:w="60" w:type="dxa"/>
              <w:right w:w="90" w:type="dxa"/>
            </w:tcMar>
          </w:tcPr>
          <w:p w14:paraId="6F6938A7" w14:textId="77777777" w:rsidR="00BA3083" w:rsidRDefault="00000000">
            <w:pPr>
              <w:spacing w:after="20"/>
            </w:pPr>
            <w:r>
              <w:rPr>
                <w:sz w:val="19"/>
                <w:szCs w:val="19"/>
              </w:rPr>
              <w:t>Desk actuarial analysis with insurers/Zep-Re on min. diversification scale</w:t>
            </w:r>
          </w:p>
        </w:tc>
        <w:tc>
          <w:tcPr>
            <w:tcW w:w="2050" w:type="dxa"/>
            <w:tcMar>
              <w:top w:w="60" w:type="dxa"/>
              <w:left w:w="90" w:type="dxa"/>
              <w:bottom w:w="60" w:type="dxa"/>
              <w:right w:w="90" w:type="dxa"/>
            </w:tcMar>
          </w:tcPr>
          <w:p w14:paraId="32AF58F4" w14:textId="77777777" w:rsidR="00BA3083" w:rsidRDefault="00000000">
            <w:pPr>
              <w:spacing w:after="20"/>
            </w:pPr>
            <w:r>
              <w:rPr>
                <w:sz w:val="19"/>
                <w:szCs w:val="19"/>
              </w:rPr>
              <w:t>Break-even farmer number</w:t>
            </w:r>
          </w:p>
        </w:tc>
        <w:tc>
          <w:tcPr>
            <w:tcW w:w="1810" w:type="dxa"/>
            <w:tcMar>
              <w:top w:w="60" w:type="dxa"/>
              <w:left w:w="90" w:type="dxa"/>
              <w:bottom w:w="60" w:type="dxa"/>
              <w:right w:w="90" w:type="dxa"/>
            </w:tcMar>
          </w:tcPr>
          <w:p w14:paraId="0BF44CE7" w14:textId="77777777" w:rsidR="00BA3083" w:rsidRDefault="00000000">
            <w:pPr>
              <w:spacing w:after="20"/>
            </w:pPr>
            <w:r>
              <w:rPr>
                <w:sz w:val="19"/>
                <w:szCs w:val="19"/>
              </w:rPr>
              <w:t>Whether 100k is even the right target</w:t>
            </w:r>
          </w:p>
        </w:tc>
      </w:tr>
      <w:tr w:rsidR="00BA3083" w14:paraId="1D4369C7" w14:textId="77777777">
        <w:tblPrEx>
          <w:tblCellMar>
            <w:top w:w="0" w:type="dxa"/>
            <w:bottom w:w="0" w:type="dxa"/>
          </w:tblCellMar>
        </w:tblPrEx>
        <w:tc>
          <w:tcPr>
            <w:tcW w:w="2450" w:type="dxa"/>
            <w:shd w:val="clear" w:color="auto" w:fill="F5F8F7"/>
            <w:tcMar>
              <w:top w:w="60" w:type="dxa"/>
              <w:left w:w="90" w:type="dxa"/>
              <w:bottom w:w="60" w:type="dxa"/>
              <w:right w:w="90" w:type="dxa"/>
            </w:tcMar>
          </w:tcPr>
          <w:p w14:paraId="76F88DEF" w14:textId="77777777" w:rsidR="00BA3083" w:rsidRDefault="00000000">
            <w:pPr>
              <w:spacing w:after="20"/>
            </w:pPr>
            <w:r>
              <w:rPr>
                <w:sz w:val="19"/>
                <w:szCs w:val="19"/>
              </w:rPr>
              <w:t>Subsidy exit</w:t>
            </w:r>
          </w:p>
        </w:tc>
        <w:tc>
          <w:tcPr>
            <w:tcW w:w="3050" w:type="dxa"/>
            <w:shd w:val="clear" w:color="auto" w:fill="F5F8F7"/>
            <w:tcMar>
              <w:top w:w="60" w:type="dxa"/>
              <w:left w:w="90" w:type="dxa"/>
              <w:bottom w:w="60" w:type="dxa"/>
              <w:right w:w="90" w:type="dxa"/>
            </w:tcMar>
          </w:tcPr>
          <w:p w14:paraId="386A059B" w14:textId="77777777" w:rsidR="00BA3083" w:rsidRDefault="00000000">
            <w:pPr>
              <w:spacing w:after="20"/>
            </w:pPr>
            <w:r>
              <w:rPr>
                <w:sz w:val="19"/>
                <w:szCs w:val="19"/>
              </w:rPr>
              <w:t xml:space="preserve">Track persistency of a </w:t>
            </w:r>
            <w:proofErr w:type="spellStart"/>
            <w:r>
              <w:rPr>
                <w:sz w:val="19"/>
                <w:szCs w:val="19"/>
              </w:rPr>
              <w:t>subsidised</w:t>
            </w:r>
            <w:proofErr w:type="spellEnd"/>
            <w:r>
              <w:rPr>
                <w:sz w:val="19"/>
                <w:szCs w:val="19"/>
              </w:rPr>
              <w:t xml:space="preserve"> cohort into first </w:t>
            </w:r>
            <w:proofErr w:type="spellStart"/>
            <w:r>
              <w:rPr>
                <w:sz w:val="19"/>
                <w:szCs w:val="19"/>
              </w:rPr>
              <w:t>unsubsidised</w:t>
            </w:r>
            <w:proofErr w:type="spellEnd"/>
            <w:r>
              <w:rPr>
                <w:sz w:val="19"/>
                <w:szCs w:val="19"/>
              </w:rPr>
              <w:t xml:space="preserve"> season</w:t>
            </w:r>
          </w:p>
        </w:tc>
        <w:tc>
          <w:tcPr>
            <w:tcW w:w="2050" w:type="dxa"/>
            <w:shd w:val="clear" w:color="auto" w:fill="F5F8F7"/>
            <w:tcMar>
              <w:top w:w="60" w:type="dxa"/>
              <w:left w:w="90" w:type="dxa"/>
              <w:bottom w:w="60" w:type="dxa"/>
              <w:right w:w="90" w:type="dxa"/>
            </w:tcMar>
          </w:tcPr>
          <w:p w14:paraId="5665E7D8" w14:textId="77777777" w:rsidR="00BA3083" w:rsidRDefault="00000000">
            <w:pPr>
              <w:spacing w:after="20"/>
            </w:pPr>
            <w:r>
              <w:rPr>
                <w:sz w:val="19"/>
                <w:szCs w:val="19"/>
              </w:rPr>
              <w:t>Renewal rate post-subsidy</w:t>
            </w:r>
          </w:p>
        </w:tc>
        <w:tc>
          <w:tcPr>
            <w:tcW w:w="1810" w:type="dxa"/>
            <w:shd w:val="clear" w:color="auto" w:fill="F5F8F7"/>
            <w:tcMar>
              <w:top w:w="60" w:type="dxa"/>
              <w:left w:w="90" w:type="dxa"/>
              <w:bottom w:w="60" w:type="dxa"/>
              <w:right w:w="90" w:type="dxa"/>
            </w:tcMar>
          </w:tcPr>
          <w:p w14:paraId="1E7C2FD3" w14:textId="77777777" w:rsidR="00BA3083" w:rsidRDefault="00000000">
            <w:pPr>
              <w:spacing w:after="20"/>
            </w:pPr>
            <w:r>
              <w:rPr>
                <w:sz w:val="19"/>
                <w:szCs w:val="19"/>
              </w:rPr>
              <w:t>Whether phase-out is feasible</w:t>
            </w:r>
          </w:p>
        </w:tc>
      </w:tr>
      <w:tr w:rsidR="00BA3083" w14:paraId="193704C2" w14:textId="77777777">
        <w:tblPrEx>
          <w:tblCellMar>
            <w:top w:w="0" w:type="dxa"/>
            <w:bottom w:w="0" w:type="dxa"/>
          </w:tblCellMar>
        </w:tblPrEx>
        <w:tc>
          <w:tcPr>
            <w:tcW w:w="2450" w:type="dxa"/>
            <w:tcMar>
              <w:top w:w="60" w:type="dxa"/>
              <w:left w:w="90" w:type="dxa"/>
              <w:bottom w:w="60" w:type="dxa"/>
              <w:right w:w="90" w:type="dxa"/>
            </w:tcMar>
          </w:tcPr>
          <w:p w14:paraId="3E3DACA4" w14:textId="77777777" w:rsidR="00BA3083" w:rsidRDefault="00000000">
            <w:pPr>
              <w:spacing w:after="20"/>
            </w:pPr>
            <w:r>
              <w:rPr>
                <w:sz w:val="19"/>
                <w:szCs w:val="19"/>
              </w:rPr>
              <w:t>Claims speed</w:t>
            </w:r>
          </w:p>
        </w:tc>
        <w:tc>
          <w:tcPr>
            <w:tcW w:w="3050" w:type="dxa"/>
            <w:tcMar>
              <w:top w:w="60" w:type="dxa"/>
              <w:left w:w="90" w:type="dxa"/>
              <w:bottom w:w="60" w:type="dxa"/>
              <w:right w:w="90" w:type="dxa"/>
            </w:tcMar>
          </w:tcPr>
          <w:p w14:paraId="5F14F601" w14:textId="77777777" w:rsidR="00BA3083" w:rsidRDefault="00000000">
            <w:pPr>
              <w:spacing w:after="20"/>
            </w:pPr>
            <w:r>
              <w:rPr>
                <w:sz w:val="19"/>
                <w:szCs w:val="19"/>
              </w:rPr>
              <w:t>Timestamp days-to-payout for 2026 claims</w:t>
            </w:r>
          </w:p>
        </w:tc>
        <w:tc>
          <w:tcPr>
            <w:tcW w:w="2050" w:type="dxa"/>
            <w:tcMar>
              <w:top w:w="60" w:type="dxa"/>
              <w:left w:w="90" w:type="dxa"/>
              <w:bottom w:w="60" w:type="dxa"/>
              <w:right w:w="90" w:type="dxa"/>
            </w:tcMar>
          </w:tcPr>
          <w:p w14:paraId="422E69D1" w14:textId="77777777" w:rsidR="00BA3083" w:rsidRDefault="00000000">
            <w:pPr>
              <w:spacing w:after="20"/>
            </w:pPr>
            <w:r>
              <w:rPr>
                <w:sz w:val="19"/>
                <w:szCs w:val="19"/>
              </w:rPr>
              <w:t>Payout latency distribution</w:t>
            </w:r>
          </w:p>
        </w:tc>
        <w:tc>
          <w:tcPr>
            <w:tcW w:w="1810" w:type="dxa"/>
            <w:tcMar>
              <w:top w:w="60" w:type="dxa"/>
              <w:left w:w="90" w:type="dxa"/>
              <w:bottom w:w="60" w:type="dxa"/>
              <w:right w:w="90" w:type="dxa"/>
            </w:tcMar>
          </w:tcPr>
          <w:p w14:paraId="099E4E85" w14:textId="77777777" w:rsidR="00BA3083" w:rsidRDefault="00000000">
            <w:pPr>
              <w:spacing w:after="20"/>
            </w:pPr>
            <w:r>
              <w:rPr>
                <w:sz w:val="19"/>
                <w:szCs w:val="19"/>
              </w:rPr>
              <w:t>Whether payout trigger needs redesign</w:t>
            </w:r>
          </w:p>
        </w:tc>
      </w:tr>
      <w:tr w:rsidR="00BA3083" w14:paraId="774DA6C0" w14:textId="77777777">
        <w:tblPrEx>
          <w:tblCellMar>
            <w:top w:w="0" w:type="dxa"/>
            <w:bottom w:w="0" w:type="dxa"/>
          </w:tblCellMar>
        </w:tblPrEx>
        <w:tc>
          <w:tcPr>
            <w:tcW w:w="2450" w:type="dxa"/>
            <w:shd w:val="clear" w:color="auto" w:fill="F5F8F7"/>
            <w:tcMar>
              <w:top w:w="60" w:type="dxa"/>
              <w:left w:w="90" w:type="dxa"/>
              <w:bottom w:w="60" w:type="dxa"/>
              <w:right w:w="90" w:type="dxa"/>
            </w:tcMar>
          </w:tcPr>
          <w:p w14:paraId="6EBE420B" w14:textId="77777777" w:rsidR="00BA3083" w:rsidRDefault="00000000">
            <w:pPr>
              <w:spacing w:after="20"/>
            </w:pPr>
            <w:r>
              <w:rPr>
                <w:sz w:val="19"/>
                <w:szCs w:val="19"/>
              </w:rPr>
              <w:t>Agent inclusion</w:t>
            </w:r>
          </w:p>
        </w:tc>
        <w:tc>
          <w:tcPr>
            <w:tcW w:w="3050" w:type="dxa"/>
            <w:shd w:val="clear" w:color="auto" w:fill="F5F8F7"/>
            <w:tcMar>
              <w:top w:w="60" w:type="dxa"/>
              <w:left w:w="90" w:type="dxa"/>
              <w:bottom w:w="60" w:type="dxa"/>
              <w:right w:w="90" w:type="dxa"/>
            </w:tcMar>
          </w:tcPr>
          <w:p w14:paraId="13F88959" w14:textId="77777777" w:rsidR="00BA3083" w:rsidRDefault="00000000">
            <w:pPr>
              <w:spacing w:after="20"/>
            </w:pPr>
            <w:r>
              <w:rPr>
                <w:sz w:val="19"/>
                <w:szCs w:val="19"/>
              </w:rPr>
              <w:t>A/B test agent incentive framing on who gets onboarded</w:t>
            </w:r>
          </w:p>
        </w:tc>
        <w:tc>
          <w:tcPr>
            <w:tcW w:w="2050" w:type="dxa"/>
            <w:shd w:val="clear" w:color="auto" w:fill="F5F8F7"/>
            <w:tcMar>
              <w:top w:w="60" w:type="dxa"/>
              <w:left w:w="90" w:type="dxa"/>
              <w:bottom w:w="60" w:type="dxa"/>
              <w:right w:w="90" w:type="dxa"/>
            </w:tcMar>
          </w:tcPr>
          <w:p w14:paraId="40B9DDA5" w14:textId="77777777" w:rsidR="00BA3083" w:rsidRDefault="00000000">
            <w:pPr>
              <w:spacing w:after="20"/>
            </w:pPr>
            <w:r>
              <w:rPr>
                <w:sz w:val="19"/>
                <w:szCs w:val="19"/>
              </w:rPr>
              <w:t>Inclusion by farmer type</w:t>
            </w:r>
          </w:p>
        </w:tc>
        <w:tc>
          <w:tcPr>
            <w:tcW w:w="1810" w:type="dxa"/>
            <w:shd w:val="clear" w:color="auto" w:fill="F5F8F7"/>
            <w:tcMar>
              <w:top w:w="60" w:type="dxa"/>
              <w:left w:w="90" w:type="dxa"/>
              <w:bottom w:w="60" w:type="dxa"/>
              <w:right w:w="90" w:type="dxa"/>
            </w:tcMar>
          </w:tcPr>
          <w:p w14:paraId="3578D344" w14:textId="77777777" w:rsidR="00BA3083" w:rsidRDefault="00000000">
            <w:pPr>
              <w:spacing w:after="20"/>
            </w:pPr>
            <w:r>
              <w:rPr>
                <w:sz w:val="19"/>
                <w:szCs w:val="19"/>
              </w:rPr>
              <w:t>Agent incentive structure</w:t>
            </w:r>
          </w:p>
        </w:tc>
      </w:tr>
      <w:tr w:rsidR="00BA3083" w14:paraId="0AE62E0E" w14:textId="77777777">
        <w:tblPrEx>
          <w:tblCellMar>
            <w:top w:w="0" w:type="dxa"/>
            <w:bottom w:w="0" w:type="dxa"/>
          </w:tblCellMar>
        </w:tblPrEx>
        <w:tc>
          <w:tcPr>
            <w:tcW w:w="2450" w:type="dxa"/>
            <w:tcMar>
              <w:top w:w="60" w:type="dxa"/>
              <w:left w:w="90" w:type="dxa"/>
              <w:bottom w:w="60" w:type="dxa"/>
              <w:right w:w="90" w:type="dxa"/>
            </w:tcMar>
          </w:tcPr>
          <w:p w14:paraId="790305CA" w14:textId="77777777" w:rsidR="00BA3083" w:rsidRDefault="00000000">
            <w:pPr>
              <w:spacing w:after="20"/>
            </w:pPr>
            <w:r>
              <w:rPr>
                <w:sz w:val="19"/>
                <w:szCs w:val="19"/>
              </w:rPr>
              <w:t>Climate pricing</w:t>
            </w:r>
          </w:p>
        </w:tc>
        <w:tc>
          <w:tcPr>
            <w:tcW w:w="3050" w:type="dxa"/>
            <w:tcMar>
              <w:top w:w="60" w:type="dxa"/>
              <w:left w:w="90" w:type="dxa"/>
              <w:bottom w:w="60" w:type="dxa"/>
              <w:right w:w="90" w:type="dxa"/>
            </w:tcMar>
          </w:tcPr>
          <w:p w14:paraId="040201C2" w14:textId="77777777" w:rsidR="00BA3083" w:rsidRDefault="00000000">
            <w:pPr>
              <w:spacing w:after="20"/>
            </w:pPr>
            <w:proofErr w:type="spellStart"/>
            <w:r>
              <w:rPr>
                <w:sz w:val="19"/>
                <w:szCs w:val="19"/>
              </w:rPr>
              <w:t>Backtest</w:t>
            </w:r>
            <w:proofErr w:type="spellEnd"/>
            <w:r>
              <w:rPr>
                <w:sz w:val="19"/>
                <w:szCs w:val="19"/>
              </w:rPr>
              <w:t xml:space="preserve"> partner pricing vs. recent extreme events</w:t>
            </w:r>
          </w:p>
        </w:tc>
        <w:tc>
          <w:tcPr>
            <w:tcW w:w="2050" w:type="dxa"/>
            <w:tcMar>
              <w:top w:w="60" w:type="dxa"/>
              <w:left w:w="90" w:type="dxa"/>
              <w:bottom w:w="60" w:type="dxa"/>
              <w:right w:w="90" w:type="dxa"/>
            </w:tcMar>
          </w:tcPr>
          <w:p w14:paraId="5C0A2E31" w14:textId="77777777" w:rsidR="00BA3083" w:rsidRDefault="00000000">
            <w:pPr>
              <w:spacing w:after="20"/>
            </w:pPr>
            <w:r>
              <w:rPr>
                <w:sz w:val="19"/>
                <w:szCs w:val="19"/>
              </w:rPr>
              <w:t>Pricing error under non-stationarity</w:t>
            </w:r>
          </w:p>
        </w:tc>
        <w:tc>
          <w:tcPr>
            <w:tcW w:w="1810" w:type="dxa"/>
            <w:tcMar>
              <w:top w:w="60" w:type="dxa"/>
              <w:left w:w="90" w:type="dxa"/>
              <w:bottom w:w="60" w:type="dxa"/>
              <w:right w:w="90" w:type="dxa"/>
            </w:tcMar>
          </w:tcPr>
          <w:p w14:paraId="0D9AE8EB" w14:textId="77777777" w:rsidR="00BA3083" w:rsidRDefault="00000000">
            <w:pPr>
              <w:spacing w:after="20"/>
            </w:pPr>
            <w:r>
              <w:rPr>
                <w:sz w:val="19"/>
                <w:szCs w:val="19"/>
              </w:rPr>
              <w:t>Whether reinsurance cover is adequate</w:t>
            </w:r>
          </w:p>
        </w:tc>
      </w:tr>
    </w:tbl>
    <w:p w14:paraId="3B8188C8" w14:textId="77777777" w:rsidR="00BA3083" w:rsidRDefault="00000000">
      <w:r>
        <w:br w:type="page"/>
      </w:r>
    </w:p>
    <w:p w14:paraId="7369353F" w14:textId="77777777" w:rsidR="00BA3083" w:rsidRDefault="00000000">
      <w:pPr>
        <w:pStyle w:val="Heading1"/>
        <w:spacing w:before="320" w:after="140"/>
      </w:pPr>
      <w:bookmarkStart w:id="30" w:name="_Toc234870980"/>
      <w:r>
        <w:lastRenderedPageBreak/>
        <w:t>6 · Richard Kohl Coaching Preparation Brief</w:t>
      </w:r>
      <w:bookmarkEnd w:id="30"/>
    </w:p>
    <w:p w14:paraId="262CB4DD" w14:textId="77777777" w:rsidR="00BA3083" w:rsidRDefault="00000000">
      <w:pPr>
        <w:spacing w:after="120" w:line="264" w:lineRule="auto"/>
      </w:pPr>
      <w:r>
        <w:t xml:space="preserve">Note: Kohl already attended the 16 Jan 2026 meeting and put substantive points on the table. This brief anticipates his </w:t>
      </w:r>
      <w:r>
        <w:rPr>
          <w:i/>
          <w:iCs/>
        </w:rPr>
        <w:t>follow-up</w:t>
      </w:r>
      <w:r>
        <w:t xml:space="preserve"> coaching, building on what he already raised (Syngenta precedent, pool viability, subsidy scale, climate pricing, the fine-print risk).</w:t>
      </w:r>
    </w:p>
    <w:p w14:paraId="1C23493F" w14:textId="77777777" w:rsidR="00BA3083" w:rsidRDefault="00000000">
      <w:pPr>
        <w:pStyle w:val="Heading2"/>
        <w:spacing w:before="220" w:after="100"/>
      </w:pPr>
      <w:bookmarkStart w:id="31" w:name="_Toc234870981"/>
      <w:r>
        <w:t>6.1 Executive coaching summary</w:t>
      </w:r>
      <w:bookmarkEnd w:id="31"/>
    </w:p>
    <w:p w14:paraId="10BDA9E4" w14:textId="77777777" w:rsidR="00BA3083" w:rsidRDefault="00000000">
      <w:pPr>
        <w:spacing w:after="110" w:line="264" w:lineRule="auto"/>
        <w:ind w:left="120"/>
      </w:pPr>
      <w:proofErr w:type="gramStart"/>
      <w:r>
        <w:rPr>
          <w:b/>
          <w:bCs/>
          <w:color w:val="6A1B9A"/>
          <w:sz w:val="17"/>
          <w:szCs w:val="17"/>
        </w:rPr>
        <w:t xml:space="preserve">JUDGEMENT  </w:t>
      </w:r>
      <w:r>
        <w:t>Kohl</w:t>
      </w:r>
      <w:proofErr w:type="gramEnd"/>
      <w:r>
        <w:t xml:space="preserve"> will almost certainly reframe the conversation away from </w:t>
      </w:r>
      <w:r>
        <w:rPr>
          <w:i/>
          <w:iCs/>
        </w:rPr>
        <w:t>"is the product good?"</w:t>
      </w:r>
      <w:r>
        <w:t xml:space="preserve"> (he agrees it is) toward </w:t>
      </w:r>
      <w:r>
        <w:rPr>
          <w:i/>
          <w:iCs/>
        </w:rPr>
        <w:t>"what is the viable business model at scale, and who pays to get there?"</w:t>
      </w:r>
      <w:r>
        <w:t xml:space="preserve"> The team should arrive having already done that reframing themselves — not defending the annual </w:t>
      </w:r>
      <w:proofErr w:type="gramStart"/>
      <w:r>
        <w:t>targets, but</w:t>
      </w:r>
      <w:proofErr w:type="gramEnd"/>
      <w:r>
        <w:t xml:space="preserve"> presenting the deep-scaling narrative Krupnik asked for.</w:t>
      </w:r>
    </w:p>
    <w:p w14:paraId="572B458D" w14:textId="77777777" w:rsidR="00BA3083" w:rsidRDefault="00000000">
      <w:pPr>
        <w:pStyle w:val="Heading2"/>
        <w:spacing w:before="220" w:after="100"/>
      </w:pPr>
      <w:bookmarkStart w:id="32" w:name="_Toc234870982"/>
      <w:r>
        <w:t>6.2 Five questions Richard is most likely to ask</w:t>
      </w:r>
      <w:bookmarkEnd w:id="32"/>
    </w:p>
    <w:p w14:paraId="32181521" w14:textId="77777777" w:rsidR="00BA3083" w:rsidRDefault="00000000">
      <w:pPr>
        <w:pStyle w:val="ListParagraph"/>
        <w:numPr>
          <w:ilvl w:val="0"/>
          <w:numId w:val="3"/>
        </w:numPr>
        <w:spacing w:after="60" w:line="258" w:lineRule="auto"/>
      </w:pPr>
      <w:r>
        <w:t>What is the minimum farmer number for the insurance pool to be viable — and have your insurers and Zep-Re told you it in writing? (He cited Syngenta's 0.5–1m.)</w:t>
      </w:r>
    </w:p>
    <w:p w14:paraId="60EF63D6" w14:textId="77777777" w:rsidR="00BA3083" w:rsidRDefault="00000000">
      <w:pPr>
        <w:pStyle w:val="ListParagraph"/>
        <w:numPr>
          <w:ilvl w:val="0"/>
          <w:numId w:val="3"/>
        </w:numPr>
        <w:spacing w:after="60" w:line="258" w:lineRule="auto"/>
      </w:pPr>
      <w:r>
        <w:t>Who pays for customer acquisition and subsidies on the path from 15,000 to 500,000 — and is that money committed or hoped-for?</w:t>
      </w:r>
    </w:p>
    <w:p w14:paraId="5AD5E235" w14:textId="77777777" w:rsidR="00BA3083" w:rsidRDefault="00000000">
      <w:pPr>
        <w:pStyle w:val="ListParagraph"/>
        <w:numPr>
          <w:ilvl w:val="0"/>
          <w:numId w:val="3"/>
        </w:numPr>
        <w:spacing w:after="60" w:line="258" w:lineRule="auto"/>
      </w:pPr>
      <w:r>
        <w:t>How do your partners price risk when the historical time series no longer predicts climate and pest/disease events?</w:t>
      </w:r>
    </w:p>
    <w:p w14:paraId="5A53E072" w14:textId="77777777" w:rsidR="00BA3083" w:rsidRDefault="00000000">
      <w:pPr>
        <w:pStyle w:val="ListParagraph"/>
        <w:numPr>
          <w:ilvl w:val="0"/>
          <w:numId w:val="3"/>
        </w:numPr>
        <w:spacing w:after="60" w:line="258" w:lineRule="auto"/>
      </w:pPr>
      <w:r>
        <w:t xml:space="preserve">How fast do claims </w:t>
      </w:r>
      <w:proofErr w:type="gramStart"/>
      <w:r>
        <w:t>actually pay</w:t>
      </w:r>
      <w:proofErr w:type="gramEnd"/>
      <w:r>
        <w:t xml:space="preserve"> out relative to the next planting and credit cycle — what's your evidence?</w:t>
      </w:r>
    </w:p>
    <w:p w14:paraId="5ED66368" w14:textId="77777777" w:rsidR="00BA3083" w:rsidRDefault="00000000">
      <w:pPr>
        <w:pStyle w:val="ListParagraph"/>
        <w:numPr>
          <w:ilvl w:val="0"/>
          <w:numId w:val="3"/>
        </w:numPr>
        <w:spacing w:after="60" w:line="258" w:lineRule="auto"/>
      </w:pPr>
      <w:r>
        <w:t>What happens to the women/youth/</w:t>
      </w:r>
      <w:proofErr w:type="spellStart"/>
      <w:r>
        <w:t>marginalised</w:t>
      </w:r>
      <w:proofErr w:type="spellEnd"/>
      <w:r>
        <w:t xml:space="preserve"> farmers when the subsidies phase out — do they persist or drop?</w:t>
      </w:r>
    </w:p>
    <w:p w14:paraId="61B07F7F" w14:textId="77777777" w:rsidR="00BA3083" w:rsidRDefault="00000000">
      <w:pPr>
        <w:pStyle w:val="Heading2"/>
        <w:spacing w:before="220" w:after="100"/>
      </w:pPr>
      <w:bookmarkStart w:id="33" w:name="_Toc234870983"/>
      <w:r>
        <w:t>6.3 Five assumptions he is most likely to challenge</w:t>
      </w:r>
      <w:bookmarkEnd w:id="33"/>
    </w:p>
    <w:p w14:paraId="4B18087F" w14:textId="77777777" w:rsidR="00BA3083" w:rsidRDefault="00000000">
      <w:pPr>
        <w:pStyle w:val="ListParagraph"/>
        <w:numPr>
          <w:ilvl w:val="0"/>
          <w:numId w:val="2"/>
        </w:numPr>
        <w:spacing w:after="60" w:line="258" w:lineRule="auto"/>
      </w:pPr>
      <w:r>
        <w:t xml:space="preserve">That credit-bundling </w:t>
      </w:r>
      <w:r>
        <w:rPr>
          <w:i/>
          <w:iCs/>
        </w:rPr>
        <w:t>solves</w:t>
      </w:r>
      <w:r>
        <w:t xml:space="preserve"> the insurance-pool viability problem (it improves demand and adverse selection — it does not by itself create diversification).</w:t>
      </w:r>
    </w:p>
    <w:p w14:paraId="740AD669" w14:textId="77777777" w:rsidR="00BA3083" w:rsidRDefault="00000000">
      <w:pPr>
        <w:pStyle w:val="ListParagraph"/>
        <w:numPr>
          <w:ilvl w:val="0"/>
          <w:numId w:val="2"/>
        </w:numPr>
        <w:spacing w:after="60" w:line="258" w:lineRule="auto"/>
      </w:pPr>
      <w:r>
        <w:t>That "readiness 9" and RCT impact imply scaling readiness (his core technical-vs-scaling distinction).</w:t>
      </w:r>
    </w:p>
    <w:p w14:paraId="5ED07806" w14:textId="77777777" w:rsidR="00BA3083" w:rsidRDefault="00000000">
      <w:pPr>
        <w:pStyle w:val="ListParagraph"/>
        <w:numPr>
          <w:ilvl w:val="0"/>
          <w:numId w:val="2"/>
        </w:numPr>
        <w:spacing w:after="60" w:line="258" w:lineRule="auto"/>
      </w:pPr>
      <w:r>
        <w:t xml:space="preserve">That crowd-in finance will </w:t>
      </w:r>
      <w:proofErr w:type="spellStart"/>
      <w:r>
        <w:t>materialise</w:t>
      </w:r>
      <w:proofErr w:type="spellEnd"/>
      <w:r>
        <w:t xml:space="preserve"> because the evidence is compelling (pending applications ≠ committed capital).</w:t>
      </w:r>
    </w:p>
    <w:p w14:paraId="7E995E02" w14:textId="77777777" w:rsidR="00BA3083" w:rsidRDefault="00000000">
      <w:pPr>
        <w:pStyle w:val="ListParagraph"/>
        <w:numPr>
          <w:ilvl w:val="0"/>
          <w:numId w:val="2"/>
        </w:numPr>
        <w:spacing w:after="60" w:line="258" w:lineRule="auto"/>
      </w:pPr>
      <w:r>
        <w:t>That subsidies can be phased out on a fixed schedule regardless of whether persistency data supports it.</w:t>
      </w:r>
    </w:p>
    <w:p w14:paraId="5CB87F24" w14:textId="77777777" w:rsidR="00BA3083" w:rsidRDefault="00000000">
      <w:pPr>
        <w:pStyle w:val="ListParagraph"/>
        <w:numPr>
          <w:ilvl w:val="0"/>
          <w:numId w:val="2"/>
        </w:numPr>
        <w:spacing w:after="60" w:line="258" w:lineRule="auto"/>
      </w:pPr>
      <w:r>
        <w:t>That deferring policy/government engagement has no cost to the ultimate scaling ceiling.</w:t>
      </w:r>
    </w:p>
    <w:p w14:paraId="2CF2710E" w14:textId="77777777" w:rsidR="00BA3083" w:rsidRDefault="00000000">
      <w:pPr>
        <w:pStyle w:val="Heading2"/>
        <w:spacing w:before="220" w:after="100"/>
      </w:pPr>
      <w:bookmarkStart w:id="34" w:name="_Toc234870984"/>
      <w:r>
        <w:t>6.4 Three areas where the team is likely overestimating readiness</w:t>
      </w:r>
      <w:bookmarkEnd w:id="34"/>
    </w:p>
    <w:p w14:paraId="6BE7EBEB" w14:textId="77777777" w:rsidR="00BA3083" w:rsidRDefault="00000000">
      <w:pPr>
        <w:pStyle w:val="ListParagraph"/>
        <w:numPr>
          <w:ilvl w:val="0"/>
          <w:numId w:val="2"/>
        </w:numPr>
        <w:spacing w:after="60" w:line="258" w:lineRule="auto"/>
      </w:pPr>
      <w:r>
        <w:rPr>
          <w:b/>
          <w:bCs/>
        </w:rPr>
        <w:t>Financing pathway</w:t>
      </w:r>
      <w:r>
        <w:t xml:space="preserve"> — treated as a communications/evidence problem ("make the case to investors") when it is a committed-capital problem.</w:t>
      </w:r>
    </w:p>
    <w:p w14:paraId="3B527B4D" w14:textId="77777777" w:rsidR="00BA3083" w:rsidRDefault="00000000">
      <w:pPr>
        <w:pStyle w:val="ListParagraph"/>
        <w:numPr>
          <w:ilvl w:val="0"/>
          <w:numId w:val="2"/>
        </w:numPr>
        <w:spacing w:after="60" w:line="258" w:lineRule="auto"/>
      </w:pPr>
      <w:r>
        <w:rPr>
          <w:b/>
          <w:bCs/>
        </w:rPr>
        <w:t xml:space="preserve">The 100,000 </w:t>
      </w:r>
      <w:proofErr w:type="gramStart"/>
      <w:r>
        <w:rPr>
          <w:b/>
          <w:bCs/>
        </w:rPr>
        <w:t>target</w:t>
      </w:r>
      <w:proofErr w:type="gramEnd"/>
      <w:r>
        <w:t xml:space="preserve"> — presented as a trajectory when it is an aspiration not reconciled with pool viability or the summed annual math (90,000).</w:t>
      </w:r>
    </w:p>
    <w:p w14:paraId="66510639" w14:textId="77777777" w:rsidR="00BA3083" w:rsidRDefault="00000000">
      <w:pPr>
        <w:pStyle w:val="ListParagraph"/>
        <w:numPr>
          <w:ilvl w:val="0"/>
          <w:numId w:val="2"/>
        </w:numPr>
        <w:spacing w:after="60" w:line="258" w:lineRule="auto"/>
      </w:pPr>
      <w:r>
        <w:rPr>
          <w:b/>
          <w:bCs/>
        </w:rPr>
        <w:t>Inclusion delivery</w:t>
      </w:r>
      <w:r>
        <w:t xml:space="preserve"> — targets are set (50/25/5) but the mechanism (agents) is admitted </w:t>
      </w:r>
      <w:proofErr w:type="gramStart"/>
      <w:r>
        <w:t>to be</w:t>
      </w:r>
      <w:proofErr w:type="gramEnd"/>
      <w:r>
        <w:t xml:space="preserve"> a black box; readiness of the inclusive wrapper is lower than the headline suggests.</w:t>
      </w:r>
    </w:p>
    <w:p w14:paraId="4D689CF6" w14:textId="77777777" w:rsidR="00BA3083" w:rsidRDefault="00000000">
      <w:pPr>
        <w:pStyle w:val="Heading2"/>
        <w:spacing w:before="220" w:after="100"/>
      </w:pPr>
      <w:bookmarkStart w:id="35" w:name="_Toc234870985"/>
      <w:r>
        <w:t>6.5 Three strengths Richard is likely to recognize</w:t>
      </w:r>
      <w:bookmarkEnd w:id="35"/>
    </w:p>
    <w:p w14:paraId="415A648E" w14:textId="77777777" w:rsidR="00BA3083" w:rsidRDefault="00000000">
      <w:pPr>
        <w:pStyle w:val="ListParagraph"/>
        <w:numPr>
          <w:ilvl w:val="0"/>
          <w:numId w:val="2"/>
        </w:numPr>
        <w:spacing w:after="60" w:line="258" w:lineRule="auto"/>
      </w:pPr>
      <w:r>
        <w:rPr>
          <w:b/>
          <w:bCs/>
        </w:rPr>
        <w:t>The bundling insight</w:t>
      </w:r>
      <w:r>
        <w:t xml:space="preserve"> — attaching insurance to credit to defeat adverse selection and demand weakness is genuinely strong systems design.</w:t>
      </w:r>
    </w:p>
    <w:p w14:paraId="43D07799" w14:textId="77777777" w:rsidR="00BA3083" w:rsidRDefault="00000000">
      <w:pPr>
        <w:pStyle w:val="ListParagraph"/>
        <w:numPr>
          <w:ilvl w:val="0"/>
          <w:numId w:val="2"/>
        </w:numPr>
        <w:spacing w:after="60" w:line="258" w:lineRule="auto"/>
      </w:pPr>
      <w:r>
        <w:rPr>
          <w:b/>
          <w:bCs/>
        </w:rPr>
        <w:lastRenderedPageBreak/>
        <w:t>The evidence base</w:t>
      </w:r>
      <w:r>
        <w:t xml:space="preserve"> — multi-site RCTs with real impact and welfare outcomes; unusually rigorous for a scaling track.</w:t>
      </w:r>
    </w:p>
    <w:p w14:paraId="2F890485" w14:textId="77777777" w:rsidR="00BA3083" w:rsidRDefault="00000000">
      <w:pPr>
        <w:pStyle w:val="ListParagraph"/>
        <w:numPr>
          <w:ilvl w:val="0"/>
          <w:numId w:val="2"/>
        </w:numPr>
        <w:spacing w:after="60" w:line="258" w:lineRule="auto"/>
      </w:pPr>
      <w:r>
        <w:rPr>
          <w:b/>
          <w:bCs/>
        </w:rPr>
        <w:t>Embedded MELIA + honest framing</w:t>
      </w:r>
      <w:r>
        <w:t xml:space="preserve"> — the team names its own black boxes (agents, </w:t>
      </w:r>
      <w:proofErr w:type="spellStart"/>
      <w:r>
        <w:t>disadoption</w:t>
      </w:r>
      <w:proofErr w:type="spellEnd"/>
      <w:r>
        <w:t>, trust) rather than hiding them, which Kohl values.</w:t>
      </w:r>
    </w:p>
    <w:p w14:paraId="367F3749" w14:textId="77777777" w:rsidR="00BA3083" w:rsidRDefault="00000000">
      <w:pPr>
        <w:pStyle w:val="Heading2"/>
        <w:spacing w:before="220" w:after="100"/>
      </w:pPr>
      <w:bookmarkStart w:id="36" w:name="_Toc234870986"/>
      <w:r>
        <w:t>6.6 Evidence the team should have available</w:t>
      </w:r>
      <w:bookmarkEnd w:id="36"/>
    </w:p>
    <w:p w14:paraId="4978C49C" w14:textId="77777777" w:rsidR="00BA3083" w:rsidRDefault="00000000">
      <w:pPr>
        <w:pStyle w:val="ListParagraph"/>
        <w:numPr>
          <w:ilvl w:val="0"/>
          <w:numId w:val="2"/>
        </w:numPr>
        <w:spacing w:after="60" w:line="258" w:lineRule="auto"/>
      </w:pPr>
      <w:r>
        <w:t>Insurer/reinsurer statement on minimum viable pool size and current loss ratios</w:t>
      </w:r>
    </w:p>
    <w:p w14:paraId="391B6D63" w14:textId="77777777" w:rsidR="00BA3083" w:rsidRDefault="00000000">
      <w:pPr>
        <w:pStyle w:val="ListParagraph"/>
        <w:numPr>
          <w:ilvl w:val="0"/>
          <w:numId w:val="2"/>
        </w:numPr>
        <w:spacing w:after="60" w:line="258" w:lineRule="auto"/>
      </w:pPr>
      <w:r>
        <w:t>Customer-acquisition cost curve and subsidy cost at 50k / 100k / 500k</w:t>
      </w:r>
    </w:p>
    <w:p w14:paraId="6C404B33" w14:textId="77777777" w:rsidR="00BA3083" w:rsidRDefault="00000000">
      <w:pPr>
        <w:pStyle w:val="ListParagraph"/>
        <w:numPr>
          <w:ilvl w:val="0"/>
          <w:numId w:val="2"/>
        </w:numPr>
        <w:spacing w:after="60" w:line="258" w:lineRule="auto"/>
      </w:pPr>
      <w:r>
        <w:t>Committed vs. pipeline finance table (amounts, probabilities, dates)</w:t>
      </w:r>
    </w:p>
    <w:p w14:paraId="7991D45E" w14:textId="77777777" w:rsidR="00BA3083" w:rsidRDefault="00000000">
      <w:pPr>
        <w:pStyle w:val="ListParagraph"/>
        <w:numPr>
          <w:ilvl w:val="0"/>
          <w:numId w:val="2"/>
        </w:numPr>
        <w:spacing w:after="60" w:line="258" w:lineRule="auto"/>
      </w:pPr>
      <w:r>
        <w:t>Claims-settlement latency data from existing operations</w:t>
      </w:r>
    </w:p>
    <w:p w14:paraId="6A8D091D" w14:textId="77777777" w:rsidR="00BA3083" w:rsidRDefault="00000000">
      <w:pPr>
        <w:pStyle w:val="ListParagraph"/>
        <w:numPr>
          <w:ilvl w:val="0"/>
          <w:numId w:val="2"/>
        </w:numPr>
        <w:spacing w:after="60" w:line="258" w:lineRule="auto"/>
      </w:pPr>
      <w:r>
        <w:t xml:space="preserve">Persistency/renewal rates from </w:t>
      </w:r>
      <w:proofErr w:type="spellStart"/>
      <w:r>
        <w:t>Dvara's</w:t>
      </w:r>
      <w:proofErr w:type="spellEnd"/>
      <w:r>
        <w:t xml:space="preserve"> existing 15k book</w:t>
      </w:r>
    </w:p>
    <w:p w14:paraId="3FA39E30" w14:textId="77777777" w:rsidR="00BA3083" w:rsidRDefault="00000000">
      <w:pPr>
        <w:pStyle w:val="ListParagraph"/>
        <w:numPr>
          <w:ilvl w:val="0"/>
          <w:numId w:val="2"/>
        </w:numPr>
        <w:spacing w:after="60" w:line="258" w:lineRule="auto"/>
      </w:pPr>
      <w:r>
        <w:t>The six RCT papers themselves (currently only cited)</w:t>
      </w:r>
    </w:p>
    <w:p w14:paraId="02F86C8F" w14:textId="77777777" w:rsidR="00BA3083" w:rsidRDefault="00000000">
      <w:pPr>
        <w:pStyle w:val="Heading2"/>
        <w:spacing w:before="220" w:after="100"/>
      </w:pPr>
      <w:bookmarkStart w:id="37" w:name="_Toc234870987"/>
      <w:r>
        <w:t>6.7 Evidence currently missing</w:t>
      </w:r>
      <w:bookmarkEnd w:id="37"/>
    </w:p>
    <w:p w14:paraId="0F696A9E" w14:textId="77777777" w:rsidR="00BA3083" w:rsidRDefault="00000000">
      <w:pPr>
        <w:spacing w:after="110" w:line="264" w:lineRule="auto"/>
        <w:ind w:left="120"/>
      </w:pPr>
      <w:proofErr w:type="gramStart"/>
      <w:r>
        <w:rPr>
          <w:b/>
          <w:bCs/>
          <w:color w:val="8B2635"/>
          <w:sz w:val="17"/>
          <w:szCs w:val="17"/>
        </w:rPr>
        <w:t xml:space="preserve">UNKNOWN  </w:t>
      </w:r>
      <w:r>
        <w:t>All</w:t>
      </w:r>
      <w:proofErr w:type="gramEnd"/>
      <w:r>
        <w:t xml:space="preserve"> of §6.6 except possibly the RCT papers is, on the supplied record, </w:t>
      </w:r>
      <w:r>
        <w:rPr>
          <w:b/>
          <w:bCs/>
        </w:rPr>
        <w:t>not yet in hand</w:t>
      </w:r>
      <w:r>
        <w:t>. The single most damaging gap in a Kohl session would be having no written answer on minimum viable pool size — because it is the question he has already flagged and will ask first.</w:t>
      </w:r>
    </w:p>
    <w:p w14:paraId="5A2BD982" w14:textId="77777777" w:rsidR="00BA3083" w:rsidRDefault="00000000">
      <w:pPr>
        <w:pStyle w:val="Heading2"/>
        <w:spacing w:before="220" w:after="100"/>
      </w:pPr>
      <w:bookmarkStart w:id="38" w:name="_Toc234870988"/>
      <w:r>
        <w:t>6.8 Recommended 90-minute coaching agenda</w:t>
      </w:r>
      <w:bookmarkEnd w:id="38"/>
    </w:p>
    <w:tbl>
      <w:tblPr>
        <w:tblW w:w="9360" w:type="dxa"/>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left w:w="10" w:type="dxa"/>
          <w:right w:w="10" w:type="dxa"/>
        </w:tblCellMar>
        <w:tblLook w:val="04A0" w:firstRow="1" w:lastRow="0" w:firstColumn="1" w:lastColumn="0" w:noHBand="0" w:noVBand="1"/>
      </w:tblPr>
      <w:tblGrid>
        <w:gridCol w:w="1250"/>
        <w:gridCol w:w="4650"/>
        <w:gridCol w:w="3460"/>
      </w:tblGrid>
      <w:tr w:rsidR="00BA3083" w14:paraId="6A6BACB2" w14:textId="77777777">
        <w:tblPrEx>
          <w:tblCellMar>
            <w:top w:w="0" w:type="dxa"/>
            <w:bottom w:w="0" w:type="dxa"/>
          </w:tblCellMar>
        </w:tblPrEx>
        <w:trPr>
          <w:tblHeader/>
        </w:trPr>
        <w:tc>
          <w:tcPr>
            <w:tcW w:w="1250" w:type="dxa"/>
            <w:shd w:val="clear" w:color="auto" w:fill="1B5E4F"/>
            <w:tcMar>
              <w:top w:w="60" w:type="dxa"/>
              <w:left w:w="90" w:type="dxa"/>
              <w:bottom w:w="60" w:type="dxa"/>
              <w:right w:w="90" w:type="dxa"/>
            </w:tcMar>
          </w:tcPr>
          <w:p w14:paraId="5F444437" w14:textId="77777777" w:rsidR="00BA3083" w:rsidRDefault="00000000">
            <w:pPr>
              <w:spacing w:after="20"/>
            </w:pPr>
            <w:r>
              <w:rPr>
                <w:b/>
                <w:bCs/>
                <w:color w:val="FFFFFF"/>
                <w:sz w:val="19"/>
                <w:szCs w:val="19"/>
              </w:rPr>
              <w:t>Time</w:t>
            </w:r>
          </w:p>
        </w:tc>
        <w:tc>
          <w:tcPr>
            <w:tcW w:w="4650" w:type="dxa"/>
            <w:shd w:val="clear" w:color="auto" w:fill="1B5E4F"/>
            <w:tcMar>
              <w:top w:w="60" w:type="dxa"/>
              <w:left w:w="90" w:type="dxa"/>
              <w:bottom w:w="60" w:type="dxa"/>
              <w:right w:w="90" w:type="dxa"/>
            </w:tcMar>
          </w:tcPr>
          <w:p w14:paraId="58F9D2B6" w14:textId="77777777" w:rsidR="00BA3083" w:rsidRDefault="00000000">
            <w:pPr>
              <w:spacing w:after="20"/>
            </w:pPr>
            <w:r>
              <w:rPr>
                <w:b/>
                <w:bCs/>
                <w:color w:val="FFFFFF"/>
                <w:sz w:val="19"/>
                <w:szCs w:val="19"/>
              </w:rPr>
              <w:t>Focus</w:t>
            </w:r>
          </w:p>
        </w:tc>
        <w:tc>
          <w:tcPr>
            <w:tcW w:w="3460" w:type="dxa"/>
            <w:shd w:val="clear" w:color="auto" w:fill="1B5E4F"/>
            <w:tcMar>
              <w:top w:w="60" w:type="dxa"/>
              <w:left w:w="90" w:type="dxa"/>
              <w:bottom w:w="60" w:type="dxa"/>
              <w:right w:w="90" w:type="dxa"/>
            </w:tcMar>
          </w:tcPr>
          <w:p w14:paraId="03157D11" w14:textId="77777777" w:rsidR="00BA3083" w:rsidRDefault="00000000">
            <w:pPr>
              <w:spacing w:after="20"/>
            </w:pPr>
            <w:r>
              <w:rPr>
                <w:b/>
                <w:bCs/>
                <w:color w:val="FFFFFF"/>
                <w:sz w:val="19"/>
                <w:szCs w:val="19"/>
              </w:rPr>
              <w:t>Intended output</w:t>
            </w:r>
          </w:p>
        </w:tc>
      </w:tr>
      <w:tr w:rsidR="00BA3083" w14:paraId="07D29A67" w14:textId="77777777">
        <w:tblPrEx>
          <w:tblCellMar>
            <w:top w:w="0" w:type="dxa"/>
            <w:bottom w:w="0" w:type="dxa"/>
          </w:tblCellMar>
        </w:tblPrEx>
        <w:tc>
          <w:tcPr>
            <w:tcW w:w="1250" w:type="dxa"/>
            <w:tcMar>
              <w:top w:w="60" w:type="dxa"/>
              <w:left w:w="90" w:type="dxa"/>
              <w:bottom w:w="60" w:type="dxa"/>
              <w:right w:w="90" w:type="dxa"/>
            </w:tcMar>
          </w:tcPr>
          <w:p w14:paraId="3FCD195C" w14:textId="77777777" w:rsidR="00BA3083" w:rsidRDefault="00000000">
            <w:pPr>
              <w:spacing w:after="20"/>
            </w:pPr>
            <w:r>
              <w:rPr>
                <w:sz w:val="19"/>
                <w:szCs w:val="19"/>
              </w:rPr>
              <w:t>0–10</w:t>
            </w:r>
          </w:p>
        </w:tc>
        <w:tc>
          <w:tcPr>
            <w:tcW w:w="4650" w:type="dxa"/>
            <w:tcMar>
              <w:top w:w="60" w:type="dxa"/>
              <w:left w:w="90" w:type="dxa"/>
              <w:bottom w:w="60" w:type="dxa"/>
              <w:right w:w="90" w:type="dxa"/>
            </w:tcMar>
          </w:tcPr>
          <w:p w14:paraId="3A52B018" w14:textId="77777777" w:rsidR="00BA3083" w:rsidRDefault="00000000">
            <w:pPr>
              <w:spacing w:after="20"/>
            </w:pPr>
            <w:r>
              <w:rPr>
                <w:sz w:val="19"/>
                <w:szCs w:val="19"/>
              </w:rPr>
              <w:t xml:space="preserve">Team </w:t>
            </w:r>
            <w:proofErr w:type="gramStart"/>
            <w:r>
              <w:rPr>
                <w:sz w:val="19"/>
                <w:szCs w:val="19"/>
              </w:rPr>
              <w:t>reframes:</w:t>
            </w:r>
            <w:proofErr w:type="gramEnd"/>
            <w:r>
              <w:rPr>
                <w:sz w:val="19"/>
                <w:szCs w:val="19"/>
              </w:rPr>
              <w:t xml:space="preserve"> present the deep-scaling narrative, not the annual targets</w:t>
            </w:r>
          </w:p>
        </w:tc>
        <w:tc>
          <w:tcPr>
            <w:tcW w:w="3460" w:type="dxa"/>
            <w:tcMar>
              <w:top w:w="60" w:type="dxa"/>
              <w:left w:w="90" w:type="dxa"/>
              <w:bottom w:w="60" w:type="dxa"/>
              <w:right w:w="90" w:type="dxa"/>
            </w:tcMar>
          </w:tcPr>
          <w:p w14:paraId="113A621D" w14:textId="77777777" w:rsidR="00BA3083" w:rsidRDefault="00000000">
            <w:pPr>
              <w:spacing w:after="20"/>
            </w:pPr>
            <w:r>
              <w:rPr>
                <w:sz w:val="19"/>
                <w:szCs w:val="19"/>
              </w:rPr>
              <w:t>Shared problem framing</w:t>
            </w:r>
          </w:p>
        </w:tc>
      </w:tr>
      <w:tr w:rsidR="00BA3083" w14:paraId="4A96A5F4" w14:textId="77777777">
        <w:tblPrEx>
          <w:tblCellMar>
            <w:top w:w="0" w:type="dxa"/>
            <w:bottom w:w="0" w:type="dxa"/>
          </w:tblCellMar>
        </w:tblPrEx>
        <w:tc>
          <w:tcPr>
            <w:tcW w:w="1250" w:type="dxa"/>
            <w:shd w:val="clear" w:color="auto" w:fill="F5F8F7"/>
            <w:tcMar>
              <w:top w:w="60" w:type="dxa"/>
              <w:left w:w="90" w:type="dxa"/>
              <w:bottom w:w="60" w:type="dxa"/>
              <w:right w:w="90" w:type="dxa"/>
            </w:tcMar>
          </w:tcPr>
          <w:p w14:paraId="357A06CF" w14:textId="77777777" w:rsidR="00BA3083" w:rsidRDefault="00000000">
            <w:pPr>
              <w:spacing w:after="20"/>
            </w:pPr>
            <w:r>
              <w:rPr>
                <w:sz w:val="19"/>
                <w:szCs w:val="19"/>
              </w:rPr>
              <w:t>10–35</w:t>
            </w:r>
          </w:p>
        </w:tc>
        <w:tc>
          <w:tcPr>
            <w:tcW w:w="4650" w:type="dxa"/>
            <w:shd w:val="clear" w:color="auto" w:fill="F5F8F7"/>
            <w:tcMar>
              <w:top w:w="60" w:type="dxa"/>
              <w:left w:w="90" w:type="dxa"/>
              <w:bottom w:w="60" w:type="dxa"/>
              <w:right w:w="90" w:type="dxa"/>
            </w:tcMar>
          </w:tcPr>
          <w:p w14:paraId="2563FF2E" w14:textId="77777777" w:rsidR="00BA3083" w:rsidRDefault="00000000">
            <w:pPr>
              <w:spacing w:after="20"/>
            </w:pPr>
            <w:r>
              <w:rPr>
                <w:sz w:val="19"/>
                <w:szCs w:val="19"/>
              </w:rPr>
              <w:t>Insurance pool viability + subsidy financing (the weakest link)</w:t>
            </w:r>
          </w:p>
        </w:tc>
        <w:tc>
          <w:tcPr>
            <w:tcW w:w="3460" w:type="dxa"/>
            <w:shd w:val="clear" w:color="auto" w:fill="F5F8F7"/>
            <w:tcMar>
              <w:top w:w="60" w:type="dxa"/>
              <w:left w:w="90" w:type="dxa"/>
              <w:bottom w:w="60" w:type="dxa"/>
              <w:right w:w="90" w:type="dxa"/>
            </w:tcMar>
          </w:tcPr>
          <w:p w14:paraId="0841423C" w14:textId="77777777" w:rsidR="00BA3083" w:rsidRDefault="00000000">
            <w:pPr>
              <w:spacing w:after="20"/>
            </w:pPr>
            <w:r>
              <w:rPr>
                <w:sz w:val="19"/>
                <w:szCs w:val="19"/>
              </w:rPr>
              <w:t>Agreed minimum viable scale; funding-gap size</w:t>
            </w:r>
          </w:p>
        </w:tc>
      </w:tr>
      <w:tr w:rsidR="00BA3083" w14:paraId="696391A5" w14:textId="77777777">
        <w:tblPrEx>
          <w:tblCellMar>
            <w:top w:w="0" w:type="dxa"/>
            <w:bottom w:w="0" w:type="dxa"/>
          </w:tblCellMar>
        </w:tblPrEx>
        <w:tc>
          <w:tcPr>
            <w:tcW w:w="1250" w:type="dxa"/>
            <w:tcMar>
              <w:top w:w="60" w:type="dxa"/>
              <w:left w:w="90" w:type="dxa"/>
              <w:bottom w:w="60" w:type="dxa"/>
              <w:right w:w="90" w:type="dxa"/>
            </w:tcMar>
          </w:tcPr>
          <w:p w14:paraId="10695749" w14:textId="77777777" w:rsidR="00BA3083" w:rsidRDefault="00000000">
            <w:pPr>
              <w:spacing w:after="20"/>
            </w:pPr>
            <w:r>
              <w:rPr>
                <w:sz w:val="19"/>
                <w:szCs w:val="19"/>
              </w:rPr>
              <w:t>35–55</w:t>
            </w:r>
          </w:p>
        </w:tc>
        <w:tc>
          <w:tcPr>
            <w:tcW w:w="4650" w:type="dxa"/>
            <w:tcMar>
              <w:top w:w="60" w:type="dxa"/>
              <w:left w:w="90" w:type="dxa"/>
              <w:bottom w:w="60" w:type="dxa"/>
              <w:right w:w="90" w:type="dxa"/>
            </w:tcMar>
          </w:tcPr>
          <w:p w14:paraId="34465699" w14:textId="77777777" w:rsidR="00BA3083" w:rsidRDefault="00000000">
            <w:pPr>
              <w:spacing w:after="20"/>
            </w:pPr>
            <w:r>
              <w:rPr>
                <w:sz w:val="19"/>
                <w:szCs w:val="19"/>
              </w:rPr>
              <w:t>Climate-risk pricing under non-stationarity</w:t>
            </w:r>
          </w:p>
        </w:tc>
        <w:tc>
          <w:tcPr>
            <w:tcW w:w="3460" w:type="dxa"/>
            <w:tcMar>
              <w:top w:w="60" w:type="dxa"/>
              <w:left w:w="90" w:type="dxa"/>
              <w:bottom w:w="60" w:type="dxa"/>
              <w:right w:w="90" w:type="dxa"/>
            </w:tcMar>
          </w:tcPr>
          <w:p w14:paraId="09750593" w14:textId="77777777" w:rsidR="00BA3083" w:rsidRDefault="00000000">
            <w:pPr>
              <w:spacing w:after="20"/>
            </w:pPr>
            <w:r>
              <w:rPr>
                <w:sz w:val="19"/>
                <w:szCs w:val="19"/>
              </w:rPr>
              <w:t>Pricing/reinsurance strategy or explicit open question</w:t>
            </w:r>
          </w:p>
        </w:tc>
      </w:tr>
      <w:tr w:rsidR="00BA3083" w14:paraId="3AE1CFCE" w14:textId="77777777">
        <w:tblPrEx>
          <w:tblCellMar>
            <w:top w:w="0" w:type="dxa"/>
            <w:bottom w:w="0" w:type="dxa"/>
          </w:tblCellMar>
        </w:tblPrEx>
        <w:tc>
          <w:tcPr>
            <w:tcW w:w="1250" w:type="dxa"/>
            <w:shd w:val="clear" w:color="auto" w:fill="F5F8F7"/>
            <w:tcMar>
              <w:top w:w="60" w:type="dxa"/>
              <w:left w:w="90" w:type="dxa"/>
              <w:bottom w:w="60" w:type="dxa"/>
              <w:right w:w="90" w:type="dxa"/>
            </w:tcMar>
          </w:tcPr>
          <w:p w14:paraId="2BD75E74" w14:textId="77777777" w:rsidR="00BA3083" w:rsidRDefault="00000000">
            <w:pPr>
              <w:spacing w:after="20"/>
            </w:pPr>
            <w:r>
              <w:rPr>
                <w:sz w:val="19"/>
                <w:szCs w:val="19"/>
              </w:rPr>
              <w:t>55–75</w:t>
            </w:r>
          </w:p>
        </w:tc>
        <w:tc>
          <w:tcPr>
            <w:tcW w:w="4650" w:type="dxa"/>
            <w:shd w:val="clear" w:color="auto" w:fill="F5F8F7"/>
            <w:tcMar>
              <w:top w:w="60" w:type="dxa"/>
              <w:left w:w="90" w:type="dxa"/>
              <w:bottom w:w="60" w:type="dxa"/>
              <w:right w:w="90" w:type="dxa"/>
            </w:tcMar>
          </w:tcPr>
          <w:p w14:paraId="004F571F" w14:textId="77777777" w:rsidR="00BA3083" w:rsidRDefault="00000000">
            <w:pPr>
              <w:spacing w:after="20"/>
            </w:pPr>
            <w:r>
              <w:rPr>
                <w:sz w:val="19"/>
                <w:szCs w:val="19"/>
              </w:rPr>
              <w:t>Claims speed, persistency, and the agent black box</w:t>
            </w:r>
          </w:p>
        </w:tc>
        <w:tc>
          <w:tcPr>
            <w:tcW w:w="3460" w:type="dxa"/>
            <w:shd w:val="clear" w:color="auto" w:fill="F5F8F7"/>
            <w:tcMar>
              <w:top w:w="60" w:type="dxa"/>
              <w:left w:w="90" w:type="dxa"/>
              <w:bottom w:w="60" w:type="dxa"/>
              <w:right w:w="90" w:type="dxa"/>
            </w:tcMar>
          </w:tcPr>
          <w:p w14:paraId="7ECDDE9B" w14:textId="77777777" w:rsidR="00BA3083" w:rsidRDefault="00000000">
            <w:pPr>
              <w:spacing w:after="20"/>
            </w:pPr>
            <w:proofErr w:type="spellStart"/>
            <w:r>
              <w:rPr>
                <w:sz w:val="19"/>
                <w:szCs w:val="19"/>
              </w:rPr>
              <w:t>Prioritised</w:t>
            </w:r>
            <w:proofErr w:type="spellEnd"/>
            <w:r>
              <w:rPr>
                <w:sz w:val="19"/>
                <w:szCs w:val="19"/>
              </w:rPr>
              <w:t xml:space="preserve"> 2026 learning experiments</w:t>
            </w:r>
          </w:p>
        </w:tc>
      </w:tr>
      <w:tr w:rsidR="00BA3083" w14:paraId="6111DA4A" w14:textId="77777777">
        <w:tblPrEx>
          <w:tblCellMar>
            <w:top w:w="0" w:type="dxa"/>
            <w:bottom w:w="0" w:type="dxa"/>
          </w:tblCellMar>
        </w:tblPrEx>
        <w:tc>
          <w:tcPr>
            <w:tcW w:w="1250" w:type="dxa"/>
            <w:tcMar>
              <w:top w:w="60" w:type="dxa"/>
              <w:left w:w="90" w:type="dxa"/>
              <w:bottom w:w="60" w:type="dxa"/>
              <w:right w:w="90" w:type="dxa"/>
            </w:tcMar>
          </w:tcPr>
          <w:p w14:paraId="03EDDE7E" w14:textId="77777777" w:rsidR="00BA3083" w:rsidRDefault="00000000">
            <w:pPr>
              <w:spacing w:after="20"/>
            </w:pPr>
            <w:r>
              <w:rPr>
                <w:sz w:val="19"/>
                <w:szCs w:val="19"/>
              </w:rPr>
              <w:t>75–90</w:t>
            </w:r>
          </w:p>
        </w:tc>
        <w:tc>
          <w:tcPr>
            <w:tcW w:w="4650" w:type="dxa"/>
            <w:tcMar>
              <w:top w:w="60" w:type="dxa"/>
              <w:left w:w="90" w:type="dxa"/>
              <w:bottom w:w="60" w:type="dxa"/>
              <w:right w:w="90" w:type="dxa"/>
            </w:tcMar>
          </w:tcPr>
          <w:p w14:paraId="577D3448" w14:textId="77777777" w:rsidR="00BA3083" w:rsidRDefault="00000000">
            <w:pPr>
              <w:spacing w:after="20"/>
            </w:pPr>
            <w:r>
              <w:rPr>
                <w:sz w:val="19"/>
                <w:szCs w:val="19"/>
              </w:rPr>
              <w:t>Gate decision &amp; sequencing (financing gate vs. agent focus)</w:t>
            </w:r>
          </w:p>
        </w:tc>
        <w:tc>
          <w:tcPr>
            <w:tcW w:w="3460" w:type="dxa"/>
            <w:tcMar>
              <w:top w:w="60" w:type="dxa"/>
              <w:left w:w="90" w:type="dxa"/>
              <w:bottom w:w="60" w:type="dxa"/>
              <w:right w:w="90" w:type="dxa"/>
            </w:tcMar>
          </w:tcPr>
          <w:p w14:paraId="794B83F2" w14:textId="77777777" w:rsidR="00BA3083" w:rsidRDefault="00000000">
            <w:pPr>
              <w:spacing w:after="20"/>
            </w:pPr>
            <w:r>
              <w:rPr>
                <w:sz w:val="19"/>
                <w:szCs w:val="19"/>
              </w:rPr>
              <w:t>Conditions for advancement; owners; dates</w:t>
            </w:r>
          </w:p>
        </w:tc>
      </w:tr>
    </w:tbl>
    <w:p w14:paraId="04F040FF" w14:textId="77777777" w:rsidR="00BA3083" w:rsidRDefault="00000000">
      <w:pPr>
        <w:pStyle w:val="Heading2"/>
        <w:spacing w:before="220" w:after="100"/>
      </w:pPr>
      <w:bookmarkStart w:id="39" w:name="_Toc234870989"/>
      <w:r>
        <w:t>6.9 Three conversations the team should have internally first</w:t>
      </w:r>
      <w:bookmarkEnd w:id="39"/>
    </w:p>
    <w:p w14:paraId="0FFA30A2" w14:textId="77777777" w:rsidR="00BA3083" w:rsidRDefault="00000000">
      <w:pPr>
        <w:pStyle w:val="ListParagraph"/>
        <w:numPr>
          <w:ilvl w:val="0"/>
          <w:numId w:val="3"/>
        </w:numPr>
        <w:spacing w:after="60" w:line="258" w:lineRule="auto"/>
      </w:pPr>
      <w:r>
        <w:rPr>
          <w:b/>
          <w:bCs/>
        </w:rPr>
        <w:t xml:space="preserve">With </w:t>
      </w:r>
      <w:proofErr w:type="spellStart"/>
      <w:r>
        <w:rPr>
          <w:b/>
          <w:bCs/>
        </w:rPr>
        <w:t>Dvara</w:t>
      </w:r>
      <w:proofErr w:type="spellEnd"/>
      <w:r>
        <w:rPr>
          <w:b/>
          <w:bCs/>
        </w:rPr>
        <w:t xml:space="preserve">/ACRE and the insurers: </w:t>
      </w:r>
      <w:r>
        <w:t>"What is our honest minimum viable scale, and what does acquisition cost?" — before Kohl asks.</w:t>
      </w:r>
    </w:p>
    <w:p w14:paraId="0C2880F6" w14:textId="77777777" w:rsidR="00BA3083" w:rsidRDefault="00000000">
      <w:pPr>
        <w:pStyle w:val="ListParagraph"/>
        <w:numPr>
          <w:ilvl w:val="0"/>
          <w:numId w:val="3"/>
        </w:numPr>
        <w:spacing w:after="60" w:line="258" w:lineRule="auto"/>
      </w:pPr>
      <w:r>
        <w:rPr>
          <w:b/>
          <w:bCs/>
        </w:rPr>
        <w:t xml:space="preserve">With AoW4: </w:t>
      </w:r>
      <w:r>
        <w:t>"Is the crowd-in finance real, and what would make it committed?"</w:t>
      </w:r>
    </w:p>
    <w:p w14:paraId="08E80322" w14:textId="77777777" w:rsidR="00BA3083" w:rsidRDefault="00000000">
      <w:pPr>
        <w:pStyle w:val="ListParagraph"/>
        <w:numPr>
          <w:ilvl w:val="0"/>
          <w:numId w:val="3"/>
        </w:numPr>
        <w:spacing w:after="60" w:line="258" w:lineRule="auto"/>
      </w:pPr>
      <w:r>
        <w:rPr>
          <w:b/>
          <w:bCs/>
        </w:rPr>
        <w:t xml:space="preserve">Internally: </w:t>
      </w:r>
      <w:r>
        <w:t>"If no subsidy financier appears, what is our fallback ambition and are we willing to say 100,000 might be the wrong number?"</w:t>
      </w:r>
    </w:p>
    <w:p w14:paraId="47CCF7CF" w14:textId="77777777" w:rsidR="00BA3083" w:rsidRDefault="00000000">
      <w:pPr>
        <w:pStyle w:val="Heading2"/>
        <w:spacing w:before="220" w:after="100"/>
      </w:pPr>
      <w:bookmarkStart w:id="40" w:name="_Toc234870990"/>
      <w:r>
        <w:t>6.10 If Richard remembered only one thing six months later</w:t>
      </w:r>
      <w:bookmarkEnd w:id="40"/>
    </w:p>
    <w:tbl>
      <w:tblPr>
        <w:tblW w:w="9360" w:type="dxa"/>
        <w:tblBorders>
          <w:left w:val="single" w:sz="24" w:space="0" w:color="6A1B9A"/>
        </w:tblBorders>
        <w:tblCellMar>
          <w:left w:w="10" w:type="dxa"/>
          <w:right w:w="10" w:type="dxa"/>
        </w:tblCellMar>
        <w:tblLook w:val="04A0" w:firstRow="1" w:lastRow="0" w:firstColumn="1" w:lastColumn="0" w:noHBand="0" w:noVBand="1"/>
      </w:tblPr>
      <w:tblGrid>
        <w:gridCol w:w="9360"/>
      </w:tblGrid>
      <w:tr w:rsidR="00BA3083" w14:paraId="4E970284" w14:textId="77777777">
        <w:tblPrEx>
          <w:tblCellMar>
            <w:top w:w="0" w:type="dxa"/>
            <w:bottom w:w="0" w:type="dxa"/>
          </w:tblCellMar>
        </w:tblPrEx>
        <w:tc>
          <w:tcPr>
            <w:tcW w:w="9360" w:type="dxa"/>
            <w:shd w:val="clear" w:color="auto" w:fill="F2EAF7"/>
            <w:tcMar>
              <w:top w:w="120" w:type="dxa"/>
              <w:left w:w="200" w:type="dxa"/>
              <w:bottom w:w="120" w:type="dxa"/>
              <w:right w:w="160" w:type="dxa"/>
            </w:tcMar>
          </w:tcPr>
          <w:p w14:paraId="1D4B8C7B" w14:textId="77777777" w:rsidR="00BA3083" w:rsidRDefault="00000000">
            <w:pPr>
              <w:spacing w:after="60"/>
            </w:pPr>
            <w:r>
              <w:rPr>
                <w:b/>
                <w:bCs/>
                <w:color w:val="6A1B9A"/>
              </w:rPr>
              <w:t>The one thing</w:t>
            </w:r>
          </w:p>
          <w:p w14:paraId="7658FAB6" w14:textId="77777777" w:rsidR="00BA3083" w:rsidRDefault="00000000">
            <w:pPr>
              <w:spacing w:after="50" w:line="258" w:lineRule="auto"/>
            </w:pPr>
            <w:r>
              <w:rPr>
                <w:i/>
                <w:iCs/>
                <w:sz w:val="23"/>
                <w:szCs w:val="23"/>
              </w:rPr>
              <w:t>"This team has the best product and evidence in the portfolio — and the least-defined answer to who pays to carry the insurance leg from fifteen thousand to half a million farmers. Fix the financing pathway and this is the strongest track; leave it and it repeats Syngenta."</w:t>
            </w:r>
          </w:p>
        </w:tc>
      </w:tr>
    </w:tbl>
    <w:p w14:paraId="12485919" w14:textId="77777777" w:rsidR="00BA3083" w:rsidRDefault="00000000">
      <w:r>
        <w:br w:type="page"/>
      </w:r>
    </w:p>
    <w:p w14:paraId="7C8ED112" w14:textId="77777777" w:rsidR="00BA3083" w:rsidRDefault="00000000">
      <w:pPr>
        <w:pStyle w:val="Heading1"/>
        <w:spacing w:before="320" w:after="140"/>
      </w:pPr>
      <w:bookmarkStart w:id="41" w:name="_Toc234870991"/>
      <w:r>
        <w:lastRenderedPageBreak/>
        <w:t>7 · Operating System Improvement Recommendations</w:t>
      </w:r>
      <w:bookmarkEnd w:id="41"/>
    </w:p>
    <w:p w14:paraId="0DF79A33" w14:textId="77777777" w:rsidR="00BA3083" w:rsidRDefault="00000000">
      <w:pPr>
        <w:spacing w:after="120" w:line="264" w:lineRule="auto"/>
      </w:pPr>
      <w:r>
        <w:t xml:space="preserve">These concern the </w:t>
      </w:r>
      <w:r>
        <w:rPr>
          <w:b/>
          <w:bCs/>
        </w:rPr>
        <w:t>Scaling Intelligence Operating System itself</w:t>
      </w:r>
      <w:r>
        <w:t>, not the Solution Track. Kept deliberately separate per the brief.</w:t>
      </w:r>
    </w:p>
    <w:p w14:paraId="6EE35756" w14:textId="77777777" w:rsidR="00BA3083" w:rsidRDefault="00000000">
      <w:pPr>
        <w:pStyle w:val="Heading2"/>
        <w:spacing w:before="220" w:after="100"/>
      </w:pPr>
      <w:bookmarkStart w:id="42" w:name="_Toc234870992"/>
      <w:r>
        <w:t>7.1 By component</w:t>
      </w:r>
      <w:bookmarkEnd w:id="42"/>
    </w:p>
    <w:tbl>
      <w:tblPr>
        <w:tblW w:w="9360" w:type="dxa"/>
        <w:tblBorders>
          <w:top w:val="single" w:sz="2" w:space="0" w:color="C9D6D1"/>
          <w:left w:val="single" w:sz="2" w:space="0" w:color="C9D6D1"/>
          <w:bottom w:val="single" w:sz="2" w:space="0" w:color="C9D6D1"/>
          <w:right w:val="single" w:sz="2" w:space="0" w:color="C9D6D1"/>
          <w:insideH w:val="single" w:sz="1" w:space="0" w:color="D8E2DE"/>
          <w:insideV w:val="single" w:sz="1" w:space="0" w:color="D8E2DE"/>
        </w:tblBorders>
        <w:tblCellMar>
          <w:left w:w="10" w:type="dxa"/>
          <w:right w:w="10" w:type="dxa"/>
        </w:tblCellMar>
        <w:tblLook w:val="04A0" w:firstRow="1" w:lastRow="0" w:firstColumn="1" w:lastColumn="0" w:noHBand="0" w:noVBand="1"/>
      </w:tblPr>
      <w:tblGrid>
        <w:gridCol w:w="2650"/>
        <w:gridCol w:w="6710"/>
      </w:tblGrid>
      <w:tr w:rsidR="00BA3083" w14:paraId="685139B6" w14:textId="77777777">
        <w:tblPrEx>
          <w:tblCellMar>
            <w:top w:w="0" w:type="dxa"/>
            <w:bottom w:w="0" w:type="dxa"/>
          </w:tblCellMar>
        </w:tblPrEx>
        <w:trPr>
          <w:tblHeader/>
        </w:trPr>
        <w:tc>
          <w:tcPr>
            <w:tcW w:w="2650" w:type="dxa"/>
            <w:shd w:val="clear" w:color="auto" w:fill="1B5E4F"/>
            <w:tcMar>
              <w:top w:w="60" w:type="dxa"/>
              <w:left w:w="90" w:type="dxa"/>
              <w:bottom w:w="60" w:type="dxa"/>
              <w:right w:w="90" w:type="dxa"/>
            </w:tcMar>
          </w:tcPr>
          <w:p w14:paraId="229A8304" w14:textId="77777777" w:rsidR="00BA3083" w:rsidRDefault="00000000">
            <w:pPr>
              <w:spacing w:after="20"/>
            </w:pPr>
            <w:r>
              <w:rPr>
                <w:b/>
                <w:bCs/>
                <w:color w:val="FFFFFF"/>
                <w:sz w:val="19"/>
                <w:szCs w:val="19"/>
              </w:rPr>
              <w:t>OS component</w:t>
            </w:r>
          </w:p>
        </w:tc>
        <w:tc>
          <w:tcPr>
            <w:tcW w:w="6710" w:type="dxa"/>
            <w:shd w:val="clear" w:color="auto" w:fill="1B5E4F"/>
            <w:tcMar>
              <w:top w:w="60" w:type="dxa"/>
              <w:left w:w="90" w:type="dxa"/>
              <w:bottom w:w="60" w:type="dxa"/>
              <w:right w:w="90" w:type="dxa"/>
            </w:tcMar>
          </w:tcPr>
          <w:p w14:paraId="1CA10533" w14:textId="77777777" w:rsidR="00BA3083" w:rsidRDefault="00000000">
            <w:pPr>
              <w:spacing w:after="20"/>
            </w:pPr>
            <w:r>
              <w:rPr>
                <w:b/>
                <w:bCs/>
                <w:color w:val="FFFFFF"/>
                <w:sz w:val="19"/>
                <w:szCs w:val="19"/>
              </w:rPr>
              <w:t>Recommended improvement</w:t>
            </w:r>
          </w:p>
        </w:tc>
      </w:tr>
      <w:tr w:rsidR="00BA3083" w14:paraId="7F18ADD5" w14:textId="77777777">
        <w:tblPrEx>
          <w:tblCellMar>
            <w:top w:w="0" w:type="dxa"/>
            <w:bottom w:w="0" w:type="dxa"/>
          </w:tblCellMar>
        </w:tblPrEx>
        <w:tc>
          <w:tcPr>
            <w:tcW w:w="2650" w:type="dxa"/>
            <w:tcMar>
              <w:top w:w="60" w:type="dxa"/>
              <w:left w:w="90" w:type="dxa"/>
              <w:bottom w:w="60" w:type="dxa"/>
              <w:right w:w="90" w:type="dxa"/>
            </w:tcMar>
          </w:tcPr>
          <w:p w14:paraId="0F1FE033" w14:textId="77777777" w:rsidR="00BA3083" w:rsidRDefault="00000000">
            <w:pPr>
              <w:spacing w:after="20"/>
            </w:pPr>
            <w:r>
              <w:rPr>
                <w:b/>
                <w:bCs/>
                <w:sz w:val="19"/>
                <w:szCs w:val="19"/>
              </w:rPr>
              <w:t>Scaling Knowledge Standard</w:t>
            </w:r>
          </w:p>
        </w:tc>
        <w:tc>
          <w:tcPr>
            <w:tcW w:w="6710" w:type="dxa"/>
            <w:tcMar>
              <w:top w:w="60" w:type="dxa"/>
              <w:left w:w="90" w:type="dxa"/>
              <w:bottom w:w="60" w:type="dxa"/>
              <w:right w:w="90" w:type="dxa"/>
            </w:tcMar>
          </w:tcPr>
          <w:p w14:paraId="54E8B947" w14:textId="77777777" w:rsidR="00BA3083" w:rsidRDefault="00000000">
            <w:pPr>
              <w:spacing w:after="20"/>
            </w:pPr>
            <w:r>
              <w:rPr>
                <w:sz w:val="19"/>
                <w:szCs w:val="19"/>
              </w:rPr>
              <w:t>Require a mandatory "Reconciled Facts" card per track; flag any figure that appears with two values across documents. This track had 6 material inconsistencies that a standard field would have caught.</w:t>
            </w:r>
          </w:p>
        </w:tc>
      </w:tr>
      <w:tr w:rsidR="00BA3083" w14:paraId="1DA93BDD" w14:textId="77777777">
        <w:tblPrEx>
          <w:tblCellMar>
            <w:top w:w="0" w:type="dxa"/>
            <w:bottom w:w="0" w:type="dxa"/>
          </w:tblCellMar>
        </w:tblPrEx>
        <w:tc>
          <w:tcPr>
            <w:tcW w:w="2650" w:type="dxa"/>
            <w:shd w:val="clear" w:color="auto" w:fill="F5F8F7"/>
            <w:tcMar>
              <w:top w:w="60" w:type="dxa"/>
              <w:left w:w="90" w:type="dxa"/>
              <w:bottom w:w="60" w:type="dxa"/>
              <w:right w:w="90" w:type="dxa"/>
            </w:tcMar>
          </w:tcPr>
          <w:p w14:paraId="70D1CACC" w14:textId="77777777" w:rsidR="00BA3083" w:rsidRDefault="00000000">
            <w:pPr>
              <w:spacing w:after="20"/>
            </w:pPr>
            <w:r>
              <w:rPr>
                <w:b/>
                <w:bCs/>
                <w:sz w:val="19"/>
                <w:szCs w:val="19"/>
              </w:rPr>
              <w:t>Scaling Intelligence Standard</w:t>
            </w:r>
          </w:p>
        </w:tc>
        <w:tc>
          <w:tcPr>
            <w:tcW w:w="6710" w:type="dxa"/>
            <w:shd w:val="clear" w:color="auto" w:fill="F5F8F7"/>
            <w:tcMar>
              <w:top w:w="60" w:type="dxa"/>
              <w:left w:w="90" w:type="dxa"/>
              <w:bottom w:w="60" w:type="dxa"/>
              <w:right w:w="90" w:type="dxa"/>
            </w:tcMar>
          </w:tcPr>
          <w:p w14:paraId="3B5DEF11" w14:textId="77777777" w:rsidR="00BA3083" w:rsidRDefault="00000000">
            <w:pPr>
              <w:spacing w:after="20"/>
            </w:pPr>
            <w:r>
              <w:rPr>
                <w:sz w:val="19"/>
                <w:szCs w:val="19"/>
              </w:rPr>
              <w:t>Make the five-demand decomposition (user/market/payer/institutional/policy) and the additionality layer-test mandatory sections — both were decisive here and neither is a default template field.</w:t>
            </w:r>
          </w:p>
        </w:tc>
      </w:tr>
      <w:tr w:rsidR="00BA3083" w14:paraId="4AA66062" w14:textId="77777777">
        <w:tblPrEx>
          <w:tblCellMar>
            <w:top w:w="0" w:type="dxa"/>
            <w:bottom w:w="0" w:type="dxa"/>
          </w:tblCellMar>
        </w:tblPrEx>
        <w:tc>
          <w:tcPr>
            <w:tcW w:w="2650" w:type="dxa"/>
            <w:tcMar>
              <w:top w:w="60" w:type="dxa"/>
              <w:left w:w="90" w:type="dxa"/>
              <w:bottom w:w="60" w:type="dxa"/>
              <w:right w:w="90" w:type="dxa"/>
            </w:tcMar>
          </w:tcPr>
          <w:p w14:paraId="006A5B37" w14:textId="77777777" w:rsidR="00BA3083" w:rsidRDefault="00000000">
            <w:pPr>
              <w:spacing w:after="20"/>
            </w:pPr>
            <w:r>
              <w:rPr>
                <w:b/>
                <w:bCs/>
                <w:sz w:val="19"/>
                <w:szCs w:val="19"/>
              </w:rPr>
              <w:t>Scaling Strategy Standard</w:t>
            </w:r>
          </w:p>
        </w:tc>
        <w:tc>
          <w:tcPr>
            <w:tcW w:w="6710" w:type="dxa"/>
            <w:tcMar>
              <w:top w:w="60" w:type="dxa"/>
              <w:left w:w="90" w:type="dxa"/>
              <w:bottom w:w="60" w:type="dxa"/>
              <w:right w:w="90" w:type="dxa"/>
            </w:tcMar>
          </w:tcPr>
          <w:p w14:paraId="0B39FCDD" w14:textId="77777777" w:rsidR="00BA3083" w:rsidRDefault="00000000">
            <w:pPr>
              <w:spacing w:after="20"/>
            </w:pPr>
            <w:r>
              <w:rPr>
                <w:sz w:val="19"/>
                <w:szCs w:val="19"/>
              </w:rPr>
              <w:t>Add an explicit "technical-readiness vs. scaling-readiness" divergence score, so a readiness-9 innovation cannot be read as scaling-ready by default.</w:t>
            </w:r>
          </w:p>
        </w:tc>
      </w:tr>
      <w:tr w:rsidR="00BA3083" w14:paraId="430F4DA8" w14:textId="77777777">
        <w:tblPrEx>
          <w:tblCellMar>
            <w:top w:w="0" w:type="dxa"/>
            <w:bottom w:w="0" w:type="dxa"/>
          </w:tblCellMar>
        </w:tblPrEx>
        <w:tc>
          <w:tcPr>
            <w:tcW w:w="2650" w:type="dxa"/>
            <w:shd w:val="clear" w:color="auto" w:fill="F5F8F7"/>
            <w:tcMar>
              <w:top w:w="60" w:type="dxa"/>
              <w:left w:w="90" w:type="dxa"/>
              <w:bottom w:w="60" w:type="dxa"/>
              <w:right w:w="90" w:type="dxa"/>
            </w:tcMar>
          </w:tcPr>
          <w:p w14:paraId="6BCC7A7C" w14:textId="77777777" w:rsidR="00BA3083" w:rsidRDefault="00000000">
            <w:pPr>
              <w:spacing w:after="20"/>
            </w:pPr>
            <w:r>
              <w:rPr>
                <w:b/>
                <w:bCs/>
                <w:sz w:val="19"/>
                <w:szCs w:val="19"/>
              </w:rPr>
              <w:t>Templates</w:t>
            </w:r>
          </w:p>
        </w:tc>
        <w:tc>
          <w:tcPr>
            <w:tcW w:w="6710" w:type="dxa"/>
            <w:shd w:val="clear" w:color="auto" w:fill="F5F8F7"/>
            <w:tcMar>
              <w:top w:w="60" w:type="dxa"/>
              <w:left w:w="90" w:type="dxa"/>
              <w:bottom w:w="60" w:type="dxa"/>
              <w:right w:w="90" w:type="dxa"/>
            </w:tcMar>
          </w:tcPr>
          <w:p w14:paraId="1E83D857" w14:textId="77777777" w:rsidR="00BA3083" w:rsidRDefault="00000000">
            <w:pPr>
              <w:spacing w:after="20"/>
            </w:pPr>
            <w:r>
              <w:rPr>
                <w:sz w:val="19"/>
                <w:szCs w:val="19"/>
              </w:rPr>
              <w:t>Profile template should force a defined denominator (addressable population) and require annual targets to reconcile to the headline ambition.</w:t>
            </w:r>
          </w:p>
        </w:tc>
      </w:tr>
      <w:tr w:rsidR="00BA3083" w14:paraId="7D076F84" w14:textId="77777777">
        <w:tblPrEx>
          <w:tblCellMar>
            <w:top w:w="0" w:type="dxa"/>
            <w:bottom w:w="0" w:type="dxa"/>
          </w:tblCellMar>
        </w:tblPrEx>
        <w:tc>
          <w:tcPr>
            <w:tcW w:w="2650" w:type="dxa"/>
            <w:tcMar>
              <w:top w:w="60" w:type="dxa"/>
              <w:left w:w="90" w:type="dxa"/>
              <w:bottom w:w="60" w:type="dxa"/>
              <w:right w:w="90" w:type="dxa"/>
            </w:tcMar>
          </w:tcPr>
          <w:p w14:paraId="3D230DE2" w14:textId="77777777" w:rsidR="00BA3083" w:rsidRDefault="00000000">
            <w:pPr>
              <w:spacing w:after="20"/>
            </w:pPr>
            <w:r>
              <w:rPr>
                <w:b/>
                <w:bCs/>
                <w:sz w:val="19"/>
                <w:szCs w:val="19"/>
              </w:rPr>
              <w:t>Workflows</w:t>
            </w:r>
          </w:p>
        </w:tc>
        <w:tc>
          <w:tcPr>
            <w:tcW w:w="6710" w:type="dxa"/>
            <w:tcMar>
              <w:top w:w="60" w:type="dxa"/>
              <w:left w:w="90" w:type="dxa"/>
              <w:bottom w:w="60" w:type="dxa"/>
              <w:right w:w="90" w:type="dxa"/>
            </w:tcMar>
          </w:tcPr>
          <w:p w14:paraId="04D86781" w14:textId="77777777" w:rsidR="00BA3083" w:rsidRDefault="00000000">
            <w:pPr>
              <w:spacing w:after="20"/>
            </w:pPr>
            <w:r>
              <w:rPr>
                <w:sz w:val="19"/>
                <w:szCs w:val="19"/>
              </w:rPr>
              <w:t xml:space="preserve">Route financing-viability questions to AoW4 automatically at intake; here the financing gap was visible from the </w:t>
            </w:r>
            <w:proofErr w:type="gramStart"/>
            <w:r>
              <w:rPr>
                <w:sz w:val="19"/>
                <w:szCs w:val="19"/>
              </w:rPr>
              <w:t>EoI</w:t>
            </w:r>
            <w:proofErr w:type="gramEnd"/>
            <w:r>
              <w:rPr>
                <w:sz w:val="19"/>
                <w:szCs w:val="19"/>
              </w:rPr>
              <w:t xml:space="preserve"> but AoW4 engagement was left to bilateral follow-up.</w:t>
            </w:r>
          </w:p>
        </w:tc>
      </w:tr>
      <w:tr w:rsidR="00BA3083" w14:paraId="15F259D5" w14:textId="77777777">
        <w:tblPrEx>
          <w:tblCellMar>
            <w:top w:w="0" w:type="dxa"/>
            <w:bottom w:w="0" w:type="dxa"/>
          </w:tblCellMar>
        </w:tblPrEx>
        <w:tc>
          <w:tcPr>
            <w:tcW w:w="2650" w:type="dxa"/>
            <w:shd w:val="clear" w:color="auto" w:fill="F5F8F7"/>
            <w:tcMar>
              <w:top w:w="60" w:type="dxa"/>
              <w:left w:w="90" w:type="dxa"/>
              <w:bottom w:w="60" w:type="dxa"/>
              <w:right w:w="90" w:type="dxa"/>
            </w:tcMar>
          </w:tcPr>
          <w:p w14:paraId="214E08E0" w14:textId="77777777" w:rsidR="00BA3083" w:rsidRDefault="00000000">
            <w:pPr>
              <w:spacing w:after="20"/>
            </w:pPr>
            <w:r>
              <w:rPr>
                <w:b/>
                <w:bCs/>
                <w:sz w:val="19"/>
                <w:szCs w:val="19"/>
              </w:rPr>
              <w:t>Weakest-link reasoning</w:t>
            </w:r>
          </w:p>
        </w:tc>
        <w:tc>
          <w:tcPr>
            <w:tcW w:w="6710" w:type="dxa"/>
            <w:shd w:val="clear" w:color="auto" w:fill="F5F8F7"/>
            <w:tcMar>
              <w:top w:w="60" w:type="dxa"/>
              <w:left w:w="90" w:type="dxa"/>
              <w:bottom w:w="60" w:type="dxa"/>
              <w:right w:w="90" w:type="dxa"/>
            </w:tcMar>
          </w:tcPr>
          <w:p w14:paraId="49B73ED5" w14:textId="77777777" w:rsidR="00BA3083" w:rsidRDefault="00000000">
            <w:pPr>
              <w:spacing w:after="20"/>
            </w:pPr>
            <w:proofErr w:type="spellStart"/>
            <w:r>
              <w:rPr>
                <w:sz w:val="19"/>
                <w:szCs w:val="19"/>
              </w:rPr>
              <w:t>Formalise</w:t>
            </w:r>
            <w:proofErr w:type="spellEnd"/>
            <w:r>
              <w:rPr>
                <w:sz w:val="19"/>
                <w:szCs w:val="19"/>
              </w:rPr>
              <w:t xml:space="preserve"> the anti-legibility check as a required step — the tendency to name the fundable constraint (training) over the binding one (financing) recurred clearly here.</w:t>
            </w:r>
          </w:p>
        </w:tc>
      </w:tr>
      <w:tr w:rsidR="00BA3083" w14:paraId="30F58B3C" w14:textId="77777777">
        <w:tblPrEx>
          <w:tblCellMar>
            <w:top w:w="0" w:type="dxa"/>
            <w:bottom w:w="0" w:type="dxa"/>
          </w:tblCellMar>
        </w:tblPrEx>
        <w:tc>
          <w:tcPr>
            <w:tcW w:w="2650" w:type="dxa"/>
            <w:tcMar>
              <w:top w:w="60" w:type="dxa"/>
              <w:left w:w="90" w:type="dxa"/>
              <w:bottom w:w="60" w:type="dxa"/>
              <w:right w:w="90" w:type="dxa"/>
            </w:tcMar>
          </w:tcPr>
          <w:p w14:paraId="0D6CFBCD" w14:textId="77777777" w:rsidR="00BA3083" w:rsidRDefault="00000000">
            <w:pPr>
              <w:spacing w:after="20"/>
            </w:pPr>
            <w:r>
              <w:rPr>
                <w:b/>
                <w:bCs/>
                <w:sz w:val="19"/>
                <w:szCs w:val="19"/>
              </w:rPr>
              <w:t>Stage-gating</w:t>
            </w:r>
          </w:p>
        </w:tc>
        <w:tc>
          <w:tcPr>
            <w:tcW w:w="6710" w:type="dxa"/>
            <w:tcMar>
              <w:top w:w="60" w:type="dxa"/>
              <w:left w:w="90" w:type="dxa"/>
              <w:bottom w:w="60" w:type="dxa"/>
              <w:right w:w="90" w:type="dxa"/>
            </w:tcMar>
          </w:tcPr>
          <w:p w14:paraId="29049C86" w14:textId="77777777" w:rsidR="00BA3083" w:rsidRDefault="00000000">
            <w:pPr>
              <w:spacing w:after="20"/>
            </w:pPr>
            <w:r>
              <w:rPr>
                <w:sz w:val="19"/>
                <w:szCs w:val="19"/>
              </w:rPr>
              <w:t>Support component-level staging as standard: a track can be Scaling on one leg and PoC on another; a single overall gate hides this.</w:t>
            </w:r>
          </w:p>
        </w:tc>
      </w:tr>
      <w:tr w:rsidR="00BA3083" w14:paraId="22803ED6" w14:textId="77777777">
        <w:tblPrEx>
          <w:tblCellMar>
            <w:top w:w="0" w:type="dxa"/>
            <w:bottom w:w="0" w:type="dxa"/>
          </w:tblCellMar>
        </w:tblPrEx>
        <w:tc>
          <w:tcPr>
            <w:tcW w:w="2650" w:type="dxa"/>
            <w:shd w:val="clear" w:color="auto" w:fill="F5F8F7"/>
            <w:tcMar>
              <w:top w:w="60" w:type="dxa"/>
              <w:left w:w="90" w:type="dxa"/>
              <w:bottom w:w="60" w:type="dxa"/>
              <w:right w:w="90" w:type="dxa"/>
            </w:tcMar>
          </w:tcPr>
          <w:p w14:paraId="56EB4C5F" w14:textId="77777777" w:rsidR="00BA3083" w:rsidRDefault="00000000">
            <w:pPr>
              <w:spacing w:after="20"/>
            </w:pPr>
            <w:r>
              <w:rPr>
                <w:b/>
                <w:bCs/>
                <w:sz w:val="19"/>
                <w:szCs w:val="19"/>
              </w:rPr>
              <w:t>Coaching preparation</w:t>
            </w:r>
          </w:p>
        </w:tc>
        <w:tc>
          <w:tcPr>
            <w:tcW w:w="6710" w:type="dxa"/>
            <w:shd w:val="clear" w:color="auto" w:fill="F5F8F7"/>
            <w:tcMar>
              <w:top w:w="60" w:type="dxa"/>
              <w:left w:w="90" w:type="dxa"/>
              <w:bottom w:w="60" w:type="dxa"/>
              <w:right w:w="90" w:type="dxa"/>
            </w:tcMar>
          </w:tcPr>
          <w:p w14:paraId="1BDDAE9B" w14:textId="77777777" w:rsidR="00BA3083" w:rsidRDefault="00000000">
            <w:pPr>
              <w:spacing w:after="20"/>
            </w:pPr>
            <w:r>
              <w:rPr>
                <w:sz w:val="19"/>
                <w:szCs w:val="19"/>
              </w:rPr>
              <w:t>When a coach has already commented (as Kohl did), the prep brief should explicitly build on their prior comments rather than starting fresh.</w:t>
            </w:r>
          </w:p>
        </w:tc>
      </w:tr>
      <w:tr w:rsidR="00BA3083" w14:paraId="2FEB0FBA" w14:textId="77777777">
        <w:tblPrEx>
          <w:tblCellMar>
            <w:top w:w="0" w:type="dxa"/>
            <w:bottom w:w="0" w:type="dxa"/>
          </w:tblCellMar>
        </w:tblPrEx>
        <w:tc>
          <w:tcPr>
            <w:tcW w:w="2650" w:type="dxa"/>
            <w:tcMar>
              <w:top w:w="60" w:type="dxa"/>
              <w:left w:w="90" w:type="dxa"/>
              <w:bottom w:w="60" w:type="dxa"/>
              <w:right w:w="90" w:type="dxa"/>
            </w:tcMar>
          </w:tcPr>
          <w:p w14:paraId="2CF75902" w14:textId="77777777" w:rsidR="00BA3083" w:rsidRDefault="00000000">
            <w:pPr>
              <w:spacing w:after="20"/>
            </w:pPr>
            <w:r>
              <w:rPr>
                <w:b/>
                <w:bCs/>
                <w:sz w:val="19"/>
                <w:szCs w:val="19"/>
              </w:rPr>
              <w:t>Evidence handling</w:t>
            </w:r>
          </w:p>
        </w:tc>
        <w:tc>
          <w:tcPr>
            <w:tcW w:w="6710" w:type="dxa"/>
            <w:tcMar>
              <w:top w:w="60" w:type="dxa"/>
              <w:left w:w="90" w:type="dxa"/>
              <w:bottom w:w="60" w:type="dxa"/>
              <w:right w:w="90" w:type="dxa"/>
            </w:tcMar>
          </w:tcPr>
          <w:p w14:paraId="281E5D39" w14:textId="77777777" w:rsidR="00BA3083" w:rsidRDefault="00000000">
            <w:pPr>
              <w:spacing w:after="20"/>
            </w:pPr>
            <w:r>
              <w:rPr>
                <w:sz w:val="19"/>
                <w:szCs w:val="19"/>
              </w:rPr>
              <w:t>Distinguish "cited" from "supplied" in every evidence record; here the entire impact case rests on 6 unsupplied papers.</w:t>
            </w:r>
          </w:p>
        </w:tc>
      </w:tr>
      <w:tr w:rsidR="00BA3083" w14:paraId="7B19CEA1" w14:textId="77777777">
        <w:tblPrEx>
          <w:tblCellMar>
            <w:top w:w="0" w:type="dxa"/>
            <w:bottom w:w="0" w:type="dxa"/>
          </w:tblCellMar>
        </w:tblPrEx>
        <w:tc>
          <w:tcPr>
            <w:tcW w:w="2650" w:type="dxa"/>
            <w:shd w:val="clear" w:color="auto" w:fill="F5F8F7"/>
            <w:tcMar>
              <w:top w:w="60" w:type="dxa"/>
              <w:left w:w="90" w:type="dxa"/>
              <w:bottom w:w="60" w:type="dxa"/>
              <w:right w:w="90" w:type="dxa"/>
            </w:tcMar>
          </w:tcPr>
          <w:p w14:paraId="67C71900" w14:textId="77777777" w:rsidR="00BA3083" w:rsidRDefault="00000000">
            <w:pPr>
              <w:spacing w:after="20"/>
            </w:pPr>
            <w:r>
              <w:rPr>
                <w:b/>
                <w:bCs/>
                <w:sz w:val="19"/>
                <w:szCs w:val="19"/>
              </w:rPr>
              <w:t>Repository structure</w:t>
            </w:r>
          </w:p>
        </w:tc>
        <w:tc>
          <w:tcPr>
            <w:tcW w:w="6710" w:type="dxa"/>
            <w:shd w:val="clear" w:color="auto" w:fill="F5F8F7"/>
            <w:tcMar>
              <w:top w:w="60" w:type="dxa"/>
              <w:left w:w="90" w:type="dxa"/>
              <w:bottom w:w="60" w:type="dxa"/>
              <w:right w:w="90" w:type="dxa"/>
            </w:tcMar>
          </w:tcPr>
          <w:p w14:paraId="5C170B4F" w14:textId="77777777" w:rsidR="00BA3083" w:rsidRDefault="00000000">
            <w:pPr>
              <w:spacing w:after="20"/>
            </w:pPr>
            <w:r>
              <w:rPr>
                <w:sz w:val="19"/>
                <w:szCs w:val="19"/>
              </w:rPr>
              <w:t>Add a cross-track heuristic library; "agent network as delivery black box" and "insurance pool viability" are portfolio-level patterns, not track-specific.</w:t>
            </w:r>
          </w:p>
        </w:tc>
      </w:tr>
    </w:tbl>
    <w:p w14:paraId="2818FD23" w14:textId="77777777" w:rsidR="00BA3083" w:rsidRDefault="00000000">
      <w:pPr>
        <w:pStyle w:val="Heading2"/>
        <w:spacing w:before="220" w:after="100"/>
      </w:pPr>
      <w:bookmarkStart w:id="43" w:name="_Toc234870993"/>
      <w:r>
        <w:t>7.2 Highest-value OS change</w:t>
      </w:r>
      <w:bookmarkEnd w:id="43"/>
    </w:p>
    <w:p w14:paraId="61B3EAEC" w14:textId="77777777" w:rsidR="00BA3083" w:rsidRDefault="00000000">
      <w:pPr>
        <w:spacing w:after="110" w:line="264" w:lineRule="auto"/>
        <w:ind w:left="120"/>
      </w:pPr>
      <w:proofErr w:type="gramStart"/>
      <w:r>
        <w:rPr>
          <w:b/>
          <w:bCs/>
          <w:color w:val="8A6D00"/>
          <w:sz w:val="17"/>
          <w:szCs w:val="17"/>
        </w:rPr>
        <w:t xml:space="preserve">RECOMMENDATION  </w:t>
      </w:r>
      <w:r>
        <w:t>Adopt</w:t>
      </w:r>
      <w:proofErr w:type="gramEnd"/>
      <w:r>
        <w:t xml:space="preserve"> the </w:t>
      </w:r>
      <w:r>
        <w:rPr>
          <w:b/>
          <w:bCs/>
        </w:rPr>
        <w:t>technical-readiness vs. scaling-readiness divergence check</w:t>
      </w:r>
      <w:r>
        <w:t xml:space="preserve"> as a standard gate input. This single addition would have surfaced this track's central issue automatically — a readiness/use score of 9 sitting next to an unevidenced scaling-system — and it </w:t>
      </w:r>
      <w:proofErr w:type="spellStart"/>
      <w:r>
        <w:t>generalises</w:t>
      </w:r>
      <w:proofErr w:type="spellEnd"/>
      <w:r>
        <w:t xml:space="preserve"> to the whole portfolio.</w:t>
      </w:r>
    </w:p>
    <w:p w14:paraId="4E485D50" w14:textId="77777777" w:rsidR="00BA3083" w:rsidRDefault="00000000">
      <w:pPr>
        <w:pStyle w:val="Heading2"/>
        <w:spacing w:before="220" w:after="100"/>
      </w:pPr>
      <w:bookmarkStart w:id="44" w:name="_Toc234870994"/>
      <w:r>
        <w:t>7.3 Assessor's provenance note</w:t>
      </w:r>
      <w:bookmarkEnd w:id="44"/>
    </w:p>
    <w:p w14:paraId="4930B063" w14:textId="77777777" w:rsidR="00BA3083" w:rsidRDefault="00000000">
      <w:pPr>
        <w:spacing w:after="120" w:line="264" w:lineRule="auto"/>
      </w:pPr>
      <w:r>
        <w:t xml:space="preserve">Every claim above traces to the supplied EoI, Profile, deck, minutes, or transcript, or is explicitly tagged </w:t>
      </w:r>
      <w:r>
        <w:rPr>
          <w:b/>
          <w:bCs/>
        </w:rPr>
        <w:t>INTERPRETATION / JUDGEMENT / UNKNOWN</w:t>
      </w:r>
      <w:r>
        <w:t xml:space="preserve">. No facts were introduced from outside the evidence base. The six cited academic papers were treated as </w:t>
      </w:r>
      <w:r>
        <w:rPr>
          <w:b/>
          <w:bCs/>
        </w:rPr>
        <w:t>asserted, not verified</w:t>
      </w:r>
      <w:r>
        <w:t>. This document is a working analysis; per repository governance it makes recommendations only and edits no repository object.</w:t>
      </w:r>
    </w:p>
    <w:sectPr w:rsidR="00BA3083">
      <w:headerReference w:type="default" r:id="rId7"/>
      <w:footerReference w:type="default" r:id="rId8"/>
      <w:pgSz w:w="12240" w:h="15840"/>
      <w:pgMar w:top="11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41E568" w14:textId="77777777" w:rsidR="00B75A4D" w:rsidRDefault="00B75A4D">
      <w:r>
        <w:separator/>
      </w:r>
    </w:p>
  </w:endnote>
  <w:endnote w:type="continuationSeparator" w:id="0">
    <w:p w14:paraId="107B4603" w14:textId="77777777" w:rsidR="00B75A4D" w:rsidRDefault="00B75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D9E8AC" w14:textId="77777777" w:rsidR="00BA3083" w:rsidRDefault="00000000">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7B04B1">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7B04B1">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20E383" w14:textId="77777777" w:rsidR="00B75A4D" w:rsidRDefault="00B75A4D">
      <w:r>
        <w:separator/>
      </w:r>
    </w:p>
  </w:footnote>
  <w:footnote w:type="continuationSeparator" w:id="0">
    <w:p w14:paraId="67E22619" w14:textId="77777777" w:rsidR="00B75A4D" w:rsidRDefault="00B75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B54FDC" w14:textId="77777777" w:rsidR="00BA3083" w:rsidRDefault="00000000">
    <w:pPr>
      <w:pBdr>
        <w:bottom w:val="single" w:sz="4" w:space="4" w:color="D8E2DE"/>
      </w:pBdr>
      <w:jc w:val="right"/>
    </w:pPr>
    <w:r>
      <w:rPr>
        <w:color w:val="5A5A5A"/>
        <w:sz w:val="15"/>
        <w:szCs w:val="15"/>
      </w:rPr>
      <w:t>Scaling Intelligence · DFS Kenya &amp; India · Working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5D4FE8"/>
    <w:multiLevelType w:val="hybridMultilevel"/>
    <w:tmpl w:val="955C837A"/>
    <w:lvl w:ilvl="0" w:tplc="5ACCD7D6">
      <w:start w:val="1"/>
      <w:numFmt w:val="decimal"/>
      <w:lvlText w:val="%1."/>
      <w:lvlJc w:val="left"/>
      <w:pPr>
        <w:ind w:left="460" w:hanging="260"/>
      </w:pPr>
      <w:rPr>
        <w:b/>
        <w:bCs/>
        <w:color w:val="1B5E4F"/>
      </w:rPr>
    </w:lvl>
    <w:lvl w:ilvl="1" w:tplc="CFA459B2">
      <w:numFmt w:val="decimal"/>
      <w:lvlText w:val=""/>
      <w:lvlJc w:val="left"/>
    </w:lvl>
    <w:lvl w:ilvl="2" w:tplc="75E65628">
      <w:numFmt w:val="decimal"/>
      <w:lvlText w:val=""/>
      <w:lvlJc w:val="left"/>
    </w:lvl>
    <w:lvl w:ilvl="3" w:tplc="99A4A01C">
      <w:numFmt w:val="decimal"/>
      <w:lvlText w:val=""/>
      <w:lvlJc w:val="left"/>
    </w:lvl>
    <w:lvl w:ilvl="4" w:tplc="04A8DF1C">
      <w:numFmt w:val="decimal"/>
      <w:lvlText w:val=""/>
      <w:lvlJc w:val="left"/>
    </w:lvl>
    <w:lvl w:ilvl="5" w:tplc="B6FC5E1C">
      <w:numFmt w:val="decimal"/>
      <w:lvlText w:val=""/>
      <w:lvlJc w:val="left"/>
    </w:lvl>
    <w:lvl w:ilvl="6" w:tplc="AACA87DC">
      <w:numFmt w:val="decimal"/>
      <w:lvlText w:val=""/>
      <w:lvlJc w:val="left"/>
    </w:lvl>
    <w:lvl w:ilvl="7" w:tplc="A6DCD584">
      <w:numFmt w:val="decimal"/>
      <w:lvlText w:val=""/>
      <w:lvlJc w:val="left"/>
    </w:lvl>
    <w:lvl w:ilvl="8" w:tplc="A86E01DC">
      <w:numFmt w:val="decimal"/>
      <w:lvlText w:val=""/>
      <w:lvlJc w:val="left"/>
    </w:lvl>
  </w:abstractNum>
  <w:abstractNum w:abstractNumId="1" w15:restartNumberingAfterBreak="0">
    <w:nsid w:val="5AB645DB"/>
    <w:multiLevelType w:val="hybridMultilevel"/>
    <w:tmpl w:val="6B88BF14"/>
    <w:lvl w:ilvl="0" w:tplc="10F010DC">
      <w:start w:val="1"/>
      <w:numFmt w:val="bullet"/>
      <w:lvlText w:val="•"/>
      <w:lvlJc w:val="left"/>
      <w:pPr>
        <w:ind w:left="460" w:hanging="230"/>
      </w:pPr>
      <w:rPr>
        <w:color w:val="1B5E4F"/>
      </w:rPr>
    </w:lvl>
    <w:lvl w:ilvl="1" w:tplc="0886635E">
      <w:start w:val="1"/>
      <w:numFmt w:val="bullet"/>
      <w:lvlText w:val="–"/>
      <w:lvlJc w:val="left"/>
      <w:pPr>
        <w:ind w:left="900" w:hanging="230"/>
      </w:pPr>
    </w:lvl>
    <w:lvl w:ilvl="2" w:tplc="7F40372C">
      <w:numFmt w:val="decimal"/>
      <w:lvlText w:val=""/>
      <w:lvlJc w:val="left"/>
    </w:lvl>
    <w:lvl w:ilvl="3" w:tplc="1F7086A8">
      <w:numFmt w:val="decimal"/>
      <w:lvlText w:val=""/>
      <w:lvlJc w:val="left"/>
    </w:lvl>
    <w:lvl w:ilvl="4" w:tplc="6862041C">
      <w:numFmt w:val="decimal"/>
      <w:lvlText w:val=""/>
      <w:lvlJc w:val="left"/>
    </w:lvl>
    <w:lvl w:ilvl="5" w:tplc="2940C560">
      <w:numFmt w:val="decimal"/>
      <w:lvlText w:val=""/>
      <w:lvlJc w:val="left"/>
    </w:lvl>
    <w:lvl w:ilvl="6" w:tplc="73168CF2">
      <w:numFmt w:val="decimal"/>
      <w:lvlText w:val=""/>
      <w:lvlJc w:val="left"/>
    </w:lvl>
    <w:lvl w:ilvl="7" w:tplc="83D61D32">
      <w:numFmt w:val="decimal"/>
      <w:lvlText w:val=""/>
      <w:lvlJc w:val="left"/>
    </w:lvl>
    <w:lvl w:ilvl="8" w:tplc="59DA86EE">
      <w:numFmt w:val="decimal"/>
      <w:lvlText w:val=""/>
      <w:lvlJc w:val="left"/>
    </w:lvl>
  </w:abstractNum>
  <w:abstractNum w:abstractNumId="2" w15:restartNumberingAfterBreak="0">
    <w:nsid w:val="60DE7906"/>
    <w:multiLevelType w:val="hybridMultilevel"/>
    <w:tmpl w:val="803038BC"/>
    <w:lvl w:ilvl="0" w:tplc="D2A0DDD6">
      <w:start w:val="1"/>
      <w:numFmt w:val="bullet"/>
      <w:lvlText w:val="●"/>
      <w:lvlJc w:val="left"/>
      <w:pPr>
        <w:ind w:left="720" w:hanging="360"/>
      </w:pPr>
    </w:lvl>
    <w:lvl w:ilvl="1" w:tplc="EBCA4418">
      <w:start w:val="1"/>
      <w:numFmt w:val="bullet"/>
      <w:lvlText w:val="○"/>
      <w:lvlJc w:val="left"/>
      <w:pPr>
        <w:ind w:left="1440" w:hanging="360"/>
      </w:pPr>
    </w:lvl>
    <w:lvl w:ilvl="2" w:tplc="C03C5204">
      <w:start w:val="1"/>
      <w:numFmt w:val="bullet"/>
      <w:lvlText w:val="■"/>
      <w:lvlJc w:val="left"/>
      <w:pPr>
        <w:ind w:left="2160" w:hanging="360"/>
      </w:pPr>
    </w:lvl>
    <w:lvl w:ilvl="3" w:tplc="E2289E56">
      <w:start w:val="1"/>
      <w:numFmt w:val="bullet"/>
      <w:lvlText w:val="●"/>
      <w:lvlJc w:val="left"/>
      <w:pPr>
        <w:ind w:left="2880" w:hanging="360"/>
      </w:pPr>
    </w:lvl>
    <w:lvl w:ilvl="4" w:tplc="EA6258E8">
      <w:start w:val="1"/>
      <w:numFmt w:val="bullet"/>
      <w:lvlText w:val="○"/>
      <w:lvlJc w:val="left"/>
      <w:pPr>
        <w:ind w:left="3600" w:hanging="360"/>
      </w:pPr>
    </w:lvl>
    <w:lvl w:ilvl="5" w:tplc="4EC8AA20">
      <w:start w:val="1"/>
      <w:numFmt w:val="bullet"/>
      <w:lvlText w:val="■"/>
      <w:lvlJc w:val="left"/>
      <w:pPr>
        <w:ind w:left="4320" w:hanging="360"/>
      </w:pPr>
    </w:lvl>
    <w:lvl w:ilvl="6" w:tplc="1DEAF842">
      <w:start w:val="1"/>
      <w:numFmt w:val="bullet"/>
      <w:lvlText w:val="●"/>
      <w:lvlJc w:val="left"/>
      <w:pPr>
        <w:ind w:left="5040" w:hanging="360"/>
      </w:pPr>
    </w:lvl>
    <w:lvl w:ilvl="7" w:tplc="975086A6">
      <w:start w:val="1"/>
      <w:numFmt w:val="bullet"/>
      <w:lvlText w:val="●"/>
      <w:lvlJc w:val="left"/>
      <w:pPr>
        <w:ind w:left="5760" w:hanging="360"/>
      </w:pPr>
    </w:lvl>
    <w:lvl w:ilvl="8" w:tplc="FA845DA8">
      <w:start w:val="1"/>
      <w:numFmt w:val="bullet"/>
      <w:lvlText w:val="●"/>
      <w:lvlJc w:val="left"/>
      <w:pPr>
        <w:ind w:left="6480" w:hanging="360"/>
      </w:pPr>
    </w:lvl>
  </w:abstractNum>
  <w:num w:numId="1" w16cid:durableId="476731375">
    <w:abstractNumId w:val="2"/>
    <w:lvlOverride w:ilvl="0">
      <w:startOverride w:val="1"/>
    </w:lvlOverride>
  </w:num>
  <w:num w:numId="2" w16cid:durableId="451479199">
    <w:abstractNumId w:val="1"/>
    <w:lvlOverride w:ilvl="0">
      <w:startOverride w:val="1"/>
    </w:lvlOverride>
  </w:num>
  <w:num w:numId="3" w16cid:durableId="16614988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083"/>
    <w:rsid w:val="00233EFC"/>
    <w:rsid w:val="007B04B1"/>
    <w:rsid w:val="00B75A4D"/>
    <w:rsid w:val="00BA3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07DE09"/>
  <w15:docId w15:val="{B98FC284-D88F-2240-B4B3-0FEE830D9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B5E4F"/>
      <w:sz w:val="30"/>
      <w:szCs w:val="30"/>
    </w:rPr>
  </w:style>
  <w:style w:type="paragraph" w:styleId="Heading2">
    <w:name w:val="heading 2"/>
    <w:uiPriority w:val="9"/>
    <w:unhideWhenUsed/>
    <w:qFormat/>
    <w:pPr>
      <w:outlineLvl w:val="1"/>
    </w:pPr>
    <w:rPr>
      <w:b/>
      <w:bCs/>
      <w:sz w:val="25"/>
      <w:szCs w:val="25"/>
    </w:rPr>
  </w:style>
  <w:style w:type="paragraph" w:styleId="Heading3">
    <w:name w:val="heading 3"/>
    <w:uiPriority w:val="9"/>
    <w:unhideWhenUsed/>
    <w:qFormat/>
    <w:pPr>
      <w:outlineLvl w:val="2"/>
    </w:pPr>
    <w:rPr>
      <w:b/>
      <w:bCs/>
      <w:color w:val="6A1B9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04B1"/>
    <w:pPr>
      <w:spacing w:after="100"/>
    </w:pPr>
  </w:style>
  <w:style w:type="paragraph" w:styleId="TOC2">
    <w:name w:val="toc 2"/>
    <w:basedOn w:val="Normal"/>
    <w:next w:val="Normal"/>
    <w:autoRedefine/>
    <w:uiPriority w:val="39"/>
    <w:unhideWhenUsed/>
    <w:rsid w:val="007B04B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4997</Words>
  <Characters>30116</Characters>
  <Application>Microsoft Office Word</Application>
  <DocSecurity>0</DocSecurity>
  <Lines>810</Lines>
  <Paragraphs>522</Paragraphs>
  <ScaleCrop>false</ScaleCrop>
  <Company/>
  <LinksUpToDate>false</LinksUpToDate>
  <CharactersWithSpaces>34712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Intelligence Assessment — Bundled DFS Kenya &amp; India</dc:title>
  <dc:creator>Scaling Intelligence Operating System</dc:creator>
  <cp:lastModifiedBy>Girvetz, Evan (Alliance Bioversity-CIAT)</cp:lastModifiedBy>
  <cp:revision>2</cp:revision>
  <dcterms:created xsi:type="dcterms:W3CDTF">2026-07-14T02:36:00Z</dcterms:created>
  <dcterms:modified xsi:type="dcterms:W3CDTF">2026-07-14T02:36:00Z</dcterms:modified>
</cp:coreProperties>
</file>