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9EAD97" wp14:paraId="78B2CDE7" wp14:textId="1B4F4B1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Meeting Note: S4I Scaling Track Review - Shamba Shape Up / Munda Makeover</w:t>
      </w:r>
    </w:p>
    <w:p xmlns:wp14="http://schemas.microsoft.com/office/word/2010/wordml" w:rsidP="769EAD97" wp14:paraId="7DFA1106" wp14:textId="68F13B63">
      <w:pPr>
        <w:shd w:val="clear" w:color="auto" w:fill="FFFFFF" w:themeFill="background1"/>
        <w:spacing w:before="240" w:beforeAutospacing="off" w:after="240" w:afterAutospacing="off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Date: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January 29, 2026</w:t>
      </w:r>
      <w:r>
        <w:br/>
      </w: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Time: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1:07 PM</w:t>
      </w:r>
      <w:r>
        <w:br/>
      </w: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Attendees: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Evan Girvetz (Chair), Pedro Chilambe (Presenter), Majambo Gamoyo, Richard Kohl, Marcel Gatto, Tim Krupnik, others from Alliance Bioversity-CIAT &amp; CGIAR.</w:t>
      </w:r>
    </w:p>
    <w:p xmlns:wp14="http://schemas.microsoft.com/office/word/2010/wordml" w:rsidP="769EAD97" wp14:paraId="194F5AAB" wp14:textId="581EAEE5">
      <w:pPr>
        <w:shd w:val="clear" w:color="auto" w:fill="FFFFFF" w:themeFill="background1"/>
        <w:spacing w:before="240" w:beforeAutospacing="off" w:after="240" w:afterAutospacing="off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1. Presentation Summary: Scaling Edutainment for Agricultural Impact</w:t>
      </w:r>
      <w:r>
        <w:br/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Presenter </w:t>
      </w: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Pedro Chilambe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outlined the scaling track for the Shamba Shape Up (Kenya) and Munda Makeover (Zambia) edutainment platforms.</w:t>
      </w:r>
    </w:p>
    <w:p xmlns:wp14="http://schemas.microsoft.com/office/word/2010/wordml" w:rsidP="769EAD97" wp14:paraId="1D039D82" wp14:textId="24A57F1D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Objective: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Scale a proven model for delivering agricultural advisory services via TV to 20 million households across East Africa by 2030, with an interim target of 16 million by 2028.</w:t>
      </w:r>
    </w:p>
    <w:p xmlns:wp14="http://schemas.microsoft.com/office/word/2010/wordml" w:rsidP="769EAD97" wp14:paraId="4C569AF7" wp14:textId="743D4984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Current Reach: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~8 million viewers in Kenya, ~2.3 million in Zambia.</w:t>
      </w:r>
    </w:p>
    <w:p xmlns:wp14="http://schemas.microsoft.com/office/word/2010/wordml" w:rsidP="769EAD97" wp14:paraId="7FA0114E" wp14:textId="347C936A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Evidence of Impact: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Cited a University of Reading study showing 428,000 Kenyan households adopted new dairy practices, leading to a $24M net increase in production. In Zambia, 93% of viewers reported making farming changes.</w:t>
      </w:r>
    </w:p>
    <w:p xmlns:wp14="http://schemas.microsoft.com/office/word/2010/wordml" w:rsidP="769EAD97" wp14:paraId="1CC67B5A" wp14:textId="4B2A915C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Scaling Strategy:</w:t>
      </w:r>
    </w:p>
    <w:p xmlns:wp14="http://schemas.microsoft.com/office/word/2010/wordml" w:rsidP="769EAD97" wp14:paraId="6D32C94E" wp14:textId="7D45AEEA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Geographic Expansion: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Consolidate in Kenya &amp; Zambia, expand in Uganda, and introduce the model to Ethiopia.</w:t>
      </w:r>
    </w:p>
    <w:p xmlns:wp14="http://schemas.microsoft.com/office/word/2010/wordml" w:rsidP="769EAD97" wp14:paraId="17793988" wp14:textId="0F66C348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New Pathway Test: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Develop a </w:t>
      </w: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Content Generation Platform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to curate and repurpose scientific research into accessible content for broader dissemination.</w:t>
      </w:r>
    </w:p>
    <w:p xmlns:wp14="http://schemas.microsoft.com/office/word/2010/wordml" w:rsidP="769EAD97" wp14:paraId="1AA89813" wp14:textId="4A879B94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Channel Diversification: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Leverage iShamba/iMunda SMS services, social media (short reels, YouTube, Facebook), and explore radio and AI-powered tools.</w:t>
      </w:r>
    </w:p>
    <w:p xmlns:wp14="http://schemas.microsoft.com/office/word/2010/wordml" w:rsidP="769EAD97" wp14:paraId="04E7AF7E" wp14:textId="560B0E39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2026 Focus: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Consolidate learnings from 15+ seasons of KAP studies, produce content for other S4I scaling tracks, and establish the content platform.</w:t>
      </w:r>
    </w:p>
    <w:p xmlns:wp14="http://schemas.microsoft.com/office/word/2010/wordml" w:rsidP="769EAD97" wp14:paraId="301AFB32" wp14:textId="4E3B4B69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Financial Model: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In Kenya, ~60% of costs are covered by private sector partnerships (agribusinesses featuring solutions). In Zambia, funding is still primarily from development partners, with a goal to replicate Kenya's sustainable model.</w:t>
      </w:r>
    </w:p>
    <w:p xmlns:wp14="http://schemas.microsoft.com/office/word/2010/wordml" w:rsidP="769EAD97" wp14:paraId="62C9803D" wp14:textId="0BBD5054">
      <w:pPr>
        <w:shd w:val="clear" w:color="auto" w:fill="FFFFFF" w:themeFill="background1"/>
        <w:spacing w:before="240" w:beforeAutospacing="off" w:after="240" w:afterAutospacing="off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2. Key Questions &amp; Discussion Points</w:t>
      </w:r>
    </w:p>
    <w:p xmlns:wp14="http://schemas.microsoft.com/office/word/2010/wordml" w:rsidP="769EAD97" wp14:paraId="20640BB9" wp14:textId="2F7060B8">
      <w:pPr>
        <w:shd w:val="clear" w:color="auto" w:fill="FFFFFF" w:themeFill="background1"/>
        <w:spacing w:before="240" w:beforeAutospacing="off" w:after="240" w:afterAutospacing="off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A. Financial Sustainability &amp; Ownership (Post-S4I):</w:t>
      </w:r>
    </w:p>
    <w:p xmlns:wp14="http://schemas.microsoft.com/office/word/2010/wordml" w:rsidP="769EAD97" wp14:paraId="7E42A540" wp14:textId="27D35D42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Who pays long-term, and what is the sustainable cost-recovery model after S4I funding ends?</w:t>
      </w:r>
    </w:p>
    <w:p xmlns:wp14="http://schemas.microsoft.com/office/word/2010/wordml" w:rsidP="769EAD97" wp14:paraId="77B84BFE" wp14:textId="4DD3B58E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The goal is a blended model. Success in Kenya shows private sector agribusinesses will pay to feature solutions, covering a significant portion of production. The aim is to replicate this in newer markets like Zambia. Development partners may still fund specific thematic content.</w:t>
      </w:r>
    </w:p>
    <w:p xmlns:wp14="http://schemas.microsoft.com/office/word/2010/wordml" w:rsidP="769EAD97" wp14:paraId="4BF49557" wp14:textId="4F0DBD08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Who will own and maintain the content platform?</w:t>
      </w:r>
    </w:p>
    <w:p xmlns:wp14="http://schemas.microsoft.com/office/word/2010/wordml" w:rsidP="769EAD97" wp14:paraId="54223557" wp14:textId="2F373CB3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Not explicitly addressed. Requires clarification on long-term ownership (Mediae, CGIAR, government, hybrid).</w:t>
      </w:r>
    </w:p>
    <w:p xmlns:wp14="http://schemas.microsoft.com/office/word/2010/wordml" w:rsidP="769EAD97" wp14:paraId="677D15DD" wp14:textId="79321B20">
      <w:pPr>
        <w:shd w:val="clear" w:color="auto" w:fill="FFFFFF" w:themeFill="background1"/>
        <w:spacing w:before="240" w:beforeAutospacing="off" w:after="240" w:afterAutospacing="off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B. Effectiveness, Inclusivity &amp; Pathways to Impact:</w:t>
      </w:r>
    </w:p>
    <w:p xmlns:wp14="http://schemas.microsoft.com/office/word/2010/wordml" w:rsidP="769EAD97" wp14:paraId="357EAAA1" wp14:textId="6869B925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Is the focus on "reach" sufficient? How do we move to measured adoption of specific practices?</w:t>
      </w:r>
    </w:p>
    <w:p xmlns:wp14="http://schemas.microsoft.com/office/word/2010/wordml" w:rsidP="769EAD97" wp14:paraId="36752F79" wp14:textId="16E35665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The team acknowledges the need to delve deeper. There is a large repository of longitudinal KAP data (15+ seasons) that needs analysis to understand adoption trends for specific innovations and identify barriers.</w:t>
      </w:r>
    </w:p>
    <w:p xmlns:wp14="http://schemas.microsoft.com/office/word/2010/wordml" w:rsidP="769EAD97" wp14:paraId="487BFF98" wp14:textId="58616B8E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The platform historically reaches better-off farmers. How is inclusivity addressed?</w:t>
      </w:r>
    </w:p>
    <w:p xmlns:wp14="http://schemas.microsoft.com/office/word/2010/wordml" w:rsidP="769EAD97" wp14:paraId="442B10D7" wp14:textId="155EBB33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Efforts include gender-transformative content training, programs for youth, and diversifying delivery channels (SMS, roadshows, radio) to reach those without TVs. Roadshows also included input marketplaces to improve access.</w:t>
      </w:r>
    </w:p>
    <w:p xmlns:wp14="http://schemas.microsoft.com/office/word/2010/wordml" w:rsidP="769EAD97" wp14:paraId="6720AC0D" wp14:textId="239CBD74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How does this compare to other extension channels (digital Green, AI chatbots, public extension)?</w:t>
      </w:r>
    </w:p>
    <w:p xmlns:wp14="http://schemas.microsoft.com/office/word/2010/wordml" w:rsidP="769EAD97" wp14:paraId="3671F0DA" wp14:textId="2967B18B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Internal KAP surveys consistently show farmers prefer and find TV/video demonstrations more useful than radio or text. A formal comparative analysis with other digital channels was suggested as a valuable addition.</w:t>
      </w:r>
    </w:p>
    <w:p xmlns:wp14="http://schemas.microsoft.com/office/word/2010/wordml" w:rsidP="769EAD97" wp14:paraId="50F6409C" wp14:textId="20C7A573">
      <w:pPr>
        <w:shd w:val="clear" w:color="auto" w:fill="FFFFFF" w:themeFill="background1"/>
        <w:spacing w:before="240" w:beforeAutospacing="off" w:after="240" w:afterAutospacing="off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C. Learning, Evaluation &amp; S4I Additionality:</w:t>
      </w:r>
    </w:p>
    <w:p xmlns:wp14="http://schemas.microsoft.com/office/word/2010/wordml" w:rsidP="769EAD97" wp14:paraId="50C76A55" wp14:textId="02B354A3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How can AoW5 support rapid evaluation and adaptive learning (e.g., A/B testing, quasi-experimental designs)?</w:t>
      </w:r>
    </w:p>
    <w:p xmlns:wp14="http://schemas.microsoft.com/office/word/2010/wordml" w:rsidP="769EAD97" wp14:paraId="488CC9C8" wp14:textId="4328C0BA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There is a major opportunity for a longitudinal analysis of existing KAP data to generate intelligence on what works. The real-time nature of SMS feedback (iShamba) also offers potential for rapid testing cycles. Collaboration with AoW5 was encouraged.</w:t>
      </w:r>
    </w:p>
    <w:p xmlns:wp14="http://schemas.microsoft.com/office/word/2010/wordml" w:rsidP="769EAD97" wp14:paraId="29A44B26" wp14:textId="01DFB73F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Can we "learn from failure" and test channel combinations for complex innovations?</w:t>
      </w:r>
    </w:p>
    <w:p xmlns:wp14="http://schemas.microsoft.com/office/word/2010/wordml" w:rsidP="769EAD97" wp14:paraId="14D80211" wp14:textId="3B58F937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This aligns with the proposed deeper dive into KAP data and the experimentation with new channels (social media, AI). Structured learning agendas are needed.</w:t>
      </w:r>
    </w:p>
    <w:p xmlns:wp14="http://schemas.microsoft.com/office/word/2010/wordml" w:rsidP="769EAD97" wp14:paraId="368C770A" wp14:textId="59D1C026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What is the clear S4I additionality? What wouldn't happen without it?</w:t>
      </w:r>
    </w:p>
    <w:p xmlns:wp14="http://schemas.microsoft.com/office/word/2010/wordml" w:rsidP="769EAD97" wp14:paraId="172074DF" wp14:textId="6868E262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S4I enables testing a new scaling pathway (the Content Generation Platform), systematic cross-country learning, strengthening scientific rigor in content, and potentially faster transition to financial sustainability in new regions.</w:t>
      </w:r>
    </w:p>
    <w:p xmlns:wp14="http://schemas.microsoft.com/office/word/2010/wordml" w:rsidP="769EAD97" wp14:paraId="728BB1B5" wp14:textId="35E5B488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Q: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What does success look like in 2026 and 2028?</w:t>
      </w:r>
    </w:p>
    <w:p xmlns:wp14="http://schemas.microsoft.com/office/word/2010/wordml" w:rsidP="769EAD97" wp14:paraId="3D84A139" wp14:textId="339BEDAF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A:</w:t>
      </w:r>
    </w:p>
    <w:p xmlns:wp14="http://schemas.microsoft.com/office/word/2010/wordml" w:rsidP="769EAD97" wp14:paraId="57946F4C" wp14:textId="60D16083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2026: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Successful launch and initial use of the content generation platform. Consolidated learning from past data.</w:t>
      </w:r>
    </w:p>
    <w:p xmlns:wp14="http://schemas.microsoft.com/office/word/2010/wordml" w:rsidP="769EAD97" wp14:paraId="75B3CD83" wp14:textId="40963DA9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2028: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Platform actively feeding multiple dissemination channels (TV, social, AI tools). Viewer base reaches 16 million. Clear evidence of a sustainable, multi-channel model emerging.</w:t>
      </w:r>
    </w:p>
    <w:p xmlns:wp14="http://schemas.microsoft.com/office/word/2010/wordml" w:rsidP="769EAD97" wp14:paraId="7F7C27B8" wp14:textId="654BE244">
      <w:pPr>
        <w:shd w:val="clear" w:color="auto" w:fill="FFFFFF" w:themeFill="background1"/>
        <w:spacing w:before="240" w:beforeAutospacing="off" w:after="240" w:afterAutospacing="off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D. Operational &amp; Strategic Points:</w:t>
      </w:r>
    </w:p>
    <w:p xmlns:wp14="http://schemas.microsoft.com/office/word/2010/wordml" w:rsidP="769EAD97" wp14:paraId="0471F8A4" wp14:textId="1F61B3B4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Influencers: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Brief discussion on using social media influencers or celebrity ambassadors (e.g., athletes) to amplify reach. This remains an area for exploration.</w:t>
      </w:r>
    </w:p>
    <w:p xmlns:wp14="http://schemas.microsoft.com/office/word/2010/wordml" w:rsidP="769EAD97" wp14:paraId="0C55CFD1" wp14:textId="43BA8A24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Process for Innovations: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 request was made to define a clear process for how other CGIAR innovations or partners can engage to have their solutions featured on the platform.</w:t>
      </w:r>
    </w:p>
    <w:p xmlns:wp14="http://schemas.microsoft.com/office/word/2010/wordml" w:rsidP="769EAD97" wp14:paraId="68EDFC8A" wp14:textId="3789317C">
      <w:pPr>
        <w:shd w:val="clear" w:color="auto" w:fill="FFFFFF" w:themeFill="background1"/>
        <w:spacing w:before="240" w:beforeAutospacing="off" w:after="240" w:afterAutospacing="off"/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 Action Items &amp; Next Steps</w:t>
      </w:r>
    </w:p>
    <w:p xmlns:wp14="http://schemas.microsoft.com/office/word/2010/wordml" w:rsidP="769EAD97" wp14:paraId="5C954B8C" wp14:textId="4188CF8F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For Presenting Team:</w:t>
      </w:r>
    </w:p>
    <w:p xmlns:wp14="http://schemas.microsoft.com/office/word/2010/wordml" w:rsidP="769EAD97" wp14:paraId="512D7D93" wp14:textId="2CB9C219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Share presentation deck with S4I management for distribution.</w:t>
      </w:r>
    </w:p>
    <w:p xmlns:wp14="http://schemas.microsoft.com/office/word/2010/wordml" w:rsidP="769EAD97" wp14:paraId="1573612B" wp14:textId="575F0A39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Refine answers to core questions on sustainability, ownership, and S4I-specific outcomes.</w:t>
      </w:r>
    </w:p>
    <w:p xmlns:wp14="http://schemas.microsoft.com/office/word/2010/wordml" w:rsidP="769EAD97" wp14:paraId="6D9FAF59" wp14:textId="7337DA94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Explore collaboration with </w:t>
      </w: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Area of Work 5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on a dynamic learning agenda and evaluation design.</w:t>
      </w:r>
    </w:p>
    <w:p xmlns:wp14="http://schemas.microsoft.com/office/word/2010/wordml" w:rsidP="769EAD97" wp14:paraId="7793B150" wp14:textId="5C8DC534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For S4I Program:</w:t>
      </w:r>
    </w:p>
    <w:p xmlns:wp14="http://schemas.microsoft.com/office/word/2010/wordml" w:rsidP="769EAD97" wp14:paraId="3114A4A3" wp14:textId="309968E4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Synthesize materials into a draft </w:t>
      </w: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Scaling Track Profile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for review.</w:t>
      </w:r>
    </w:p>
    <w:p xmlns:wp14="http://schemas.microsoft.com/office/word/2010/wordml" w:rsidP="769EAD97" wp14:paraId="1A2A7B51" wp14:textId="1195F68A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Schedule follow-up in </w:t>
      </w:r>
      <w:r w:rsidRPr="769EAD97" w:rsidR="26E1C8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April 2026</w:t>
      </w: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to review progress, particularly on evaluation plans and platform development.</w:t>
      </w:r>
    </w:p>
    <w:p xmlns:wp14="http://schemas.microsoft.com/office/word/2010/wordml" w:rsidP="769EAD97" wp14:paraId="392F2074" wp14:textId="7BFF142E">
      <w:pPr>
        <w:pStyle w:val="ListParagraph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69EAD97" w:rsidR="26E1C8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Identify specific support needs from S4I (e.g., scaling strategy, enabling environment analysis for new countries).</w:t>
      </w:r>
    </w:p>
    <w:p xmlns:wp14="http://schemas.microsoft.com/office/word/2010/wordml" wp14:paraId="2C078E63" wp14:textId="37CC81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F95C8B"/>
    <w:rsid w:val="26E1C8C6"/>
    <w:rsid w:val="68F95C8B"/>
    <w:rsid w:val="769EA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5C8B"/>
  <w15:chartTrackingRefBased/>
  <w15:docId w15:val="{D4CFB765-D84A-4BF0-84D1-6E4340B93B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69EAD9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9EAD9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2026-02-03T07:19:27.0883723Z</dcterms:created>
  <dcterms:modified xsi:type="dcterms:W3CDTF">2026-02-03T07:21:07.5520425Z</dcterms:modified>
  <dc:creator>RANA, Md. Masud (CIMMYT-Bangladesh)</dc:creator>
  <lastModifiedBy>RANA, Md. Masud (CIMMYT-Bangladesh)</lastModifiedBy>
</coreProperties>
</file>