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0837" w14:textId="77777777" w:rsidR="0046180A" w:rsidRPr="0046180A" w:rsidRDefault="0046180A" w:rsidP="0029293D">
      <w:pPr>
        <w:spacing w:after="0" w:line="240" w:lineRule="auto"/>
        <w:contextualSpacing/>
        <w:rPr>
          <w:rFonts w:ascii="Aptos" w:hAnsi="Aptos"/>
          <w:sz w:val="22"/>
          <w:szCs w:val="22"/>
        </w:rPr>
      </w:pPr>
      <w:r w:rsidRPr="0046180A">
        <w:rPr>
          <w:rFonts w:ascii="Aptos" w:hAnsi="Aptos"/>
          <w:sz w:val="22"/>
          <w:szCs w:val="22"/>
        </w:rPr>
        <w:t>Scaling Track: Mechanized DSR + ZT Wheat – IRRI</w:t>
      </w:r>
    </w:p>
    <w:p w14:paraId="78015591" w14:textId="77777777" w:rsidR="0046180A" w:rsidRPr="0046180A" w:rsidRDefault="0046180A" w:rsidP="0029293D">
      <w:pPr>
        <w:spacing w:after="0" w:line="240" w:lineRule="auto"/>
        <w:contextualSpacing/>
        <w:rPr>
          <w:rFonts w:ascii="Aptos" w:hAnsi="Aptos"/>
          <w:sz w:val="22"/>
          <w:szCs w:val="22"/>
        </w:rPr>
      </w:pPr>
      <w:r w:rsidRPr="0046180A">
        <w:rPr>
          <w:rFonts w:ascii="Aptos" w:hAnsi="Aptos"/>
          <w:sz w:val="22"/>
          <w:szCs w:val="22"/>
        </w:rPr>
        <w:t>Countries: India (Eastern Uttar Pradesh, Indo-Gangetic Plains)</w:t>
      </w:r>
    </w:p>
    <w:p w14:paraId="2D2A0049" w14:textId="77777777" w:rsidR="0046180A" w:rsidRDefault="0046180A" w:rsidP="0029293D">
      <w:pPr>
        <w:spacing w:after="0" w:line="240" w:lineRule="auto"/>
        <w:contextualSpacing/>
        <w:rPr>
          <w:rFonts w:ascii="Aptos" w:hAnsi="Aptos"/>
          <w:sz w:val="22"/>
          <w:szCs w:val="22"/>
        </w:rPr>
      </w:pPr>
    </w:p>
    <w:p w14:paraId="185CCBD7" w14:textId="77777777" w:rsidR="000156AE" w:rsidRPr="0046180A" w:rsidRDefault="000156AE" w:rsidP="000156AE">
      <w:pPr>
        <w:spacing w:after="60" w:line="240" w:lineRule="auto"/>
        <w:rPr>
          <w:rFonts w:ascii="Aptos" w:hAnsi="Aptos"/>
          <w:sz w:val="22"/>
          <w:szCs w:val="22"/>
        </w:rPr>
      </w:pPr>
      <w:r w:rsidRPr="003F2E88">
        <w:rPr>
          <w:rFonts w:ascii="Aptos" w:hAnsi="Aptos"/>
          <w:b/>
          <w:bCs/>
          <w:sz w:val="22"/>
          <w:szCs w:val="22"/>
        </w:rPr>
        <w:t>The Scaling Question to Answer:</w:t>
      </w:r>
      <w:r>
        <w:rPr>
          <w:rFonts w:ascii="Aptos" w:hAnsi="Aptos"/>
          <w:sz w:val="22"/>
          <w:szCs w:val="22"/>
        </w:rPr>
        <w:t xml:space="preserve"> </w:t>
      </w:r>
      <w:r w:rsidRPr="0046180A">
        <w:rPr>
          <w:rFonts w:ascii="Aptos" w:hAnsi="Aptos"/>
          <w:sz w:val="22"/>
          <w:szCs w:val="22"/>
        </w:rPr>
        <w:t>What structural change in the mechanization service market must occur within 24 months for DSR + ZT wheat to shift from government-led diffusion to self-sustaining service-economy scale?</w:t>
      </w:r>
    </w:p>
    <w:p w14:paraId="3B04ACE8" w14:textId="77777777" w:rsidR="000156AE" w:rsidRDefault="000156AE" w:rsidP="000156AE">
      <w:pPr>
        <w:pStyle w:val="ListParagraph"/>
        <w:numPr>
          <w:ilvl w:val="0"/>
          <w:numId w:val="22"/>
        </w:numPr>
        <w:spacing w:after="60" w:line="240" w:lineRule="auto"/>
        <w:contextualSpacing w:val="0"/>
        <w:rPr>
          <w:rFonts w:ascii="Aptos" w:hAnsi="Aptos"/>
          <w:sz w:val="22"/>
          <w:szCs w:val="22"/>
        </w:rPr>
      </w:pPr>
      <w:r w:rsidRPr="003F2E88">
        <w:rPr>
          <w:rFonts w:ascii="Aptos" w:hAnsi="Aptos"/>
          <w:sz w:val="22"/>
          <w:szCs w:val="22"/>
        </w:rPr>
        <w:t>What institutional rule, incentive, or business model change would permanently alter how mechanization services are delivered in Eastern UP?</w:t>
      </w:r>
    </w:p>
    <w:p w14:paraId="3D6A03CB" w14:textId="77777777" w:rsidR="000156AE" w:rsidRDefault="000156AE" w:rsidP="000156AE">
      <w:pPr>
        <w:pStyle w:val="ListParagraph"/>
        <w:numPr>
          <w:ilvl w:val="0"/>
          <w:numId w:val="22"/>
        </w:numPr>
        <w:spacing w:after="60" w:line="240" w:lineRule="auto"/>
        <w:contextualSpacing w:val="0"/>
        <w:rPr>
          <w:rFonts w:ascii="Aptos" w:hAnsi="Aptos"/>
          <w:sz w:val="22"/>
          <w:szCs w:val="22"/>
        </w:rPr>
      </w:pPr>
      <w:r w:rsidRPr="0046180A">
        <w:rPr>
          <w:rFonts w:ascii="Aptos" w:hAnsi="Aptos"/>
          <w:sz w:val="22"/>
          <w:szCs w:val="22"/>
        </w:rPr>
        <w:t>What makes the CHC/service model financially viable without subsidy dependence?</w:t>
      </w:r>
    </w:p>
    <w:p w14:paraId="27204F79" w14:textId="4E7B7F28" w:rsidR="000156AE" w:rsidRDefault="000156AE" w:rsidP="000156AE">
      <w:pPr>
        <w:pStyle w:val="ListParagraph"/>
        <w:numPr>
          <w:ilvl w:val="0"/>
          <w:numId w:val="22"/>
        </w:numPr>
        <w:spacing w:after="0" w:line="240" w:lineRule="auto"/>
        <w:rPr>
          <w:rFonts w:ascii="Aptos" w:hAnsi="Aptos"/>
          <w:sz w:val="22"/>
          <w:szCs w:val="22"/>
        </w:rPr>
      </w:pPr>
      <w:r w:rsidRPr="0046180A">
        <w:rPr>
          <w:rFonts w:ascii="Aptos" w:hAnsi="Aptos"/>
          <w:sz w:val="22"/>
          <w:szCs w:val="22"/>
        </w:rPr>
        <w:t>What drives machinery companies to invest in distribution and repair infrastructure locally</w:t>
      </w:r>
      <w:r w:rsidR="00CA1204">
        <w:rPr>
          <w:rFonts w:ascii="Aptos" w:hAnsi="Aptos"/>
          <w:sz w:val="22"/>
          <w:szCs w:val="22"/>
        </w:rPr>
        <w:t>—who can provide the services and incentivize the companies</w:t>
      </w:r>
      <w:r w:rsidRPr="0046180A">
        <w:rPr>
          <w:rFonts w:ascii="Aptos" w:hAnsi="Aptos"/>
          <w:sz w:val="22"/>
          <w:szCs w:val="22"/>
        </w:rPr>
        <w:t>?</w:t>
      </w:r>
    </w:p>
    <w:p w14:paraId="4401425B" w14:textId="75E2E0D6" w:rsidR="00E213A5" w:rsidRPr="008E7B3B" w:rsidRDefault="00E213A5" w:rsidP="000156AE">
      <w:pPr>
        <w:pStyle w:val="ListParagraph"/>
        <w:numPr>
          <w:ilvl w:val="0"/>
          <w:numId w:val="22"/>
        </w:numPr>
        <w:spacing w:after="0" w:line="240" w:lineRule="auto"/>
        <w:rPr>
          <w:rFonts w:ascii="Aptos" w:hAnsi="Aptos"/>
          <w:sz w:val="22"/>
          <w:szCs w:val="22"/>
        </w:rPr>
      </w:pPr>
      <w:r>
        <w:rPr>
          <w:rFonts w:ascii="Aptos" w:hAnsi="Aptos"/>
          <w:sz w:val="22"/>
          <w:szCs w:val="22"/>
        </w:rPr>
        <w:t xml:space="preserve">In the package what </w:t>
      </w:r>
      <w:r w:rsidR="003727F2">
        <w:rPr>
          <w:rFonts w:ascii="Aptos" w:hAnsi="Aptos"/>
          <w:sz w:val="22"/>
          <w:szCs w:val="22"/>
        </w:rPr>
        <w:t xml:space="preserve">will S4I work on to address the key bottlenecks, and what will </w:t>
      </w:r>
      <w:r>
        <w:rPr>
          <w:rFonts w:ascii="Aptos" w:hAnsi="Aptos"/>
          <w:sz w:val="22"/>
          <w:szCs w:val="22"/>
        </w:rPr>
        <w:t xml:space="preserve">the S4I activities will not work on, and other </w:t>
      </w:r>
      <w:proofErr w:type="spellStart"/>
      <w:r>
        <w:rPr>
          <w:rFonts w:ascii="Aptos" w:hAnsi="Aptos"/>
          <w:sz w:val="22"/>
          <w:szCs w:val="22"/>
        </w:rPr>
        <w:t>bilaterals</w:t>
      </w:r>
      <w:proofErr w:type="spellEnd"/>
      <w:r>
        <w:rPr>
          <w:rFonts w:ascii="Aptos" w:hAnsi="Aptos"/>
          <w:sz w:val="22"/>
          <w:szCs w:val="22"/>
        </w:rPr>
        <w:t xml:space="preserve"> will work on?</w:t>
      </w:r>
    </w:p>
    <w:p w14:paraId="0A7A7EBD" w14:textId="77777777" w:rsidR="000156AE" w:rsidRDefault="000156AE" w:rsidP="0029293D">
      <w:pPr>
        <w:spacing w:after="0" w:line="240" w:lineRule="auto"/>
        <w:contextualSpacing/>
        <w:rPr>
          <w:rFonts w:ascii="Aptos" w:hAnsi="Aptos"/>
          <w:sz w:val="22"/>
          <w:szCs w:val="22"/>
        </w:rPr>
      </w:pPr>
    </w:p>
    <w:p w14:paraId="50E222EC" w14:textId="77777777" w:rsidR="000156AE" w:rsidRDefault="000156AE" w:rsidP="0029293D">
      <w:pPr>
        <w:spacing w:after="0" w:line="240" w:lineRule="auto"/>
        <w:contextualSpacing/>
        <w:rPr>
          <w:rFonts w:ascii="Aptos" w:hAnsi="Aptos"/>
          <w:sz w:val="22"/>
          <w:szCs w:val="22"/>
        </w:rPr>
      </w:pPr>
    </w:p>
    <w:p w14:paraId="502FE461" w14:textId="58FFA2CE" w:rsidR="00BB2EA2" w:rsidRDefault="0046180A" w:rsidP="0029293D">
      <w:pPr>
        <w:spacing w:after="0" w:line="240" w:lineRule="auto"/>
        <w:contextualSpacing/>
        <w:rPr>
          <w:rFonts w:ascii="Aptos" w:hAnsi="Aptos"/>
          <w:sz w:val="22"/>
          <w:szCs w:val="22"/>
        </w:rPr>
      </w:pPr>
      <w:r w:rsidRPr="005F602C">
        <w:rPr>
          <w:rFonts w:ascii="Aptos" w:hAnsi="Aptos"/>
          <w:b/>
          <w:bCs/>
          <w:sz w:val="22"/>
          <w:szCs w:val="22"/>
        </w:rPr>
        <w:t>Current Situation:</w:t>
      </w:r>
      <w:r>
        <w:rPr>
          <w:rFonts w:ascii="Aptos" w:hAnsi="Aptos"/>
          <w:sz w:val="22"/>
          <w:szCs w:val="22"/>
        </w:rPr>
        <w:t xml:space="preserve"> </w:t>
      </w:r>
      <w:r w:rsidR="00BB2EA2" w:rsidRPr="00BB2EA2">
        <w:rPr>
          <w:rFonts w:ascii="Aptos" w:hAnsi="Aptos"/>
          <w:sz w:val="22"/>
          <w:szCs w:val="22"/>
        </w:rPr>
        <w:t>Technical feasibility is well established, with strong agronomic evidence of yield and income gains, labor savings, and GHG reductions; proven performance in Punjab, Odisha, and Bihar; embedding within the World Bank–funded UP-AGREES platform; an active multi-stakeholder network (Samriddhi Dhan); and engagement from major private actors such as Bayer, Corteva, and machinery companies—meaning technology readiness is not the primary constraint. The intervention bundles mechanized Dry Direct Seeded Rice (DSR), Zero-Till wheat, strengthened seed systems, Custom Hiring Centers, government mechanization schemes, carbon credit prospects, and cluster demonstrations, aiming to reach over 200,000 hectares and more than 1 million farmers, although most scaling activity is already financed through UP-AGREES and related bilateral investments.</w:t>
      </w:r>
    </w:p>
    <w:p w14:paraId="72A591A0" w14:textId="77777777" w:rsidR="005F602C" w:rsidRPr="005F602C" w:rsidRDefault="005F602C" w:rsidP="0029293D">
      <w:pPr>
        <w:spacing w:after="0" w:line="240" w:lineRule="auto"/>
        <w:contextualSpacing/>
        <w:rPr>
          <w:rFonts w:ascii="Aptos" w:hAnsi="Aptos"/>
          <w:sz w:val="22"/>
          <w:szCs w:val="22"/>
        </w:rPr>
      </w:pPr>
    </w:p>
    <w:p w14:paraId="5AEF2D3A" w14:textId="737963CE" w:rsidR="0046180A" w:rsidRPr="0046180A" w:rsidRDefault="0046180A" w:rsidP="0029293D">
      <w:pPr>
        <w:spacing w:after="0" w:line="240" w:lineRule="auto"/>
        <w:contextualSpacing/>
        <w:rPr>
          <w:rFonts w:ascii="Aptos" w:hAnsi="Aptos"/>
          <w:sz w:val="22"/>
          <w:szCs w:val="22"/>
        </w:rPr>
      </w:pPr>
      <w:r w:rsidRPr="005F602C">
        <w:rPr>
          <w:rFonts w:ascii="Aptos" w:hAnsi="Aptos"/>
          <w:b/>
          <w:bCs/>
          <w:sz w:val="22"/>
          <w:szCs w:val="22"/>
        </w:rPr>
        <w:t>Key Limiting Factor</w:t>
      </w:r>
      <w:r w:rsidR="00BB2EA2" w:rsidRPr="005F602C">
        <w:rPr>
          <w:rFonts w:ascii="Aptos" w:hAnsi="Aptos"/>
          <w:b/>
          <w:bCs/>
          <w:sz w:val="22"/>
          <w:szCs w:val="22"/>
        </w:rPr>
        <w:t>:</w:t>
      </w:r>
      <w:r w:rsidR="00BB2EA2">
        <w:rPr>
          <w:rFonts w:ascii="Aptos" w:hAnsi="Aptos"/>
          <w:sz w:val="22"/>
          <w:szCs w:val="22"/>
        </w:rPr>
        <w:t xml:space="preserve"> </w:t>
      </w:r>
      <w:r w:rsidRPr="0046180A">
        <w:rPr>
          <w:rFonts w:ascii="Aptos" w:hAnsi="Aptos"/>
          <w:sz w:val="22"/>
          <w:szCs w:val="22"/>
        </w:rPr>
        <w:t>The primary constraint is system coherence and market self-propulsion, not agronomic proof or pilot scale.</w:t>
      </w:r>
    </w:p>
    <w:p w14:paraId="77855536" w14:textId="77777777" w:rsidR="003F2E88" w:rsidRPr="003F2E88" w:rsidRDefault="004B1F37" w:rsidP="008E7B3B">
      <w:pPr>
        <w:pStyle w:val="ListParagraph"/>
        <w:numPr>
          <w:ilvl w:val="0"/>
          <w:numId w:val="21"/>
        </w:numPr>
        <w:spacing w:after="60" w:line="240" w:lineRule="auto"/>
        <w:contextualSpacing w:val="0"/>
        <w:rPr>
          <w:rFonts w:ascii="Aptos" w:hAnsi="Aptos"/>
          <w:sz w:val="22"/>
          <w:szCs w:val="22"/>
        </w:rPr>
      </w:pPr>
      <w:r w:rsidRPr="003F2E88">
        <w:rPr>
          <w:rFonts w:ascii="Aptos" w:hAnsi="Aptos"/>
          <w:sz w:val="22"/>
          <w:szCs w:val="22"/>
        </w:rPr>
        <w:t xml:space="preserve">Key structural gaps include fragmented system ownership, with government leading implementation, IRRI providing technical support, machinery companies not clearly driving market expansion, and Custom Hiring Centers (CHCs) promoted without a clearly defined long-term profitability model. </w:t>
      </w:r>
    </w:p>
    <w:p w14:paraId="3A9076BD" w14:textId="77777777" w:rsidR="003F2E88" w:rsidRPr="003F2E88" w:rsidRDefault="004B1F37" w:rsidP="008E7B3B">
      <w:pPr>
        <w:pStyle w:val="ListParagraph"/>
        <w:numPr>
          <w:ilvl w:val="0"/>
          <w:numId w:val="21"/>
        </w:numPr>
        <w:spacing w:after="60" w:line="240" w:lineRule="auto"/>
        <w:contextualSpacing w:val="0"/>
        <w:rPr>
          <w:rFonts w:ascii="Aptos" w:hAnsi="Aptos"/>
          <w:sz w:val="22"/>
          <w:szCs w:val="22"/>
        </w:rPr>
      </w:pPr>
      <w:r w:rsidRPr="003F2E88">
        <w:rPr>
          <w:rFonts w:ascii="Aptos" w:hAnsi="Aptos"/>
          <w:sz w:val="22"/>
          <w:szCs w:val="22"/>
        </w:rPr>
        <w:t xml:space="preserve">The innovation bundle itself is complex and requires high-fidelity coordination across machinery, seed varieties, weed management, irrigation timing, and land preparation, creating significant risks of partial adoption, weed resistance, and uncertain system performance under imperfect implementation. </w:t>
      </w:r>
    </w:p>
    <w:p w14:paraId="5D04EF4E" w14:textId="77777777" w:rsidR="003F2E88" w:rsidRPr="003F2E88" w:rsidRDefault="004B1F37" w:rsidP="008E7B3B">
      <w:pPr>
        <w:pStyle w:val="ListParagraph"/>
        <w:numPr>
          <w:ilvl w:val="0"/>
          <w:numId w:val="21"/>
        </w:numPr>
        <w:spacing w:after="60" w:line="240" w:lineRule="auto"/>
        <w:contextualSpacing w:val="0"/>
        <w:rPr>
          <w:rFonts w:ascii="Aptos" w:hAnsi="Aptos"/>
          <w:sz w:val="22"/>
          <w:szCs w:val="22"/>
        </w:rPr>
      </w:pPr>
      <w:r w:rsidRPr="003F2E88">
        <w:rPr>
          <w:rFonts w:ascii="Aptos" w:hAnsi="Aptos"/>
          <w:sz w:val="22"/>
          <w:szCs w:val="22"/>
        </w:rPr>
        <w:t xml:space="preserve">The service ecosystem remains fragile, as spare parts, maintenance, financing, and machine downtime are ongoing bottlenecks, while mechanic training is not yet institutionalized at scale and CHC viability beyond subsidy support is unclear. </w:t>
      </w:r>
    </w:p>
    <w:p w14:paraId="660F8849" w14:textId="5426512C" w:rsidR="0046180A" w:rsidRPr="003F2E88" w:rsidRDefault="003F2E88" w:rsidP="008E7B3B">
      <w:pPr>
        <w:pStyle w:val="ListParagraph"/>
        <w:numPr>
          <w:ilvl w:val="0"/>
          <w:numId w:val="21"/>
        </w:numPr>
        <w:spacing w:after="60" w:line="240" w:lineRule="auto"/>
        <w:contextualSpacing w:val="0"/>
        <w:rPr>
          <w:rFonts w:ascii="Aptos" w:hAnsi="Aptos"/>
          <w:sz w:val="22"/>
          <w:szCs w:val="22"/>
        </w:rPr>
      </w:pPr>
      <w:r w:rsidRPr="003F2E88">
        <w:rPr>
          <w:rFonts w:ascii="Aptos" w:hAnsi="Aptos"/>
          <w:sz w:val="22"/>
          <w:szCs w:val="22"/>
        </w:rPr>
        <w:t>T</w:t>
      </w:r>
      <w:r w:rsidR="004B1F37" w:rsidRPr="003F2E88">
        <w:rPr>
          <w:rFonts w:ascii="Aptos" w:hAnsi="Aptos"/>
          <w:sz w:val="22"/>
          <w:szCs w:val="22"/>
        </w:rPr>
        <w:t>he acceleration mechanism is weakly defined, as the current approach relies heavily on cluster demonstrations, subsidies, and training, remaining incremental and project-driven without a clear pathway to exponential or self-propelling scale.</w:t>
      </w:r>
    </w:p>
    <w:p w14:paraId="3B545E76" w14:textId="77777777" w:rsidR="003F2E88" w:rsidRDefault="003F2E88" w:rsidP="0029293D">
      <w:pPr>
        <w:spacing w:after="0" w:line="240" w:lineRule="auto"/>
        <w:contextualSpacing/>
        <w:rPr>
          <w:rFonts w:ascii="Roboto" w:hAnsi="Roboto" w:cs="Roboto"/>
          <w:sz w:val="22"/>
          <w:szCs w:val="22"/>
        </w:rPr>
      </w:pPr>
    </w:p>
    <w:p w14:paraId="66B17C05" w14:textId="30113C98" w:rsidR="0046180A" w:rsidRPr="0046180A" w:rsidRDefault="0046180A" w:rsidP="008E7B3B">
      <w:pPr>
        <w:spacing w:after="60" w:line="240" w:lineRule="auto"/>
        <w:rPr>
          <w:rFonts w:ascii="Aptos" w:hAnsi="Aptos"/>
          <w:sz w:val="22"/>
          <w:szCs w:val="22"/>
        </w:rPr>
      </w:pPr>
      <w:r w:rsidRPr="003F2E88">
        <w:rPr>
          <w:rFonts w:ascii="Aptos" w:hAnsi="Aptos"/>
          <w:b/>
          <w:bCs/>
          <w:sz w:val="22"/>
          <w:szCs w:val="22"/>
        </w:rPr>
        <w:t>The Scaling Question to Answer</w:t>
      </w:r>
      <w:r w:rsidR="003F2E88" w:rsidRPr="003F2E88">
        <w:rPr>
          <w:rFonts w:ascii="Aptos" w:hAnsi="Aptos"/>
          <w:b/>
          <w:bCs/>
          <w:sz w:val="22"/>
          <w:szCs w:val="22"/>
        </w:rPr>
        <w:t>:</w:t>
      </w:r>
      <w:r w:rsidR="003F2E88">
        <w:rPr>
          <w:rFonts w:ascii="Aptos" w:hAnsi="Aptos"/>
          <w:sz w:val="22"/>
          <w:szCs w:val="22"/>
        </w:rPr>
        <w:t xml:space="preserve"> </w:t>
      </w:r>
      <w:r w:rsidRPr="0046180A">
        <w:rPr>
          <w:rFonts w:ascii="Aptos" w:hAnsi="Aptos"/>
          <w:sz w:val="22"/>
          <w:szCs w:val="22"/>
        </w:rPr>
        <w:t>What structural change in the mechanization service market must occur within 24 months for DSR + ZT wheat to shift from government-led diffusion to self-sustaining service-economy scale?</w:t>
      </w:r>
    </w:p>
    <w:p w14:paraId="03B4EFC4" w14:textId="77777777" w:rsidR="003F2E88" w:rsidRDefault="0046180A" w:rsidP="008E7B3B">
      <w:pPr>
        <w:pStyle w:val="ListParagraph"/>
        <w:numPr>
          <w:ilvl w:val="0"/>
          <w:numId w:val="22"/>
        </w:numPr>
        <w:spacing w:after="60" w:line="240" w:lineRule="auto"/>
        <w:contextualSpacing w:val="0"/>
        <w:rPr>
          <w:rFonts w:ascii="Aptos" w:hAnsi="Aptos"/>
          <w:sz w:val="22"/>
          <w:szCs w:val="22"/>
        </w:rPr>
      </w:pPr>
      <w:r w:rsidRPr="003F2E88">
        <w:rPr>
          <w:rFonts w:ascii="Aptos" w:hAnsi="Aptos"/>
          <w:sz w:val="22"/>
          <w:szCs w:val="22"/>
        </w:rPr>
        <w:lastRenderedPageBreak/>
        <w:t>What institutional rule, incentive, or business model change would permanently alter how mechanization services are delivered in Eastern UP?</w:t>
      </w:r>
    </w:p>
    <w:p w14:paraId="0D944225" w14:textId="77777777" w:rsidR="003F2E88" w:rsidRDefault="0046180A" w:rsidP="008E7B3B">
      <w:pPr>
        <w:pStyle w:val="ListParagraph"/>
        <w:numPr>
          <w:ilvl w:val="0"/>
          <w:numId w:val="22"/>
        </w:numPr>
        <w:spacing w:after="60" w:line="240" w:lineRule="auto"/>
        <w:contextualSpacing w:val="0"/>
        <w:rPr>
          <w:rFonts w:ascii="Aptos" w:hAnsi="Aptos"/>
          <w:sz w:val="22"/>
          <w:szCs w:val="22"/>
        </w:rPr>
      </w:pPr>
      <w:r w:rsidRPr="0046180A">
        <w:rPr>
          <w:rFonts w:ascii="Aptos" w:hAnsi="Aptos"/>
          <w:sz w:val="22"/>
          <w:szCs w:val="22"/>
        </w:rPr>
        <w:t>What makes the CHC/service model financially viable without subsidy dependence?</w:t>
      </w:r>
    </w:p>
    <w:p w14:paraId="63255C9B" w14:textId="5160DBA4" w:rsidR="0046180A" w:rsidRPr="008E7B3B" w:rsidRDefault="0046180A" w:rsidP="0029293D">
      <w:pPr>
        <w:pStyle w:val="ListParagraph"/>
        <w:numPr>
          <w:ilvl w:val="0"/>
          <w:numId w:val="22"/>
        </w:numPr>
        <w:spacing w:after="0" w:line="240" w:lineRule="auto"/>
        <w:rPr>
          <w:rFonts w:ascii="Aptos" w:hAnsi="Aptos"/>
          <w:sz w:val="22"/>
          <w:szCs w:val="22"/>
        </w:rPr>
      </w:pPr>
      <w:r w:rsidRPr="0046180A">
        <w:rPr>
          <w:rFonts w:ascii="Aptos" w:hAnsi="Aptos"/>
          <w:sz w:val="22"/>
          <w:szCs w:val="22"/>
        </w:rPr>
        <w:t>What drives machinery companies to invest in distribution and repair infrastructure locally?</w:t>
      </w:r>
    </w:p>
    <w:p w14:paraId="687BB8FE" w14:textId="77777777" w:rsidR="0046180A" w:rsidRDefault="0046180A" w:rsidP="0029293D">
      <w:pPr>
        <w:spacing w:after="0" w:line="240" w:lineRule="auto"/>
        <w:contextualSpacing/>
        <w:rPr>
          <w:rFonts w:ascii="Roboto" w:hAnsi="Roboto" w:cs="Roboto"/>
          <w:sz w:val="22"/>
          <w:szCs w:val="22"/>
        </w:rPr>
      </w:pPr>
    </w:p>
    <w:p w14:paraId="1FBDEBB0" w14:textId="6E28FF3B" w:rsidR="0046180A" w:rsidRPr="0046180A" w:rsidRDefault="0046180A" w:rsidP="0029293D">
      <w:pPr>
        <w:spacing w:after="0" w:line="240" w:lineRule="auto"/>
        <w:contextualSpacing/>
        <w:rPr>
          <w:rFonts w:ascii="Aptos" w:hAnsi="Aptos"/>
          <w:sz w:val="22"/>
          <w:szCs w:val="22"/>
        </w:rPr>
      </w:pPr>
      <w:r w:rsidRPr="0029293D">
        <w:rPr>
          <w:rFonts w:ascii="Aptos" w:hAnsi="Aptos"/>
          <w:b/>
          <w:bCs/>
          <w:sz w:val="22"/>
          <w:szCs w:val="22"/>
        </w:rPr>
        <w:t xml:space="preserve">Existing </w:t>
      </w:r>
      <w:proofErr w:type="spellStart"/>
      <w:r w:rsidRPr="0029293D">
        <w:rPr>
          <w:rFonts w:ascii="Aptos" w:hAnsi="Aptos"/>
          <w:b/>
          <w:bCs/>
          <w:sz w:val="22"/>
          <w:szCs w:val="22"/>
        </w:rPr>
        <w:t>Bilaterals</w:t>
      </w:r>
      <w:proofErr w:type="spellEnd"/>
      <w:r w:rsidRPr="0029293D">
        <w:rPr>
          <w:rFonts w:ascii="Aptos" w:hAnsi="Aptos"/>
          <w:b/>
          <w:bCs/>
          <w:sz w:val="22"/>
          <w:szCs w:val="22"/>
        </w:rPr>
        <w:t xml:space="preserve"> &amp; Investments</w:t>
      </w:r>
      <w:r w:rsidR="0029293D" w:rsidRPr="0029293D">
        <w:rPr>
          <w:rFonts w:ascii="Aptos" w:hAnsi="Aptos"/>
          <w:b/>
          <w:bCs/>
          <w:sz w:val="22"/>
          <w:szCs w:val="22"/>
        </w:rPr>
        <w:t>:</w:t>
      </w:r>
      <w:r w:rsidR="0029293D">
        <w:rPr>
          <w:rFonts w:ascii="Aptos" w:hAnsi="Aptos"/>
          <w:sz w:val="22"/>
          <w:szCs w:val="22"/>
        </w:rPr>
        <w:t xml:space="preserve"> </w:t>
      </w:r>
      <w:r w:rsidR="00212BBD" w:rsidRPr="00212BBD">
        <w:rPr>
          <w:rFonts w:ascii="Aptos" w:hAnsi="Aptos"/>
          <w:sz w:val="22"/>
          <w:szCs w:val="22"/>
        </w:rPr>
        <w:t>Major investments already cover demonstrations and cluster pilots, training and extension integration, capacity building, machinery subsidy alignment, seed system strengthening, mechanization ecosystem development, and MEL and baseline collection, with UP-AGREES alone representing an approximately USD 55 million platform. If S4I focuses primarily on additional demonstrations, training, capacity building, technical backstopping, or minor input support such as herbicides and varieties, duplication risk would be moderate to high.</w:t>
      </w:r>
    </w:p>
    <w:p w14:paraId="3F14A5CC" w14:textId="77777777" w:rsidR="00212BBD" w:rsidRDefault="00212BBD" w:rsidP="0029293D">
      <w:pPr>
        <w:spacing w:after="0" w:line="240" w:lineRule="auto"/>
        <w:contextualSpacing/>
        <w:rPr>
          <w:rFonts w:ascii="Roboto" w:hAnsi="Roboto" w:cs="Roboto"/>
          <w:sz w:val="22"/>
          <w:szCs w:val="22"/>
        </w:rPr>
      </w:pPr>
    </w:p>
    <w:p w14:paraId="34AF7D8A" w14:textId="25D6AA3A" w:rsidR="0046180A" w:rsidRPr="005F602C" w:rsidRDefault="0046180A" w:rsidP="008E7B3B">
      <w:pPr>
        <w:spacing w:after="60" w:line="240" w:lineRule="auto"/>
        <w:rPr>
          <w:rFonts w:ascii="Aptos" w:hAnsi="Aptos"/>
          <w:sz w:val="22"/>
          <w:szCs w:val="22"/>
        </w:rPr>
      </w:pPr>
      <w:r w:rsidRPr="0029293D">
        <w:rPr>
          <w:rFonts w:ascii="Aptos" w:hAnsi="Aptos"/>
          <w:b/>
          <w:bCs/>
          <w:sz w:val="22"/>
          <w:szCs w:val="22"/>
        </w:rPr>
        <w:t>S4I Additionality</w:t>
      </w:r>
      <w:r w:rsidR="0029293D" w:rsidRPr="0029293D">
        <w:rPr>
          <w:rFonts w:ascii="Aptos" w:hAnsi="Aptos"/>
          <w:b/>
          <w:bCs/>
          <w:sz w:val="22"/>
          <w:szCs w:val="22"/>
        </w:rPr>
        <w:t>:</w:t>
      </w:r>
      <w:r w:rsidR="0029293D">
        <w:rPr>
          <w:rFonts w:ascii="Aptos" w:hAnsi="Aptos"/>
          <w:sz w:val="22"/>
          <w:szCs w:val="22"/>
        </w:rPr>
        <w:t xml:space="preserve"> </w:t>
      </w:r>
      <w:r w:rsidR="00696C6C" w:rsidRPr="00696C6C">
        <w:rPr>
          <w:rFonts w:ascii="Aptos" w:hAnsi="Aptos"/>
          <w:sz w:val="22"/>
          <w:szCs w:val="22"/>
        </w:rPr>
        <w:t>The current S4I justification—more expert time, additional demonstration support, training of partner staff (e.g., ITC), potential carbon credit integration, and strengthened policy dialogue—represents useful but largely incremental enhancements rather than structural system-level leverage.</w:t>
      </w:r>
      <w:r w:rsidR="008E7B3B">
        <w:rPr>
          <w:rFonts w:ascii="Aptos" w:hAnsi="Aptos"/>
          <w:sz w:val="22"/>
          <w:szCs w:val="22"/>
        </w:rPr>
        <w:t xml:space="preserve"> </w:t>
      </w:r>
      <w:r w:rsidR="00696C6C" w:rsidRPr="005F602C">
        <w:rPr>
          <w:rFonts w:ascii="Aptos" w:hAnsi="Aptos"/>
          <w:sz w:val="22"/>
          <w:szCs w:val="22"/>
        </w:rPr>
        <w:t>The</w:t>
      </w:r>
      <w:r w:rsidRPr="005F602C">
        <w:rPr>
          <w:rFonts w:ascii="Aptos" w:hAnsi="Aptos"/>
          <w:sz w:val="22"/>
          <w:szCs w:val="22"/>
        </w:rPr>
        <w:t xml:space="preserve"> track </w:t>
      </w:r>
      <w:r w:rsidR="00696C6C" w:rsidRPr="005F602C">
        <w:rPr>
          <w:rFonts w:ascii="Aptos" w:hAnsi="Aptos"/>
          <w:sz w:val="22"/>
          <w:szCs w:val="22"/>
        </w:rPr>
        <w:t>should</w:t>
      </w:r>
      <w:r w:rsidRPr="005F602C">
        <w:rPr>
          <w:rFonts w:ascii="Aptos" w:hAnsi="Aptos"/>
          <w:sz w:val="22"/>
          <w:szCs w:val="22"/>
        </w:rPr>
        <w:t xml:space="preserve"> </w:t>
      </w:r>
      <w:r w:rsidR="00696C6C" w:rsidRPr="005F602C">
        <w:rPr>
          <w:rFonts w:ascii="Aptos" w:hAnsi="Aptos"/>
          <w:sz w:val="22"/>
          <w:szCs w:val="22"/>
        </w:rPr>
        <w:t xml:space="preserve">focus </w:t>
      </w:r>
      <w:r w:rsidRPr="005F602C">
        <w:rPr>
          <w:rFonts w:ascii="Aptos" w:hAnsi="Aptos"/>
          <w:sz w:val="22"/>
          <w:szCs w:val="22"/>
        </w:rPr>
        <w:t>around:</w:t>
      </w:r>
    </w:p>
    <w:p w14:paraId="1E3D7156" w14:textId="02392E51" w:rsidR="007914A3" w:rsidRPr="005F602C" w:rsidRDefault="005F602C" w:rsidP="008E7B3B">
      <w:pPr>
        <w:pStyle w:val="p1"/>
        <w:numPr>
          <w:ilvl w:val="0"/>
          <w:numId w:val="23"/>
        </w:numPr>
        <w:spacing w:before="0" w:beforeAutospacing="0" w:after="60" w:afterAutospacing="0"/>
        <w:rPr>
          <w:rFonts w:ascii="Aptos" w:hAnsi="Aptos"/>
          <w:sz w:val="22"/>
          <w:szCs w:val="22"/>
        </w:rPr>
      </w:pPr>
      <w:r w:rsidRPr="005F602C">
        <w:rPr>
          <w:rFonts w:ascii="Aptos" w:hAnsi="Aptos"/>
          <w:sz w:val="22"/>
          <w:szCs w:val="22"/>
        </w:rPr>
        <w:t>F</w:t>
      </w:r>
      <w:r w:rsidR="007914A3" w:rsidRPr="005F602C">
        <w:rPr>
          <w:rFonts w:ascii="Aptos" w:hAnsi="Aptos"/>
          <w:sz w:val="22"/>
          <w:szCs w:val="22"/>
        </w:rPr>
        <w:t>ormalizing the service economy through standardized CHC business model templates, franchise or certification systems, profitability benchmarking, break-even and capital recovery analysis, and machinery utilization optimization models.</w:t>
      </w:r>
    </w:p>
    <w:p w14:paraId="7AD6011D" w14:textId="77777777" w:rsidR="005F602C" w:rsidRPr="005F602C" w:rsidRDefault="007914A3" w:rsidP="008E7B3B">
      <w:pPr>
        <w:pStyle w:val="p1"/>
        <w:numPr>
          <w:ilvl w:val="0"/>
          <w:numId w:val="23"/>
        </w:numPr>
        <w:spacing w:before="0" w:beforeAutospacing="0" w:after="60" w:afterAutospacing="0"/>
        <w:rPr>
          <w:rFonts w:ascii="Aptos" w:hAnsi="Aptos"/>
          <w:sz w:val="22"/>
          <w:szCs w:val="22"/>
        </w:rPr>
      </w:pPr>
      <w:r w:rsidRPr="005F602C">
        <w:rPr>
          <w:rFonts w:ascii="Aptos" w:hAnsi="Aptos"/>
          <w:sz w:val="22"/>
          <w:szCs w:val="22"/>
        </w:rPr>
        <w:t>Strengthening risk de-risking and coordination mechanisms by integrating insurance, structured service contracts, performance-based carbon incentives, bundled finance packages for CHCs, and clarifying system leadership and role alignment across government, IRRI, machinery manufacturers, seed companies, CHCs, and carbon actors.</w:t>
      </w:r>
    </w:p>
    <w:p w14:paraId="490A50AD" w14:textId="2C9B34F2" w:rsidR="007914A3" w:rsidRDefault="005F602C" w:rsidP="008E7B3B">
      <w:pPr>
        <w:pStyle w:val="p1"/>
        <w:numPr>
          <w:ilvl w:val="0"/>
          <w:numId w:val="23"/>
        </w:numPr>
        <w:spacing w:before="0" w:beforeAutospacing="0" w:after="60" w:afterAutospacing="0"/>
        <w:rPr>
          <w:rFonts w:ascii="Aptos" w:hAnsi="Aptos"/>
          <w:sz w:val="22"/>
          <w:szCs w:val="22"/>
        </w:rPr>
      </w:pPr>
      <w:r w:rsidRPr="005F602C">
        <w:rPr>
          <w:rFonts w:ascii="Aptos" w:hAnsi="Aptos"/>
          <w:sz w:val="22"/>
          <w:szCs w:val="22"/>
        </w:rPr>
        <w:t>C</w:t>
      </w:r>
      <w:r w:rsidR="007914A3" w:rsidRPr="005F602C">
        <w:rPr>
          <w:rFonts w:ascii="Aptos" w:hAnsi="Aptos"/>
          <w:sz w:val="22"/>
          <w:szCs w:val="22"/>
        </w:rPr>
        <w:t>lear exit criteria should be defined, with institutional triggers for S4I withdrawal such as a defined share of CHCs operating without subsidy support, established district-level repair networks, a formalized carbon payment channel, and demonstrated profitability for service providers</w:t>
      </w:r>
      <w:r>
        <w:rPr>
          <w:rFonts w:ascii="Aptos" w:hAnsi="Aptos"/>
          <w:sz w:val="22"/>
          <w:szCs w:val="22"/>
        </w:rPr>
        <w:t>.</w:t>
      </w:r>
    </w:p>
    <w:p w14:paraId="2CF3E1C5" w14:textId="77777777" w:rsidR="005F602C" w:rsidRPr="005F602C" w:rsidRDefault="005F602C" w:rsidP="0029293D">
      <w:pPr>
        <w:pStyle w:val="p1"/>
        <w:spacing w:before="0" w:beforeAutospacing="0" w:after="0" w:afterAutospacing="0"/>
        <w:ind w:left="720"/>
        <w:contextualSpacing/>
        <w:rPr>
          <w:rFonts w:ascii="Aptos" w:hAnsi="Aptos"/>
          <w:sz w:val="22"/>
          <w:szCs w:val="22"/>
        </w:rPr>
      </w:pPr>
    </w:p>
    <w:p w14:paraId="35CCC187" w14:textId="67CA24EF" w:rsidR="0046180A" w:rsidRPr="0029293D" w:rsidRDefault="0046180A" w:rsidP="008E7B3B">
      <w:pPr>
        <w:spacing w:after="60" w:line="240" w:lineRule="auto"/>
        <w:rPr>
          <w:rFonts w:ascii="Aptos" w:hAnsi="Aptos"/>
          <w:b/>
          <w:bCs/>
          <w:sz w:val="22"/>
          <w:szCs w:val="22"/>
        </w:rPr>
      </w:pPr>
      <w:r w:rsidRPr="0029293D">
        <w:rPr>
          <w:rFonts w:ascii="Aptos" w:hAnsi="Aptos"/>
          <w:b/>
          <w:bCs/>
          <w:sz w:val="22"/>
          <w:szCs w:val="22"/>
        </w:rPr>
        <w:t>Core Strategic Questions</w:t>
      </w:r>
      <w:r w:rsidR="0029293D">
        <w:rPr>
          <w:rFonts w:ascii="Aptos" w:hAnsi="Aptos"/>
          <w:b/>
          <w:bCs/>
          <w:sz w:val="22"/>
          <w:szCs w:val="22"/>
        </w:rPr>
        <w:t>:</w:t>
      </w:r>
    </w:p>
    <w:p w14:paraId="0B29205A" w14:textId="77777777" w:rsidR="0046180A" w:rsidRPr="0046180A" w:rsidRDefault="0046180A" w:rsidP="008E7B3B">
      <w:pPr>
        <w:spacing w:after="60" w:line="240" w:lineRule="auto"/>
        <w:rPr>
          <w:rFonts w:ascii="Aptos" w:hAnsi="Aptos"/>
          <w:sz w:val="22"/>
          <w:szCs w:val="22"/>
        </w:rPr>
      </w:pPr>
      <w:r w:rsidRPr="0046180A">
        <w:rPr>
          <w:rFonts w:ascii="Aptos" w:hAnsi="Aptos"/>
          <w:sz w:val="22"/>
          <w:szCs w:val="22"/>
        </w:rPr>
        <w:tab/>
        <w:t>1.</w:t>
      </w:r>
      <w:r w:rsidRPr="0046180A">
        <w:rPr>
          <w:rFonts w:ascii="Aptos" w:hAnsi="Aptos"/>
          <w:sz w:val="22"/>
          <w:szCs w:val="22"/>
        </w:rPr>
        <w:tab/>
        <w:t>Who is the true market driver — government, IRRI, or machinery companies?</w:t>
      </w:r>
    </w:p>
    <w:p w14:paraId="43CADB09" w14:textId="77777777" w:rsidR="0046180A" w:rsidRPr="0046180A" w:rsidRDefault="0046180A" w:rsidP="008E7B3B">
      <w:pPr>
        <w:spacing w:after="60" w:line="240" w:lineRule="auto"/>
        <w:rPr>
          <w:rFonts w:ascii="Aptos" w:hAnsi="Aptos"/>
          <w:sz w:val="22"/>
          <w:szCs w:val="22"/>
        </w:rPr>
      </w:pPr>
      <w:r w:rsidRPr="0046180A">
        <w:rPr>
          <w:rFonts w:ascii="Aptos" w:hAnsi="Aptos"/>
          <w:sz w:val="22"/>
          <w:szCs w:val="22"/>
        </w:rPr>
        <w:tab/>
        <w:t>2.</w:t>
      </w:r>
      <w:r w:rsidRPr="0046180A">
        <w:rPr>
          <w:rFonts w:ascii="Aptos" w:hAnsi="Aptos"/>
          <w:sz w:val="22"/>
          <w:szCs w:val="22"/>
        </w:rPr>
        <w:tab/>
        <w:t>What is the financially viable CHC model?</w:t>
      </w:r>
    </w:p>
    <w:p w14:paraId="5841C6E7" w14:textId="77777777" w:rsidR="0046180A" w:rsidRPr="0046180A" w:rsidRDefault="0046180A" w:rsidP="008E7B3B">
      <w:pPr>
        <w:spacing w:after="60" w:line="240" w:lineRule="auto"/>
        <w:rPr>
          <w:rFonts w:ascii="Aptos" w:hAnsi="Aptos"/>
          <w:sz w:val="22"/>
          <w:szCs w:val="22"/>
        </w:rPr>
      </w:pPr>
      <w:r w:rsidRPr="0046180A">
        <w:rPr>
          <w:rFonts w:ascii="Aptos" w:hAnsi="Aptos"/>
          <w:sz w:val="22"/>
          <w:szCs w:val="22"/>
        </w:rPr>
        <w:tab/>
        <w:t>3.</w:t>
      </w:r>
      <w:r w:rsidRPr="0046180A">
        <w:rPr>
          <w:rFonts w:ascii="Aptos" w:hAnsi="Aptos"/>
          <w:sz w:val="22"/>
          <w:szCs w:val="22"/>
        </w:rPr>
        <w:tab/>
        <w:t>How robust is the innovation bundle under partial adoption?</w:t>
      </w:r>
    </w:p>
    <w:p w14:paraId="6E787590" w14:textId="77777777" w:rsidR="0046180A" w:rsidRPr="0046180A" w:rsidRDefault="0046180A" w:rsidP="008E7B3B">
      <w:pPr>
        <w:spacing w:after="60" w:line="240" w:lineRule="auto"/>
        <w:rPr>
          <w:rFonts w:ascii="Aptos" w:hAnsi="Aptos"/>
          <w:sz w:val="22"/>
          <w:szCs w:val="22"/>
        </w:rPr>
      </w:pPr>
      <w:r w:rsidRPr="0046180A">
        <w:rPr>
          <w:rFonts w:ascii="Aptos" w:hAnsi="Aptos"/>
          <w:sz w:val="22"/>
          <w:szCs w:val="22"/>
        </w:rPr>
        <w:tab/>
        <w:t>4.</w:t>
      </w:r>
      <w:r w:rsidRPr="0046180A">
        <w:rPr>
          <w:rFonts w:ascii="Aptos" w:hAnsi="Aptos"/>
          <w:sz w:val="22"/>
          <w:szCs w:val="22"/>
        </w:rPr>
        <w:tab/>
        <w:t>What happens if herbicide resistance undermines the core agronomic model?</w:t>
      </w:r>
    </w:p>
    <w:p w14:paraId="1E4319DD" w14:textId="77777777" w:rsidR="0046180A" w:rsidRPr="0046180A" w:rsidRDefault="0046180A" w:rsidP="008E7B3B">
      <w:pPr>
        <w:spacing w:after="60" w:line="240" w:lineRule="auto"/>
        <w:rPr>
          <w:rFonts w:ascii="Aptos" w:hAnsi="Aptos"/>
          <w:sz w:val="22"/>
          <w:szCs w:val="22"/>
        </w:rPr>
      </w:pPr>
      <w:r w:rsidRPr="0046180A">
        <w:rPr>
          <w:rFonts w:ascii="Aptos" w:hAnsi="Aptos"/>
          <w:sz w:val="22"/>
          <w:szCs w:val="22"/>
        </w:rPr>
        <w:tab/>
        <w:t>5.</w:t>
      </w:r>
      <w:r w:rsidRPr="0046180A">
        <w:rPr>
          <w:rFonts w:ascii="Aptos" w:hAnsi="Aptos"/>
          <w:sz w:val="22"/>
          <w:szCs w:val="22"/>
        </w:rPr>
        <w:tab/>
        <w:t>What defines success beyond hectares covered?</w:t>
      </w:r>
    </w:p>
    <w:p w14:paraId="28FE1712" w14:textId="5AC6BE5D" w:rsidR="0046180A" w:rsidRDefault="0046180A" w:rsidP="0029293D">
      <w:pPr>
        <w:spacing w:after="0" w:line="240" w:lineRule="auto"/>
        <w:contextualSpacing/>
        <w:rPr>
          <w:rFonts w:ascii="Aptos" w:hAnsi="Aptos"/>
          <w:sz w:val="22"/>
          <w:szCs w:val="22"/>
        </w:rPr>
      </w:pPr>
      <w:r w:rsidRPr="0046180A">
        <w:rPr>
          <w:rFonts w:ascii="Aptos" w:hAnsi="Aptos"/>
          <w:sz w:val="22"/>
          <w:szCs w:val="22"/>
        </w:rPr>
        <w:tab/>
        <w:t>6.</w:t>
      </w:r>
      <w:r w:rsidRPr="0046180A">
        <w:rPr>
          <w:rFonts w:ascii="Aptos" w:hAnsi="Aptos"/>
          <w:sz w:val="22"/>
          <w:szCs w:val="22"/>
        </w:rPr>
        <w:tab/>
        <w:t>What structural feature will exist in 2028 that does not exist today</w:t>
      </w:r>
    </w:p>
    <w:p w14:paraId="31D5C9FA" w14:textId="77777777" w:rsidR="005F602C" w:rsidRPr="0046180A" w:rsidRDefault="005F602C" w:rsidP="0029293D">
      <w:pPr>
        <w:spacing w:after="0" w:line="240" w:lineRule="auto"/>
        <w:contextualSpacing/>
        <w:rPr>
          <w:rFonts w:ascii="Aptos" w:hAnsi="Aptos"/>
          <w:sz w:val="22"/>
          <w:szCs w:val="22"/>
        </w:rPr>
      </w:pPr>
    </w:p>
    <w:p w14:paraId="4CE9F25C" w14:textId="1FBA3D4D" w:rsidR="009D02C4" w:rsidRDefault="0046180A" w:rsidP="0029293D">
      <w:pPr>
        <w:spacing w:after="0" w:line="240" w:lineRule="auto"/>
        <w:contextualSpacing/>
        <w:rPr>
          <w:rFonts w:ascii="Aptos" w:hAnsi="Aptos"/>
          <w:sz w:val="22"/>
          <w:szCs w:val="22"/>
        </w:rPr>
      </w:pPr>
      <w:r w:rsidRPr="005F602C">
        <w:rPr>
          <w:rFonts w:ascii="Aptos" w:hAnsi="Aptos"/>
          <w:b/>
          <w:bCs/>
          <w:sz w:val="22"/>
          <w:szCs w:val="22"/>
        </w:rPr>
        <w:t>Overall Summary</w:t>
      </w:r>
      <w:r w:rsidR="005F602C" w:rsidRPr="005F602C">
        <w:rPr>
          <w:rFonts w:ascii="Aptos" w:hAnsi="Aptos"/>
          <w:b/>
          <w:bCs/>
          <w:sz w:val="22"/>
          <w:szCs w:val="22"/>
        </w:rPr>
        <w:t>:</w:t>
      </w:r>
      <w:r w:rsidR="005F602C">
        <w:rPr>
          <w:rFonts w:ascii="Aptos" w:hAnsi="Aptos"/>
          <w:sz w:val="22"/>
          <w:szCs w:val="22"/>
        </w:rPr>
        <w:t xml:space="preserve"> </w:t>
      </w:r>
      <w:r w:rsidRPr="0046180A">
        <w:rPr>
          <w:rFonts w:ascii="Aptos" w:hAnsi="Aptos"/>
          <w:sz w:val="22"/>
          <w:szCs w:val="22"/>
        </w:rPr>
        <w:t>The track is ambitious and promising, but S4I value-add must move beyond traditional scaling tactics toward service market institutionalization and business model strengthening.</w:t>
      </w:r>
      <w:r w:rsidR="005F602C">
        <w:rPr>
          <w:rFonts w:ascii="Aptos" w:hAnsi="Aptos"/>
          <w:sz w:val="22"/>
          <w:szCs w:val="22"/>
        </w:rPr>
        <w:t xml:space="preserve"> </w:t>
      </w:r>
      <w:r w:rsidRPr="0046180A">
        <w:rPr>
          <w:rFonts w:ascii="Aptos" w:hAnsi="Aptos"/>
          <w:sz w:val="22"/>
          <w:szCs w:val="22"/>
        </w:rPr>
        <w:t>Without sharper system-level positioning, S4I risks funding incremental improvements within an already well-funded bilateral program.</w:t>
      </w:r>
    </w:p>
    <w:p w14:paraId="1A40EE73" w14:textId="77777777" w:rsidR="008024F1" w:rsidRDefault="008024F1" w:rsidP="0029293D">
      <w:pPr>
        <w:spacing w:after="0" w:line="240" w:lineRule="auto"/>
        <w:contextualSpacing/>
        <w:rPr>
          <w:rFonts w:ascii="Aptos" w:hAnsi="Aptos"/>
          <w:sz w:val="22"/>
          <w:szCs w:val="22"/>
        </w:rPr>
      </w:pPr>
    </w:p>
    <w:p w14:paraId="07B0A2CD" w14:textId="1E6258FC" w:rsidR="008024F1" w:rsidRDefault="008024F1" w:rsidP="0029293D">
      <w:pPr>
        <w:spacing w:after="0" w:line="240" w:lineRule="auto"/>
        <w:contextualSpacing/>
        <w:rPr>
          <w:rFonts w:ascii="Aptos" w:hAnsi="Aptos"/>
          <w:sz w:val="22"/>
          <w:szCs w:val="22"/>
        </w:rPr>
      </w:pPr>
      <w:r>
        <w:rPr>
          <w:rFonts w:ascii="Aptos" w:hAnsi="Aptos"/>
          <w:sz w:val="22"/>
          <w:szCs w:val="22"/>
        </w:rPr>
        <w:br w:type="page"/>
      </w:r>
    </w:p>
    <w:sectPr w:rsidR="00802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AAC"/>
    <w:multiLevelType w:val="multilevel"/>
    <w:tmpl w:val="244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1F65"/>
    <w:multiLevelType w:val="multilevel"/>
    <w:tmpl w:val="4E8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6504E"/>
    <w:multiLevelType w:val="multilevel"/>
    <w:tmpl w:val="00F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55CF0"/>
    <w:multiLevelType w:val="multilevel"/>
    <w:tmpl w:val="4D88D2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C4BE8"/>
    <w:multiLevelType w:val="multilevel"/>
    <w:tmpl w:val="AEA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25C3B"/>
    <w:multiLevelType w:val="multilevel"/>
    <w:tmpl w:val="144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11161"/>
    <w:multiLevelType w:val="multilevel"/>
    <w:tmpl w:val="E45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B6A30"/>
    <w:multiLevelType w:val="multilevel"/>
    <w:tmpl w:val="E3385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36550"/>
    <w:multiLevelType w:val="multilevel"/>
    <w:tmpl w:val="130E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B17F1"/>
    <w:multiLevelType w:val="hybridMultilevel"/>
    <w:tmpl w:val="61A09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C5160"/>
    <w:multiLevelType w:val="multilevel"/>
    <w:tmpl w:val="203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91D16"/>
    <w:multiLevelType w:val="hybridMultilevel"/>
    <w:tmpl w:val="FD3A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D37EE5"/>
    <w:multiLevelType w:val="multilevel"/>
    <w:tmpl w:val="D73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C0BBE"/>
    <w:multiLevelType w:val="multilevel"/>
    <w:tmpl w:val="6C7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3040C"/>
    <w:multiLevelType w:val="multilevel"/>
    <w:tmpl w:val="E266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724F0"/>
    <w:multiLevelType w:val="multilevel"/>
    <w:tmpl w:val="909C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860C0"/>
    <w:multiLevelType w:val="multilevel"/>
    <w:tmpl w:val="E29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96676"/>
    <w:multiLevelType w:val="multilevel"/>
    <w:tmpl w:val="FF867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24D18"/>
    <w:multiLevelType w:val="hybridMultilevel"/>
    <w:tmpl w:val="30767E22"/>
    <w:lvl w:ilvl="0" w:tplc="03981692">
      <w:start w:val="1"/>
      <w:numFmt w:val="decimal"/>
      <w:lvlText w:val="%1."/>
      <w:lvlJc w:val="left"/>
      <w:pPr>
        <w:ind w:left="720" w:hanging="360"/>
      </w:pPr>
      <w:rPr>
        <w:rFonts w:ascii="Aptos" w:hAnsi="Apto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C615A5"/>
    <w:multiLevelType w:val="multilevel"/>
    <w:tmpl w:val="177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4250C"/>
    <w:multiLevelType w:val="multilevel"/>
    <w:tmpl w:val="F10E3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0C24B5"/>
    <w:multiLevelType w:val="multilevel"/>
    <w:tmpl w:val="FA3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B03ED"/>
    <w:multiLevelType w:val="multilevel"/>
    <w:tmpl w:val="94F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23259">
    <w:abstractNumId w:val="5"/>
  </w:num>
  <w:num w:numId="2" w16cid:durableId="1013189411">
    <w:abstractNumId w:val="13"/>
  </w:num>
  <w:num w:numId="3" w16cid:durableId="1418360588">
    <w:abstractNumId w:val="22"/>
  </w:num>
  <w:num w:numId="4" w16cid:durableId="101341547">
    <w:abstractNumId w:val="12"/>
  </w:num>
  <w:num w:numId="5" w16cid:durableId="1841844068">
    <w:abstractNumId w:val="4"/>
  </w:num>
  <w:num w:numId="6" w16cid:durableId="1513448237">
    <w:abstractNumId w:val="16"/>
  </w:num>
  <w:num w:numId="7" w16cid:durableId="1154418557">
    <w:abstractNumId w:val="1"/>
  </w:num>
  <w:num w:numId="8" w16cid:durableId="32273866">
    <w:abstractNumId w:val="0"/>
  </w:num>
  <w:num w:numId="9" w16cid:durableId="809905518">
    <w:abstractNumId w:val="2"/>
  </w:num>
  <w:num w:numId="10" w16cid:durableId="816185635">
    <w:abstractNumId w:val="6"/>
  </w:num>
  <w:num w:numId="11" w16cid:durableId="868025966">
    <w:abstractNumId w:val="8"/>
  </w:num>
  <w:num w:numId="12" w16cid:durableId="906961578">
    <w:abstractNumId w:val="10"/>
  </w:num>
  <w:num w:numId="13" w16cid:durableId="1080248320">
    <w:abstractNumId w:val="20"/>
  </w:num>
  <w:num w:numId="14" w16cid:durableId="1899243233">
    <w:abstractNumId w:val="15"/>
  </w:num>
  <w:num w:numId="15" w16cid:durableId="1390112931">
    <w:abstractNumId w:val="7"/>
  </w:num>
  <w:num w:numId="16" w16cid:durableId="42948433">
    <w:abstractNumId w:val="19"/>
  </w:num>
  <w:num w:numId="17" w16cid:durableId="1250850392">
    <w:abstractNumId w:val="17"/>
  </w:num>
  <w:num w:numId="18" w16cid:durableId="992873839">
    <w:abstractNumId w:val="14"/>
  </w:num>
  <w:num w:numId="19" w16cid:durableId="220867075">
    <w:abstractNumId w:val="3"/>
  </w:num>
  <w:num w:numId="20" w16cid:durableId="436173770">
    <w:abstractNumId w:val="21"/>
  </w:num>
  <w:num w:numId="21" w16cid:durableId="189605968">
    <w:abstractNumId w:val="9"/>
  </w:num>
  <w:num w:numId="22" w16cid:durableId="1090128171">
    <w:abstractNumId w:val="11"/>
  </w:num>
  <w:num w:numId="23" w16cid:durableId="4475521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E4"/>
    <w:rsid w:val="000156AE"/>
    <w:rsid w:val="00212BBD"/>
    <w:rsid w:val="0029293D"/>
    <w:rsid w:val="003727F2"/>
    <w:rsid w:val="003F2E88"/>
    <w:rsid w:val="0046180A"/>
    <w:rsid w:val="004A6F6A"/>
    <w:rsid w:val="004B1F37"/>
    <w:rsid w:val="004B62D4"/>
    <w:rsid w:val="005F17A0"/>
    <w:rsid w:val="005F602C"/>
    <w:rsid w:val="00696C6C"/>
    <w:rsid w:val="006D5D99"/>
    <w:rsid w:val="006E6FB3"/>
    <w:rsid w:val="007914A3"/>
    <w:rsid w:val="008024F1"/>
    <w:rsid w:val="00881AD9"/>
    <w:rsid w:val="008E7B3B"/>
    <w:rsid w:val="009D02C4"/>
    <w:rsid w:val="00AD1DA6"/>
    <w:rsid w:val="00BB2EA2"/>
    <w:rsid w:val="00BE05E4"/>
    <w:rsid w:val="00CA1204"/>
    <w:rsid w:val="00E213A5"/>
    <w:rsid w:val="00FF0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3A5E"/>
  <w15:chartTrackingRefBased/>
  <w15:docId w15:val="{CB9055C6-B23A-F346-9C1F-82BB76C7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0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0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5E4"/>
    <w:rPr>
      <w:rFonts w:eastAsiaTheme="majorEastAsia" w:cstheme="majorBidi"/>
      <w:color w:val="272727" w:themeColor="text1" w:themeTint="D8"/>
    </w:rPr>
  </w:style>
  <w:style w:type="paragraph" w:styleId="Title">
    <w:name w:val="Title"/>
    <w:basedOn w:val="Normal"/>
    <w:next w:val="Normal"/>
    <w:link w:val="TitleChar"/>
    <w:uiPriority w:val="10"/>
    <w:qFormat/>
    <w:rsid w:val="00BE0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5E4"/>
    <w:pPr>
      <w:spacing w:before="160"/>
      <w:jc w:val="center"/>
    </w:pPr>
    <w:rPr>
      <w:i/>
      <w:iCs/>
      <w:color w:val="404040" w:themeColor="text1" w:themeTint="BF"/>
    </w:rPr>
  </w:style>
  <w:style w:type="character" w:customStyle="1" w:styleId="QuoteChar">
    <w:name w:val="Quote Char"/>
    <w:basedOn w:val="DefaultParagraphFont"/>
    <w:link w:val="Quote"/>
    <w:uiPriority w:val="29"/>
    <w:rsid w:val="00BE05E4"/>
    <w:rPr>
      <w:i/>
      <w:iCs/>
      <w:color w:val="404040" w:themeColor="text1" w:themeTint="BF"/>
    </w:rPr>
  </w:style>
  <w:style w:type="paragraph" w:styleId="ListParagraph">
    <w:name w:val="List Paragraph"/>
    <w:basedOn w:val="Normal"/>
    <w:uiPriority w:val="34"/>
    <w:qFormat/>
    <w:rsid w:val="00BE05E4"/>
    <w:pPr>
      <w:ind w:left="720"/>
      <w:contextualSpacing/>
    </w:pPr>
  </w:style>
  <w:style w:type="character" w:styleId="IntenseEmphasis">
    <w:name w:val="Intense Emphasis"/>
    <w:basedOn w:val="DefaultParagraphFont"/>
    <w:uiPriority w:val="21"/>
    <w:qFormat/>
    <w:rsid w:val="00BE05E4"/>
    <w:rPr>
      <w:i/>
      <w:iCs/>
      <w:color w:val="0F4761" w:themeColor="accent1" w:themeShade="BF"/>
    </w:rPr>
  </w:style>
  <w:style w:type="paragraph" w:styleId="IntenseQuote">
    <w:name w:val="Intense Quote"/>
    <w:basedOn w:val="Normal"/>
    <w:next w:val="Normal"/>
    <w:link w:val="IntenseQuoteChar"/>
    <w:uiPriority w:val="30"/>
    <w:qFormat/>
    <w:rsid w:val="00BE0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5E4"/>
    <w:rPr>
      <w:i/>
      <w:iCs/>
      <w:color w:val="0F4761" w:themeColor="accent1" w:themeShade="BF"/>
    </w:rPr>
  </w:style>
  <w:style w:type="character" w:styleId="IntenseReference">
    <w:name w:val="Intense Reference"/>
    <w:basedOn w:val="DefaultParagraphFont"/>
    <w:uiPriority w:val="32"/>
    <w:qFormat/>
    <w:rsid w:val="00BE05E4"/>
    <w:rPr>
      <w:b/>
      <w:bCs/>
      <w:smallCaps/>
      <w:color w:val="0F4761" w:themeColor="accent1" w:themeShade="BF"/>
      <w:spacing w:val="5"/>
    </w:rPr>
  </w:style>
  <w:style w:type="paragraph" w:customStyle="1" w:styleId="p1">
    <w:name w:val="p1"/>
    <w:basedOn w:val="Normal"/>
    <w:rsid w:val="004B62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B62D4"/>
  </w:style>
  <w:style w:type="paragraph" w:customStyle="1" w:styleId="p2">
    <w:name w:val="p2"/>
    <w:basedOn w:val="Normal"/>
    <w:rsid w:val="004B62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B62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4B62D4"/>
  </w:style>
  <w:style w:type="paragraph" w:customStyle="1" w:styleId="p4">
    <w:name w:val="p4"/>
    <w:basedOn w:val="Normal"/>
    <w:rsid w:val="004B62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4B62D4"/>
  </w:style>
  <w:style w:type="table" w:styleId="GridTable5Dark-Accent2">
    <w:name w:val="Grid Table 5 Dark Accent 2"/>
    <w:basedOn w:val="TableNormal"/>
    <w:uiPriority w:val="50"/>
    <w:rsid w:val="008024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Girvetz, Evan (Alliance Bioversity-CIAT)</cp:lastModifiedBy>
  <cp:revision>19</cp:revision>
  <dcterms:created xsi:type="dcterms:W3CDTF">2026-02-12T20:52:00Z</dcterms:created>
  <dcterms:modified xsi:type="dcterms:W3CDTF">2026-02-13T10:35:00Z</dcterms:modified>
</cp:coreProperties>
</file>