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3754" w14:textId="7DEA9A8C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Scaling Delivery Systems for Carp, Tilapia, and Small Indigenous Species (SIS) Genetics and Input Services in Bangladesh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– </w:t>
      </w: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WorldFish / IFPRI</w:t>
      </w:r>
    </w:p>
    <w:p w14:paraId="4F5361EA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CE02406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Countries: </w:t>
      </w: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Bangladesh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  </w:t>
      </w:r>
    </w:p>
    <w:p w14:paraId="2AA8D744" w14:textId="77777777" w:rsid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F1EF2D5" w14:textId="191AC786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Current Situation: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Technical feasibility and performance benefits of improved aquaculture genetics are well established (e.g., improved rohu performance and profitability under farmer conditions; AMD pilots showing delivery via nurseries/dealers). The innovation is not “the fish strain” alone, but the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model: a bundled decentralized seed</w:t>
      </w:r>
      <w:r w:rsidR="004C1F4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input</w:t>
      </w:r>
      <w:r w:rsidR="004C1F4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advisory delivery system (including digital advisory via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OneFish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 that aims to reduce quality variability and improve accountability at last mile.</w:t>
      </w:r>
      <w:r w:rsidR="004C1F41" w:rsidRPr="004C1F4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="004C1F41"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This is </w:t>
      </w:r>
      <w:r w:rsidR="004C1F4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not a technology problem.</w:t>
      </w:r>
    </w:p>
    <w:p w14:paraId="5156907F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0F23E0B" w14:textId="4A71169D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Key Limiting Factor: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The primary constraint is seed-system trust, quality assurance, and accountability at scale—i.e., weak broodstock/seed quality management, limited practical certification/SOPs, and inability to reliably link seed origin → service delivery → farmer outcomes in a fragmented hatchery/nursery network</w:t>
      </w:r>
      <w:r w:rsidR="004C1F41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6842E0AB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8B1F48F" w14:textId="2DD822F8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The scaling question to answer: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What practical QA/certification and traceability rule/process can be adopted and operationalized within 24 months—through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/BFRI and licensed hatchery/nursery networks—to institutionalize quality-assured, decentralized seed </w:t>
      </w:r>
      <w:r w:rsidR="006E0A36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and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advisory delivery (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 across Bangladesh’s aquaculture system?</w:t>
      </w:r>
    </w:p>
    <w:p w14:paraId="0E000199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149F06C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Existing </w:t>
      </w:r>
      <w:proofErr w:type="spellStart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bilaterals</w:t>
      </w:r>
      <w:proofErr w:type="spellEnd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Prior and ongoing WorldFish investments and aligned initiatives already cover piloting decentralized delivery and partner engagement (e.g., Gates-supported aquaculture work, CGIAR AMD pilots, WCS-supported initiatives, and forthcoming GIZ work referenced), alongside government anchoring programs (e.g.,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DoF’s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“Aquaculture Technology Services at Union Level (Phase III)”). If S4I focuses mainly on additional training/delivery operations without hard system reform milestones, duplication</w:t>
      </w:r>
      <w:proofErr w:type="gram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/“</w:t>
      </w:r>
      <w:proofErr w:type="gram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more of the same” risk becomes material.</w:t>
      </w:r>
    </w:p>
    <w:p w14:paraId="7C992EA8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B9FD18E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S4I Additionality: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Proposed S4I activities emphasize organizing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delivery networks, contracting and capacity-building with licensed hatcheries/nurseries/LSPs, co-developing practical QA SOPs and governance roles with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/BFRI, piloting traceability tools embedded in delivery operations, and performance monitoring + learning to support institutional uptake and replication. This is directionally </w:t>
      </w:r>
      <w:proofErr w:type="gram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high-additionality</w:t>
      </w:r>
      <w:proofErr w:type="gram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if it delivers measurable institutional integration (QA/traceability adoption) rather than general capacity building.</w:t>
      </w:r>
    </w:p>
    <w:p w14:paraId="5D36E510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DFE84A9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To maximize additionality, this scaling track should consider focusing on:</w:t>
      </w:r>
    </w:p>
    <w:p w14:paraId="483405CF" w14:textId="46DB0179" w:rsidR="00CE1ACE" w:rsidRPr="00CE1ACE" w:rsidRDefault="00CE1ACE" w:rsidP="00CE1ACE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Institutionalizing QA 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and</w:t>
      </w: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Traceability as “the reform”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: a minimum viable, enforceable SOP/certification package + traceability principles that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can credibly adopt and scale (not just consult on).</w:t>
      </w:r>
    </w:p>
    <w:p w14:paraId="0ECFBBCE" w14:textId="77777777" w:rsidR="00CE1ACE" w:rsidRPr="00CE1ACE" w:rsidRDefault="00CE1ACE" w:rsidP="00CE1ACE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as a tested delivery “standard”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: define what must be true for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replication (partner selection, contracting, monitoring cadence, service package, data rules).</w:t>
      </w:r>
    </w:p>
    <w:p w14:paraId="52648D00" w14:textId="77777777" w:rsidR="00CE1ACE" w:rsidRPr="00CE1ACE" w:rsidRDefault="00CE1ACE" w:rsidP="00CE1ACE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Operational evidence that </w:t>
      </w:r>
      <w:proofErr w:type="spellStart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bilaterals</w:t>
      </w:r>
      <w:proofErr w:type="spellEnd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don’t </w:t>
      </w:r>
      <w:proofErr w:type="gramStart"/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generate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:</w:t>
      </w:r>
      <w:proofErr w:type="gram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disciplined monitoring linking seed source → advisory exposure → farm outcomes to demonstrate accountability and justify institutional uptake.</w:t>
      </w:r>
    </w:p>
    <w:p w14:paraId="7682178E" w14:textId="77777777" w:rsidR="00CE1ACE" w:rsidRPr="00CE1ACE" w:rsidRDefault="00CE1ACE" w:rsidP="00CE1ACE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lastRenderedPageBreak/>
        <w:t>Incentive alignment for private hatcheries/nurseries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: make QA “worth it” via predictable demand/market pull (processors, input enterprises) and credible governance (bylaws, contracting, monitored delivery).</w:t>
      </w:r>
    </w:p>
    <w:p w14:paraId="77CEABA0" w14:textId="77777777" w:rsidR="00CE1ACE" w:rsidRPr="00CE1ACE" w:rsidRDefault="00CE1ACE" w:rsidP="00CE1ACE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Define exit criteria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: e.g.,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adoption of SOPs; traceability embedded in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operations; replication pathway agreed with national program(s).</w:t>
      </w:r>
    </w:p>
    <w:p w14:paraId="4E9B21DE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06F2E85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Core Strategic Questions:</w:t>
      </w:r>
    </w:p>
    <w:p w14:paraId="34587B3C" w14:textId="77777777" w:rsidR="00CE1ACE" w:rsidRPr="00CE1ACE" w:rsidRDefault="00CE1ACE" w:rsidP="00CE1ACE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What is the binding constraint: </w:t>
      </w:r>
      <w:r w:rsidRPr="0034333B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QA enforcement, traceability/data governance, or private network coordination—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and which is realistically solvable in 24 months?</w:t>
      </w:r>
    </w:p>
    <w:p w14:paraId="417C7B3F" w14:textId="77777777" w:rsidR="00CE1ACE" w:rsidRPr="00CE1ACE" w:rsidRDefault="00CE1ACE" w:rsidP="00CE1ACE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Does the S4I budget/support package </w:t>
      </w:r>
      <w:r w:rsidRPr="009B1AF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prioritize institutional rule/process change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—or mainly training and partner coordination?  </w:t>
      </w:r>
    </w:p>
    <w:p w14:paraId="5F91008B" w14:textId="77777777" w:rsidR="00CE1ACE" w:rsidRPr="00CE1ACE" w:rsidRDefault="00CE1ACE" w:rsidP="00CE1ACE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What specifically defines “success” for S4I in 2026: what measurable system behavior changes occur (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DoF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/BFRI/hatcheries/nurseries)?</w:t>
      </w:r>
    </w:p>
    <w:p w14:paraId="0DD495F7" w14:textId="77777777" w:rsidR="00CE1ACE" w:rsidRPr="00CE1ACE" w:rsidRDefault="00CE1ACE" w:rsidP="00CE1ACE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What is the exit trigger that allows S4I to withdraw while scale continues under government/private actors?  </w:t>
      </w:r>
    </w:p>
    <w:p w14:paraId="2F89EEB0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9969420" w14:textId="77777777" w:rsidR="00CE1ACE" w:rsidRPr="00CE1ACE" w:rsidRDefault="00CE1ACE" w:rsidP="00CE1AC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CE1AC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Overall summary:</w:t>
      </w:r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Strong technical readiness and strong concept (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SeedCompact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+ </w:t>
      </w:r>
      <w:proofErr w:type="spellStart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OneFish</w:t>
      </w:r>
      <w:proofErr w:type="spellEnd"/>
      <w:r w:rsidRPr="00CE1ACE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), with the real value of S4I resting on whether it can deliver system-level QA/traceability institutionalization (not just improved operations) to reduce seed quality risk and enable durable replication.</w:t>
      </w:r>
    </w:p>
    <w:p w14:paraId="2F32AD9E" w14:textId="77777777" w:rsidR="009D02C4" w:rsidRDefault="009D02C4" w:rsidP="00CE1ACE">
      <w:pPr>
        <w:spacing w:after="0" w:line="240" w:lineRule="auto"/>
        <w:rPr>
          <w:rFonts w:ascii="Aptos" w:hAnsi="Aptos"/>
          <w:sz w:val="22"/>
          <w:szCs w:val="22"/>
        </w:rPr>
      </w:pPr>
    </w:p>
    <w:p w14:paraId="38A6FA2B" w14:textId="77777777" w:rsidR="003C5CB1" w:rsidRPr="00CE1ACE" w:rsidRDefault="003C5CB1" w:rsidP="00CE1ACE">
      <w:pPr>
        <w:spacing w:after="0" w:line="240" w:lineRule="auto"/>
        <w:rPr>
          <w:rFonts w:ascii="Aptos" w:hAnsi="Aptos"/>
          <w:sz w:val="22"/>
          <w:szCs w:val="22"/>
        </w:rPr>
      </w:pPr>
    </w:p>
    <w:sectPr w:rsidR="003C5CB1" w:rsidRPr="00CE1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9B2"/>
    <w:multiLevelType w:val="multilevel"/>
    <w:tmpl w:val="13E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0681B"/>
    <w:multiLevelType w:val="multilevel"/>
    <w:tmpl w:val="22B6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79998">
    <w:abstractNumId w:val="0"/>
  </w:num>
  <w:num w:numId="2" w16cid:durableId="189157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CE"/>
    <w:rsid w:val="0034333B"/>
    <w:rsid w:val="003C5CB1"/>
    <w:rsid w:val="004C1F41"/>
    <w:rsid w:val="006D5D99"/>
    <w:rsid w:val="006E0A36"/>
    <w:rsid w:val="006E6FB3"/>
    <w:rsid w:val="00881AD9"/>
    <w:rsid w:val="009B1AFE"/>
    <w:rsid w:val="009D02C4"/>
    <w:rsid w:val="00AD1DA6"/>
    <w:rsid w:val="00B22020"/>
    <w:rsid w:val="00CE1ACE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73B0"/>
  <w15:chartTrackingRefBased/>
  <w15:docId w15:val="{618659BB-CCAE-7F4A-A12B-AD09EDA0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E1ACE"/>
  </w:style>
  <w:style w:type="paragraph" w:customStyle="1" w:styleId="p2">
    <w:name w:val="p2"/>
    <w:basedOn w:val="Normal"/>
    <w:rsid w:val="00CE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E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E1ACE"/>
  </w:style>
  <w:style w:type="character" w:customStyle="1" w:styleId="apple-converted-space">
    <w:name w:val="apple-converted-space"/>
    <w:basedOn w:val="DefaultParagraphFont"/>
    <w:rsid w:val="00CE1ACE"/>
  </w:style>
  <w:style w:type="character" w:customStyle="1" w:styleId="s4">
    <w:name w:val="s4"/>
    <w:basedOn w:val="DefaultParagraphFont"/>
    <w:rsid w:val="00CE1ACE"/>
  </w:style>
  <w:style w:type="table" w:styleId="GridTable5Dark-Accent2">
    <w:name w:val="Grid Table 5 Dark Accent 2"/>
    <w:basedOn w:val="TableNormal"/>
    <w:uiPriority w:val="50"/>
    <w:rsid w:val="003C5C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Girvetz, Evan (Alliance Bioversity-CIAT)</dc:creator>
  <cp:keywords/>
  <dc:description/>
  <cp:lastModifiedBy>Girvetz, Evan (Alliance Bioversity-CIAT)</cp:lastModifiedBy>
  <cp:revision>7</cp:revision>
  <dcterms:created xsi:type="dcterms:W3CDTF">2026-02-12T21:54:00Z</dcterms:created>
  <dcterms:modified xsi:type="dcterms:W3CDTF">2026-02-13T10:40:00Z</dcterms:modified>
</cp:coreProperties>
</file>