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C165" w14:textId="77777777" w:rsidR="00331A44" w:rsidRPr="007B4537" w:rsidRDefault="00331A44" w:rsidP="00331A44">
      <w:pPr>
        <w:spacing w:after="0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  <w:t>Scaling Track 2.3 – Forage-Based Livestock Feed Innovations</w:t>
      </w:r>
    </w:p>
    <w:p w14:paraId="7D6B32C7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487FC80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Lead Center: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ILRI</w:t>
      </w:r>
    </w:p>
    <w:p w14:paraId="3FEE65E2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Countries: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Ethiopia, Zambia</w:t>
      </w:r>
    </w:p>
    <w:p w14:paraId="37C76F76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Flagship Alignment: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AoW2 Flagship 2.3 – Delivering Sustainable Animal and Aquaculture Genetics, Inputs, and Services</w:t>
      </w:r>
    </w:p>
    <w:p w14:paraId="790BCBF8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proofErr w:type="spellStart"/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PoD</w:t>
      </w:r>
      <w:proofErr w:type="spellEnd"/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Target (2026):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53,234 smallholder farmers adopting forage-based innovations (Center Decision Letter target)</w:t>
      </w:r>
    </w:p>
    <w:p w14:paraId="549CDB95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Current Slide Target (2026):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20,000 reached; 14,000 applying innovations  </w:t>
      </w:r>
    </w:p>
    <w:p w14:paraId="20A0D1F3" w14:textId="77777777" w:rsidR="00331A44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4A3238E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Current Situation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Multiple years of validation (Africa RISING, SAPLING, Mixed Farming Systems)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; d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emonstrated productivity and income gains in Ethiopia and Zambia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Scaling Readiness: 6 (Ethiopia), 8 (Zambia)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IPSR packaging completed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. </w:t>
      </w: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Technology validation is not the binding constraint.</w:t>
      </w:r>
    </w:p>
    <w:p w14:paraId="1197D4FB" w14:textId="77777777" w:rsidR="00331A44" w:rsidRDefault="00331A44" w:rsidP="00331A44">
      <w:pPr>
        <w:spacing w:after="0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8D26539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2. Key Limiting Factors</w:t>
      </w:r>
    </w:p>
    <w:p w14:paraId="0A81EC7D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55A3467" w14:textId="77777777" w:rsidR="00331A44" w:rsidRPr="007B4537" w:rsidRDefault="00331A44" w:rsidP="00331A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Ethiopia – Market Distortion</w:t>
      </w:r>
    </w:p>
    <w:p w14:paraId="609927B6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E955837" w14:textId="77777777" w:rsidR="00331A44" w:rsidRPr="007B4537" w:rsidRDefault="00331A44" w:rsidP="00331A44">
      <w:pPr>
        <w:pStyle w:val="ListParagraph"/>
        <w:numPr>
          <w:ilvl w:val="0"/>
          <w:numId w:val="26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Indiscriminate free forage seed distribution by government undermines private seed market development </w:t>
      </w:r>
      <w:r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(primary factor)</w:t>
      </w:r>
    </w:p>
    <w:p w14:paraId="726633C8" w14:textId="77777777" w:rsidR="00331A44" w:rsidRPr="007B4537" w:rsidRDefault="00331A44" w:rsidP="00331A44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Weak commercial incentives for private seed enterprises</w:t>
      </w:r>
    </w:p>
    <w:p w14:paraId="55DD7EF5" w14:textId="77777777" w:rsidR="00331A44" w:rsidRPr="007B4537" w:rsidRDefault="00331A44" w:rsidP="00331A44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High transaction costs (bulky forage biomass)</w:t>
      </w:r>
    </w:p>
    <w:p w14:paraId="2D5C6E39" w14:textId="77777777" w:rsidR="00331A44" w:rsidRPr="007B4537" w:rsidRDefault="00331A44" w:rsidP="00331A44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Limited formalization of seed market channels</w:t>
      </w:r>
    </w:p>
    <w:p w14:paraId="4DFD45CA" w14:textId="77777777" w:rsidR="00331A44" w:rsidRDefault="00331A44" w:rsidP="00331A44">
      <w:pPr>
        <w:spacing w:after="0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86B425C" w14:textId="77777777" w:rsidR="00331A44" w:rsidRPr="007B4537" w:rsidRDefault="00331A44" w:rsidP="00331A4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Zambia – Thin Commercial Ecosystem</w:t>
      </w:r>
    </w:p>
    <w:p w14:paraId="15DD6D16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AAE982A" w14:textId="77777777" w:rsidR="00331A44" w:rsidRPr="007B4537" w:rsidRDefault="00331A44" w:rsidP="00331A44">
      <w:pPr>
        <w:pStyle w:val="ListParagraph"/>
        <w:numPr>
          <w:ilvl w:val="0"/>
          <w:numId w:val="26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Key structural constraints:</w:t>
      </w:r>
    </w:p>
    <w:p w14:paraId="471085C8" w14:textId="77777777" w:rsidR="00331A44" w:rsidRPr="007B4537" w:rsidRDefault="00331A44" w:rsidP="00331A44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Fragmented forage/feed enterprise ecosystem</w:t>
      </w:r>
    </w:p>
    <w:p w14:paraId="5FE93387" w14:textId="77777777" w:rsidR="00331A44" w:rsidRPr="007B4537" w:rsidRDefault="00331A44" w:rsidP="00331A44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Weak SME financing integration</w:t>
      </w:r>
    </w:p>
    <w:p w14:paraId="106AB523" w14:textId="77777777" w:rsidR="00331A44" w:rsidRPr="007B4537" w:rsidRDefault="00331A44" w:rsidP="00331A44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Limited regulatory formalization</w:t>
      </w:r>
    </w:p>
    <w:p w14:paraId="68B3B330" w14:textId="77777777" w:rsidR="00331A44" w:rsidRDefault="00331A44" w:rsidP="00331A44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Dependence on projects rather than commercial models</w:t>
      </w:r>
    </w:p>
    <w:p w14:paraId="50EE3079" w14:textId="77777777" w:rsidR="00331A44" w:rsidRPr="007B4537" w:rsidRDefault="00331A44" w:rsidP="00331A44">
      <w:pPr>
        <w:pStyle w:val="ListParagraph"/>
        <w:numPr>
          <w:ilvl w:val="0"/>
          <w:numId w:val="19"/>
        </w:numPr>
        <w:tabs>
          <w:tab w:val="clear" w:pos="1080"/>
          <w:tab w:val="num" w:pos="720"/>
        </w:tabs>
        <w:spacing w:after="0" w:line="240" w:lineRule="auto"/>
        <w:ind w:left="81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The slides position </w:t>
      </w: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“registered feed diets” and feed industry concepts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as S4I’s unique value add, but operational details are not yet fully specified.</w:t>
      </w:r>
    </w:p>
    <w:p w14:paraId="5CC66B58" w14:textId="77777777" w:rsidR="00331A44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311038F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The Scaling Question to Be Answered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What institutional or market rule must change within 24 months to enable self-sustaining forage input and feed markets?</w:t>
      </w:r>
    </w:p>
    <w:p w14:paraId="7EC250B3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F9ED55D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Specifically:</w:t>
      </w:r>
    </w:p>
    <w:p w14:paraId="0B6C5809" w14:textId="77777777" w:rsidR="00331A44" w:rsidRPr="007B4537" w:rsidRDefault="00331A44" w:rsidP="00331A44">
      <w:pPr>
        <w:numPr>
          <w:ilvl w:val="0"/>
          <w:numId w:val="20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Ethiopia: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Can government policy shift from free seed distribution to structured, market-based seed systems?</w:t>
      </w:r>
    </w:p>
    <w:p w14:paraId="5679FF80" w14:textId="77777777" w:rsidR="00331A44" w:rsidRPr="007B4537" w:rsidRDefault="00331A44" w:rsidP="00331A44">
      <w:pPr>
        <w:numPr>
          <w:ilvl w:val="0"/>
          <w:numId w:val="20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Zambia: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Can forage-based feed rations be formalized and commercialized in a way that unlocks SME finance and market demand?</w:t>
      </w:r>
    </w:p>
    <w:p w14:paraId="214BAE1D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F63557D" w14:textId="77777777" w:rsidR="00331A44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0D39D23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Existing </w:t>
      </w:r>
      <w:proofErr w:type="spellStart"/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Bilaterals</w:t>
      </w:r>
      <w:proofErr w:type="spellEnd"/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AICCRA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(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Feed gap bridging, forage seed systems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);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TAAT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(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Seed multiplication, capacity building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);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UNIQUE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, SNV (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Fodder promotion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ESLIP (EU) – Forage scaling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JSL (World Bank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;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Legume promotion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</w:p>
    <w:p w14:paraId="614023CD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4AA5260" w14:textId="77777777" w:rsidR="00331A44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Existing </w:t>
      </w:r>
      <w:proofErr w:type="spellStart"/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bilaterals</w:t>
      </w:r>
      <w:proofErr w:type="spellEnd"/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already cover agronomic validation, extension training, demonstrations, seed multiplication, advisory services, and stakeholder engagement. </w:t>
      </w: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If S4I primarily funds additional training, coordination platforms, Living Labs, or advisory refinement, duplication risk will be moderate to high.</w:t>
      </w:r>
    </w:p>
    <w:p w14:paraId="45272416" w14:textId="77777777" w:rsidR="00331A44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9A03989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S4I Additionality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Slide deck positions additionality as: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Pr="007B4537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“Mainstreaming bilateral works into a national scaling strategy.” 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is coherence-building additionality.</w:t>
      </w:r>
    </w:p>
    <w:p w14:paraId="62CBF291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5258E8D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However:</w:t>
      </w:r>
    </w:p>
    <w:p w14:paraId="4CDA83F3" w14:textId="77777777" w:rsidR="00331A44" w:rsidRPr="007B4537" w:rsidRDefault="00331A44" w:rsidP="00331A44">
      <w:pPr>
        <w:numPr>
          <w:ilvl w:val="0"/>
          <w:numId w:val="2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It is coordination-focused, not rule-changing.</w:t>
      </w:r>
    </w:p>
    <w:p w14:paraId="7604DB1D" w14:textId="77777777" w:rsidR="00331A44" w:rsidRPr="007B4537" w:rsidRDefault="00331A44" w:rsidP="00331A44">
      <w:pPr>
        <w:numPr>
          <w:ilvl w:val="0"/>
          <w:numId w:val="2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It does not yet specify institutional reform milestones.</w:t>
      </w:r>
    </w:p>
    <w:p w14:paraId="3356DF92" w14:textId="77777777" w:rsidR="00331A44" w:rsidRPr="007B4537" w:rsidRDefault="00331A44" w:rsidP="00331A44">
      <w:pPr>
        <w:numPr>
          <w:ilvl w:val="0"/>
          <w:numId w:val="2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It lacks clearly defined exit criteria.</w:t>
      </w:r>
    </w:p>
    <w:p w14:paraId="26CBBD6E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12EF32F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To justify S4I engagement, additionality must move beyond alignment toward structural unlock.</w:t>
      </w:r>
    </w:p>
    <w:p w14:paraId="31344431" w14:textId="77777777" w:rsidR="00331A44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D28D7DA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Core Strategic Questions</w:t>
      </w:r>
    </w:p>
    <w:p w14:paraId="62EDAE0B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What is the binding constraint in each country?</w:t>
      </w:r>
    </w:p>
    <w:p w14:paraId="533AD2C2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Which constraint can realistically shift in 24 months?</w:t>
      </w:r>
    </w:p>
    <w:p w14:paraId="12B4327F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What defines institutional success?</w:t>
      </w:r>
    </w:p>
    <w:p w14:paraId="2601F9B2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Which partners are truly catalytic vs. supportive?</w:t>
      </w:r>
    </w:p>
    <w:p w14:paraId="34D4E70C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How does this reach 53,234 adopters in 2026?</w:t>
      </w:r>
    </w:p>
    <w:p w14:paraId="66B098D7" w14:textId="77777777" w:rsidR="00331A44" w:rsidRPr="007B4537" w:rsidRDefault="00331A44" w:rsidP="00331A44">
      <w:pPr>
        <w:numPr>
          <w:ilvl w:val="0"/>
          <w:numId w:val="2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What defines S4I exit?</w:t>
      </w:r>
    </w:p>
    <w:p w14:paraId="1FE45603" w14:textId="77777777" w:rsidR="00331A44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5C465C4" w14:textId="77777777" w:rsidR="00331A44" w:rsidRPr="007B4537" w:rsidRDefault="00331A44" w:rsidP="00331A4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Risk Assessment Summary</w:t>
      </w:r>
    </w:p>
    <w:p w14:paraId="2A80DE48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CDC2DF9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track is scientifically strong but structurally diffuse.</w:t>
      </w:r>
    </w:p>
    <w:p w14:paraId="15DC7DAE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6CE35FB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The central risk is </w:t>
      </w: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breadth without prioritization.</w:t>
      </w:r>
    </w:p>
    <w:p w14:paraId="6FF9B9BE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A57ACE0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Without identifying one catalytic lever per country, impact may remain incremental.</w:t>
      </w:r>
    </w:p>
    <w:p w14:paraId="708FFB24" w14:textId="77777777" w:rsidR="00331A44" w:rsidRPr="007B4537" w:rsidRDefault="00331A44" w:rsidP="00331A44">
      <w:pPr>
        <w:spacing w:after="0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  <w:t>Overall Strategic Position</w:t>
      </w:r>
    </w:p>
    <w:p w14:paraId="5EA29840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EB7B8FA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Strengths</w:t>
      </w:r>
    </w:p>
    <w:p w14:paraId="09400D9D" w14:textId="77777777" w:rsidR="00331A44" w:rsidRPr="007B4537" w:rsidRDefault="00331A44" w:rsidP="00331A44">
      <w:pPr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Strong evidence base</w:t>
      </w:r>
    </w:p>
    <w:p w14:paraId="7956FBC0" w14:textId="77777777" w:rsidR="00331A44" w:rsidRPr="007B4537" w:rsidRDefault="00331A44" w:rsidP="00331A44">
      <w:pPr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High livelihood impact potential</w:t>
      </w:r>
    </w:p>
    <w:p w14:paraId="1904EC0A" w14:textId="77777777" w:rsidR="00331A44" w:rsidRPr="007B4537" w:rsidRDefault="00331A44" w:rsidP="00331A44">
      <w:pPr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Clear productivity gains</w:t>
      </w:r>
    </w:p>
    <w:p w14:paraId="6CDFF5B3" w14:textId="77777777" w:rsidR="00331A44" w:rsidRPr="007B4537" w:rsidRDefault="00331A44" w:rsidP="00331A44">
      <w:pPr>
        <w:numPr>
          <w:ilvl w:val="0"/>
          <w:numId w:val="23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Strong ILRI leadership</w:t>
      </w:r>
    </w:p>
    <w:p w14:paraId="66E1CB76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F475C3C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Concerns</w:t>
      </w:r>
    </w:p>
    <w:p w14:paraId="6FAA58FD" w14:textId="77777777" w:rsidR="00331A44" w:rsidRPr="007B4537" w:rsidRDefault="00331A44" w:rsidP="00331A44">
      <w:pPr>
        <w:numPr>
          <w:ilvl w:val="0"/>
          <w:numId w:val="2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Diffuse intervention package</w:t>
      </w:r>
    </w:p>
    <w:p w14:paraId="7524D107" w14:textId="77777777" w:rsidR="00331A44" w:rsidRPr="007B4537" w:rsidRDefault="00331A44" w:rsidP="00331A44">
      <w:pPr>
        <w:numPr>
          <w:ilvl w:val="0"/>
          <w:numId w:val="2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Coordination-heavy additionality</w:t>
      </w:r>
    </w:p>
    <w:p w14:paraId="2073E1C5" w14:textId="77777777" w:rsidR="00331A44" w:rsidRPr="007B4537" w:rsidRDefault="00331A44" w:rsidP="00331A44">
      <w:pPr>
        <w:numPr>
          <w:ilvl w:val="0"/>
          <w:numId w:val="2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No clearly defined institutional milestone</w:t>
      </w:r>
    </w:p>
    <w:p w14:paraId="18A90F85" w14:textId="77777777" w:rsidR="00331A44" w:rsidRPr="007B4537" w:rsidRDefault="00331A44" w:rsidP="00331A44">
      <w:pPr>
        <w:numPr>
          <w:ilvl w:val="0"/>
          <w:numId w:val="2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Target recalibrated to budget rather than leverage</w:t>
      </w:r>
    </w:p>
    <w:p w14:paraId="28C529B3" w14:textId="77777777" w:rsidR="00331A44" w:rsidRDefault="00331A44" w:rsidP="00331A44">
      <w:pPr>
        <w:spacing w:after="0" w:line="240" w:lineRule="auto"/>
        <w:outlineLvl w:val="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EDD7D56" w14:textId="77777777" w:rsidR="00331A44" w:rsidRPr="007B4537" w:rsidRDefault="00331A44" w:rsidP="00331A44">
      <w:pPr>
        <w:spacing w:after="0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b/>
          <w:bCs/>
          <w:kern w:val="36"/>
          <w:sz w:val="22"/>
          <w:szCs w:val="22"/>
          <w14:ligatures w14:val="none"/>
        </w:rPr>
        <w:t>Bottom Line</w:t>
      </w:r>
    </w:p>
    <w:p w14:paraId="021E26C2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9C1A423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is a scientifically robust and high-potential track.</w:t>
      </w:r>
    </w:p>
    <w:p w14:paraId="74C2AD61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6B824AD6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However, to be positioned as a true scaling engine within S4I, it must:</w:t>
      </w:r>
    </w:p>
    <w:p w14:paraId="007DE377" w14:textId="77777777" w:rsidR="00331A44" w:rsidRPr="007B4537" w:rsidRDefault="00331A44" w:rsidP="00331A44">
      <w:pPr>
        <w:numPr>
          <w:ilvl w:val="0"/>
          <w:numId w:val="25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Sharpen the binding constraint in each country</w:t>
      </w:r>
    </w:p>
    <w:p w14:paraId="788BF91C" w14:textId="77777777" w:rsidR="00331A44" w:rsidRPr="007B4537" w:rsidRDefault="00331A44" w:rsidP="00331A44">
      <w:pPr>
        <w:numPr>
          <w:ilvl w:val="0"/>
          <w:numId w:val="25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Identify a key</w:t>
      </w: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catalytic reform per country</w:t>
      </w:r>
    </w:p>
    <w:p w14:paraId="2CE09FCF" w14:textId="77777777" w:rsidR="00331A44" w:rsidRPr="007B4537" w:rsidRDefault="00331A44" w:rsidP="00331A44">
      <w:pPr>
        <w:numPr>
          <w:ilvl w:val="0"/>
          <w:numId w:val="25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Clarify finance integration</w:t>
      </w:r>
    </w:p>
    <w:p w14:paraId="405F9826" w14:textId="77777777" w:rsidR="00331A44" w:rsidRPr="007B4537" w:rsidRDefault="00331A44" w:rsidP="00331A44">
      <w:pPr>
        <w:numPr>
          <w:ilvl w:val="0"/>
          <w:numId w:val="25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Reduce breadth and prioritize leverage</w:t>
      </w:r>
    </w:p>
    <w:p w14:paraId="2E5CBC61" w14:textId="77777777" w:rsidR="00331A44" w:rsidRPr="007B4537" w:rsidRDefault="00331A44" w:rsidP="00331A44">
      <w:pPr>
        <w:numPr>
          <w:ilvl w:val="0"/>
          <w:numId w:val="25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B453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Define a 2026 institutional success trigger</w:t>
      </w:r>
    </w:p>
    <w:p w14:paraId="36B38F29" w14:textId="77777777" w:rsidR="00331A44" w:rsidRPr="007B4537" w:rsidRDefault="00331A44" w:rsidP="00331A4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187DB08" w14:textId="77777777" w:rsidR="00331A44" w:rsidRPr="007B4537" w:rsidRDefault="00331A44" w:rsidP="00331A44">
      <w:pPr>
        <w:spacing w:after="0" w:line="240" w:lineRule="auto"/>
        <w:rPr>
          <w:rFonts w:ascii="Aptos" w:hAnsi="Aptos"/>
          <w:sz w:val="22"/>
          <w:szCs w:val="22"/>
        </w:rPr>
      </w:pPr>
      <w:r w:rsidRPr="007B4537">
        <w:rPr>
          <w:rFonts w:ascii="Aptos" w:hAnsi="Aptos"/>
          <w:sz w:val="22"/>
          <w:szCs w:val="22"/>
        </w:rPr>
        <w:br w:type="page"/>
      </w:r>
    </w:p>
    <w:sectPr w:rsidR="00331A44" w:rsidRPr="007B4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464"/>
    <w:multiLevelType w:val="multilevel"/>
    <w:tmpl w:val="039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29C7"/>
    <w:multiLevelType w:val="multilevel"/>
    <w:tmpl w:val="FB3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3B90"/>
    <w:multiLevelType w:val="multilevel"/>
    <w:tmpl w:val="885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3FA9"/>
    <w:multiLevelType w:val="multilevel"/>
    <w:tmpl w:val="DC0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112FA"/>
    <w:multiLevelType w:val="multilevel"/>
    <w:tmpl w:val="4BF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60A12"/>
    <w:multiLevelType w:val="multilevel"/>
    <w:tmpl w:val="11A8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113A7"/>
    <w:multiLevelType w:val="multilevel"/>
    <w:tmpl w:val="4064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2686"/>
    <w:multiLevelType w:val="multilevel"/>
    <w:tmpl w:val="3278AE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1196"/>
    <w:multiLevelType w:val="multilevel"/>
    <w:tmpl w:val="9D7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239B0"/>
    <w:multiLevelType w:val="hybridMultilevel"/>
    <w:tmpl w:val="BF06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15B26"/>
    <w:multiLevelType w:val="multilevel"/>
    <w:tmpl w:val="0DD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42227"/>
    <w:multiLevelType w:val="multilevel"/>
    <w:tmpl w:val="CBC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11D9"/>
    <w:multiLevelType w:val="multilevel"/>
    <w:tmpl w:val="D92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86DF9"/>
    <w:multiLevelType w:val="multilevel"/>
    <w:tmpl w:val="75A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430DA"/>
    <w:multiLevelType w:val="multilevel"/>
    <w:tmpl w:val="A1E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94A16"/>
    <w:multiLevelType w:val="multilevel"/>
    <w:tmpl w:val="D9B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869E6"/>
    <w:multiLevelType w:val="multilevel"/>
    <w:tmpl w:val="B5B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25707"/>
    <w:multiLevelType w:val="multilevel"/>
    <w:tmpl w:val="059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61E97"/>
    <w:multiLevelType w:val="multilevel"/>
    <w:tmpl w:val="80D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50118"/>
    <w:multiLevelType w:val="multilevel"/>
    <w:tmpl w:val="37B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703EE"/>
    <w:multiLevelType w:val="multilevel"/>
    <w:tmpl w:val="FA6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92568"/>
    <w:multiLevelType w:val="multilevel"/>
    <w:tmpl w:val="98F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B4A89"/>
    <w:multiLevelType w:val="multilevel"/>
    <w:tmpl w:val="5D1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E5B1F"/>
    <w:multiLevelType w:val="multilevel"/>
    <w:tmpl w:val="062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056A7"/>
    <w:multiLevelType w:val="multilevel"/>
    <w:tmpl w:val="26D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51810"/>
    <w:multiLevelType w:val="multilevel"/>
    <w:tmpl w:val="92B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348032">
    <w:abstractNumId w:val="21"/>
  </w:num>
  <w:num w:numId="2" w16cid:durableId="1294559915">
    <w:abstractNumId w:val="8"/>
  </w:num>
  <w:num w:numId="3" w16cid:durableId="330446454">
    <w:abstractNumId w:val="0"/>
  </w:num>
  <w:num w:numId="4" w16cid:durableId="1204516482">
    <w:abstractNumId w:val="25"/>
  </w:num>
  <w:num w:numId="5" w16cid:durableId="1877231996">
    <w:abstractNumId w:val="11"/>
  </w:num>
  <w:num w:numId="6" w16cid:durableId="220793732">
    <w:abstractNumId w:val="17"/>
  </w:num>
  <w:num w:numId="7" w16cid:durableId="2138715257">
    <w:abstractNumId w:val="4"/>
  </w:num>
  <w:num w:numId="8" w16cid:durableId="1708143770">
    <w:abstractNumId w:val="14"/>
  </w:num>
  <w:num w:numId="9" w16cid:durableId="2066025962">
    <w:abstractNumId w:val="12"/>
  </w:num>
  <w:num w:numId="10" w16cid:durableId="1346663924">
    <w:abstractNumId w:val="1"/>
  </w:num>
  <w:num w:numId="11" w16cid:durableId="1371035505">
    <w:abstractNumId w:val="24"/>
  </w:num>
  <w:num w:numId="12" w16cid:durableId="1770275523">
    <w:abstractNumId w:val="13"/>
  </w:num>
  <w:num w:numId="13" w16cid:durableId="1694526407">
    <w:abstractNumId w:val="22"/>
  </w:num>
  <w:num w:numId="14" w16cid:durableId="194271152">
    <w:abstractNumId w:val="5"/>
  </w:num>
  <w:num w:numId="15" w16cid:durableId="1536432225">
    <w:abstractNumId w:val="3"/>
  </w:num>
  <w:num w:numId="16" w16cid:durableId="947196240">
    <w:abstractNumId w:val="19"/>
  </w:num>
  <w:num w:numId="17" w16cid:durableId="1084228881">
    <w:abstractNumId w:val="23"/>
  </w:num>
  <w:num w:numId="18" w16cid:durableId="246427061">
    <w:abstractNumId w:val="15"/>
  </w:num>
  <w:num w:numId="19" w16cid:durableId="1951356253">
    <w:abstractNumId w:val="7"/>
  </w:num>
  <w:num w:numId="20" w16cid:durableId="1252354755">
    <w:abstractNumId w:val="2"/>
  </w:num>
  <w:num w:numId="21" w16cid:durableId="355351839">
    <w:abstractNumId w:val="16"/>
  </w:num>
  <w:num w:numId="22" w16cid:durableId="2011322673">
    <w:abstractNumId w:val="6"/>
  </w:num>
  <w:num w:numId="23" w16cid:durableId="1941836799">
    <w:abstractNumId w:val="10"/>
  </w:num>
  <w:num w:numId="24" w16cid:durableId="318778693">
    <w:abstractNumId w:val="20"/>
  </w:num>
  <w:num w:numId="25" w16cid:durableId="1110514835">
    <w:abstractNumId w:val="18"/>
  </w:num>
  <w:num w:numId="26" w16cid:durableId="917637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1F"/>
    <w:rsid w:val="0002683F"/>
    <w:rsid w:val="000F7BF9"/>
    <w:rsid w:val="00200546"/>
    <w:rsid w:val="00331A44"/>
    <w:rsid w:val="003524AC"/>
    <w:rsid w:val="00453537"/>
    <w:rsid w:val="005662FB"/>
    <w:rsid w:val="005A06FB"/>
    <w:rsid w:val="00660D1F"/>
    <w:rsid w:val="006D5D99"/>
    <w:rsid w:val="006E6FB3"/>
    <w:rsid w:val="006E7D0E"/>
    <w:rsid w:val="00881AD9"/>
    <w:rsid w:val="008D0C65"/>
    <w:rsid w:val="009611E0"/>
    <w:rsid w:val="00987E04"/>
    <w:rsid w:val="009D02C4"/>
    <w:rsid w:val="00AD1DA6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DF95"/>
  <w15:chartTrackingRefBased/>
  <w15:docId w15:val="{43844294-5B3C-EE4B-9B8D-19305D8E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A44"/>
  </w:style>
  <w:style w:type="paragraph" w:styleId="Heading1">
    <w:name w:val="heading 1"/>
    <w:basedOn w:val="Normal"/>
    <w:next w:val="Normal"/>
    <w:link w:val="Heading1Char"/>
    <w:uiPriority w:val="9"/>
    <w:qFormat/>
    <w:rsid w:val="0066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1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2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2683F"/>
  </w:style>
  <w:style w:type="paragraph" w:customStyle="1" w:styleId="p2">
    <w:name w:val="p2"/>
    <w:basedOn w:val="Normal"/>
    <w:rsid w:val="0002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2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2683F"/>
  </w:style>
  <w:style w:type="paragraph" w:customStyle="1" w:styleId="p4">
    <w:name w:val="p4"/>
    <w:basedOn w:val="Normal"/>
    <w:rsid w:val="0002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2683F"/>
  </w:style>
  <w:style w:type="character" w:customStyle="1" w:styleId="apple-converted-space">
    <w:name w:val="apple-converted-space"/>
    <w:basedOn w:val="DefaultParagraphFont"/>
    <w:rsid w:val="0002683F"/>
  </w:style>
  <w:style w:type="paragraph" w:customStyle="1" w:styleId="p5">
    <w:name w:val="p5"/>
    <w:basedOn w:val="Normal"/>
    <w:rsid w:val="00453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2">
    <w:name w:val="Grid Table 5 Dark Accent 2"/>
    <w:basedOn w:val="TableNormal"/>
    <w:uiPriority w:val="50"/>
    <w:rsid w:val="005662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Girvetz, Evan (Alliance Bioversity-CIAT)</dc:creator>
  <cp:keywords/>
  <dc:description/>
  <cp:lastModifiedBy>Girvetz, Evan (Alliance Bioversity-CIAT)</cp:lastModifiedBy>
  <cp:revision>12</cp:revision>
  <dcterms:created xsi:type="dcterms:W3CDTF">2026-02-12T20:59:00Z</dcterms:created>
  <dcterms:modified xsi:type="dcterms:W3CDTF">2026-02-12T22:09:00Z</dcterms:modified>
</cp:coreProperties>
</file>