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F374E"/>
          <w:sz w:val="48"/>
        </w:rPr>
        <w:t>CONSERVATION AGRICULTURE</w:t>
        <w:br/>
        <w:t>ONE MILLION HECTARES - MOROCCO</w:t>
      </w:r>
    </w:p>
    <w:p>
      <w:pPr>
        <w:jc w:val="center"/>
      </w:pPr>
      <w:r>
        <w:rPr>
          <w:rFonts w:ascii="Aptos Display" w:hAnsi="Aptos Display"/>
          <w:b/>
          <w:color w:val="266F76"/>
          <w:sz w:val="32"/>
        </w:rPr>
        <w:t>Comprehensive Coaching Session Notes</w:t>
      </w:r>
    </w:p>
    <w:p>
      <w:pPr>
        <w:spacing w:before="440"/>
        <w:jc w:val="center"/>
      </w:pPr>
      <w:r>
        <w:rPr>
          <w:rFonts w:ascii="Aptos" w:hAnsi="Aptos"/>
          <w:color w:val="646464"/>
          <w:sz w:val="22"/>
        </w:rPr>
        <w:t>Session date: 20 July 2026</w:t>
        <w:br/>
        <w:t>Recording length: 3 hours 10 minutes</w:t>
        <w:br/>
        <w:t>Focus: scaling conservation agriculture and nationally developed resilient varieties in Morocco</w:t>
      </w:r>
    </w:p>
    <w:tbl>
      <w:tblPr>
        <w:tblW w:type="auto" w:w="0"/>
        <w:jc w:val="center"/>
        <w:tblLayout w:type="fixed"/>
        <w:tblLook w:firstColumn="1" w:firstRow="1" w:lastColumn="0" w:lastRow="0" w:noHBand="0" w:noVBand="1" w:val="04A0"/>
      </w:tblPr>
      <w:tblGrid>
        <w:gridCol w:w="9994"/>
      </w:tblGrid>
      <w:tr>
        <w:tc>
          <w:tcPr>
            <w:tcW w:type="dxa" w:w="9360"/>
            <w:shd w:fill="E9F2F4"/>
            <w:tcMar>
              <w:top w:w="180" w:type="dxa"/>
              <w:start w:w="200" w:type="dxa"/>
              <w:bottom w:w="180" w:type="dxa"/>
              <w:end w:w="200" w:type="dxa"/>
            </w:tcMar>
          </w:tcPr>
          <w:p>
            <w:r>
              <w:rPr>
                <w:b/>
                <w:color w:val="1F374E"/>
              </w:rPr>
              <w:t>Central coaching conclusion</w:t>
            </w:r>
            <w:r>
              <w:br/>
              <w:t>The solution track is technically mature, politically anchored and supported by a strong institutional coalition. Its central challenge is now execution at scale: moving from approximately 360,000 hectares to one million hectares while expanding beyond larger early adopters, strengthening differentiated machinery-service businesses, reforming the seed system, and progressively increasing adoption of crop rotation and residue management - not merely counting hectares planted with a no-till seeder.</w:t>
            </w:r>
          </w:p>
        </w:tc>
      </w:tr>
    </w:tbl>
    <w:p/>
    <w:p>
      <w:pPr>
        <w:jc w:val="center"/>
      </w:pPr>
      <w:r>
        <w:rPr>
          <w:i/>
          <w:color w:val="646464"/>
          <w:sz w:val="19"/>
        </w:rPr>
        <w:t>Prepared as a complete thematic record of the discussion, coaching observations, recommendations, commitments and unresolved issues.</w:t>
      </w:r>
    </w:p>
    <w:p>
      <w:r>
        <w:br w:type="page"/>
      </w:r>
    </w:p>
    <w:p>
      <w:pPr>
        <w:pStyle w:val="Heading1"/>
      </w:pPr>
      <w:r>
        <w:t>Contents</w:t>
      </w:r>
    </w:p>
    <w:p>
      <w:pPr>
        <w:spacing w:after="50"/>
        <w:ind w:left="259"/>
      </w:pPr>
      <w:r>
        <w:t>1. Executive synthesis</w:t>
      </w:r>
    </w:p>
    <w:p>
      <w:pPr>
        <w:spacing w:after="50"/>
        <w:ind w:left="259"/>
      </w:pPr>
      <w:r>
        <w:t>2. Session purpose, format and participants</w:t>
      </w:r>
    </w:p>
    <w:p>
      <w:pPr>
        <w:spacing w:after="50"/>
        <w:ind w:left="259"/>
      </w:pPr>
      <w:r>
        <w:t>3. National context and scaling ambition</w:t>
      </w:r>
    </w:p>
    <w:p>
      <w:pPr>
        <w:spacing w:after="50"/>
        <w:ind w:left="259"/>
      </w:pPr>
      <w:r>
        <w:t>4. What is being scaled: the conservation-agriculture package</w:t>
      </w:r>
    </w:p>
    <w:p>
      <w:pPr>
        <w:spacing w:after="50"/>
        <w:ind w:left="259"/>
      </w:pPr>
      <w:r>
        <w:t>5. Evidence base and value proposition</w:t>
      </w:r>
    </w:p>
    <w:p>
      <w:pPr>
        <w:spacing w:after="50"/>
        <w:ind w:left="259"/>
      </w:pPr>
      <w:r>
        <w:t>6. Adoption, uptake and how success should be counted</w:t>
      </w:r>
    </w:p>
    <w:p>
      <w:pPr>
        <w:spacing w:after="50"/>
        <w:ind w:left="259"/>
      </w:pPr>
      <w:r>
        <w:t>7. Machinery and no-till service-delivery pathway</w:t>
      </w:r>
    </w:p>
    <w:p>
      <w:pPr>
        <w:spacing w:after="50"/>
        <w:ind w:left="259"/>
      </w:pPr>
      <w:r>
        <w:t>8. National seed-system pathway</w:t>
      </w:r>
    </w:p>
    <w:p>
      <w:pPr>
        <w:spacing w:after="50"/>
        <w:ind w:left="259"/>
      </w:pPr>
      <w:r>
        <w:t>9. Rotation, residue retention and crop-livestock integration</w:t>
      </w:r>
    </w:p>
    <w:p>
      <w:pPr>
        <w:spacing w:after="50"/>
        <w:ind w:left="259"/>
      </w:pPr>
      <w:r>
        <w:t>10. Partner ecosystem, governance and institutional roles</w:t>
      </w:r>
    </w:p>
    <w:p>
      <w:pPr>
        <w:spacing w:after="50"/>
        <w:ind w:left="259"/>
      </w:pPr>
      <w:r>
        <w:t>11. Current activities and implementation progress</w:t>
      </w:r>
    </w:p>
    <w:p>
      <w:pPr>
        <w:spacing w:after="50"/>
        <w:ind w:left="259"/>
      </w:pPr>
      <w:r>
        <w:t>12. Realism of the one-million-hectare ambition</w:t>
      </w:r>
    </w:p>
    <w:p>
      <w:pPr>
        <w:spacing w:after="50"/>
        <w:ind w:left="259"/>
      </w:pPr>
      <w:r>
        <w:t>13. Monitoring, evaluation, verification and learning</w:t>
      </w:r>
    </w:p>
    <w:p>
      <w:pPr>
        <w:spacing w:after="50"/>
        <w:ind w:left="259"/>
      </w:pPr>
      <w:r>
        <w:t>14. Subsidies, incentives and sustainable financing</w:t>
      </w:r>
    </w:p>
    <w:p>
      <w:pPr>
        <w:spacing w:after="50"/>
        <w:ind w:left="259"/>
      </w:pPr>
      <w:r>
        <w:t>15. Inclusion, youth and differentiated farmer segments</w:t>
      </w:r>
    </w:p>
    <w:p>
      <w:pPr>
        <w:spacing w:after="50"/>
        <w:ind w:left="259"/>
      </w:pPr>
      <w:r>
        <w:t>16. Consolidated coaching recommendations</w:t>
      </w:r>
    </w:p>
    <w:p>
      <w:pPr>
        <w:spacing w:after="50"/>
        <w:ind w:left="259"/>
      </w:pPr>
      <w:r>
        <w:t>17. Follow-up actions and commitments</w:t>
      </w:r>
    </w:p>
    <w:p>
      <w:pPr>
        <w:spacing w:after="50"/>
        <w:ind w:left="259"/>
      </w:pPr>
      <w:r>
        <w:t>18. Outstanding questions and evidence gaps</w:t>
      </w:r>
    </w:p>
    <w:p>
      <w:pPr>
        <w:spacing w:after="50"/>
        <w:ind w:left="259"/>
      </w:pPr>
      <w:r>
        <w:t>19. Overall assessment of the solution track</w:t>
      </w:r>
    </w:p>
    <w:p>
      <w:pPr>
        <w:spacing w:after="50"/>
        <w:ind w:left="259"/>
      </w:pPr>
      <w:r>
        <w:t>Annex A. Key figures mentioned in the session</w:t>
      </w:r>
    </w:p>
    <w:p>
      <w:pPr>
        <w:spacing w:after="50"/>
        <w:ind w:left="259"/>
      </w:pPr>
      <w:r>
        <w:t>Annex B. Selected quotations and coaching messages</w:t>
      </w:r>
    </w:p>
    <w:p>
      <w:r>
        <w:br w:type="page"/>
      </w:r>
    </w:p>
    <w:p>
      <w:pPr>
        <w:pStyle w:val="Heading1"/>
      </w:pPr>
      <w:r>
        <w:t>1. Executive synthesis</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50" w:type="dxa"/>
              <w:bottom w:w="120" w:type="dxa"/>
              <w:end w:w="150" w:type="dxa"/>
            </w:tcMar>
          </w:tcPr>
          <w:p>
            <w:r>
              <w:rPr>
                <w:b/>
                <w:color w:val="1F374E"/>
              </w:rPr>
              <w:t>Bottom line</w:t>
            </w:r>
            <w:r>
              <w:br/>
              <w:t>Morocco has one of the strongest enabling environments among the solution tracks discussed in the coaching process: a formal national target, decades of agronomic research, active government and INRA leadership, a functioning machinery market, local manufacturing capacity, and growing private demand. The risk is not that conservation agriculture lacks value. The risk is that the initiative treats a complex transition as a single hectare target and assumes that the next 640,000 hectares will be reached through the same pathway as the first 360,000.</w:t>
            </w:r>
          </w:p>
        </w:tc>
      </w:tr>
    </w:tbl>
    <w:p>
      <w:pPr>
        <w:spacing w:after="0"/>
      </w:pPr>
    </w:p>
    <w:p>
      <w:pPr>
        <w:pStyle w:val="ExecutiveSummary"/>
      </w:pPr>
      <w:r>
        <w:t>The national ambition is to reach one million hectares under conservation agriculture by 2030 and increase the share of nationally developed resilient varieties. The track is positioned as a technical, evidence, convening and catalytic contribution to that government-led ambition.</w:t>
      </w:r>
    </w:p>
    <w:p>
      <w:pPr>
        <w:pStyle w:val="ExecutiveSummary"/>
      </w:pPr>
      <w:r>
        <w:t>The initiative has moved from a long research and validation phase into rapid uptake. The team reported approximately 360,000 hectares in 2026, after very limited expansion before the national program began. Even one million hectares would represent only about one-quarter of Morocco's cereal area, while suitability analysis suggests substantially more land could eventually transition.</w:t>
      </w:r>
    </w:p>
    <w:p>
      <w:pPr>
        <w:pStyle w:val="ExecutiveSummary"/>
      </w:pPr>
      <w:r>
        <w:t>Conservation agriculture was consistently described as a system rather than a machine. Its core pillars are minimum or no tillage, crop rotation and residue retention. Improved drought-tolerant varieties, context-specific fertilizer and sowing advice, weed management and other complementary practices strengthen the package.</w:t>
      </w:r>
    </w:p>
    <w:p>
      <w:pPr>
        <w:pStyle w:val="ExecutiveSummary"/>
      </w:pPr>
      <w:r>
        <w:t>Adoption is progressive. Many farmers begin with direct seeding or no-till, fewer add rotation, and residue retention is especially difficult where livestock depend on crop residues or where farmers cannot fence fields. Therefore, the program should report adoption by component and maturity level rather than presenting all no-till hectares as complete conservation-agriculture adoption.</w:t>
      </w:r>
    </w:p>
    <w:p>
      <w:pPr>
        <w:pStyle w:val="ExecutiveSummary"/>
      </w:pPr>
      <w:r>
        <w:t>The machinery pathway currently has the strongest momentum. Government subsidies, local production, imports, active machinery suppliers and service providers have generated demand. However, the next phase must expand access to smaller, sloping and more fragmented farms, improve machine fit and quality, and create profitable service models that can compete with conventional tillage providers.</w:t>
      </w:r>
    </w:p>
    <w:p>
      <w:pPr>
        <w:pStyle w:val="ExecutiveSummary"/>
      </w:pPr>
      <w:r>
        <w:t>The seed pathway is more structurally constrained. Farmers reportedly value locally developed varieties, but the system remains supply-driven and dominated by Sonacos. Imported varieties can be easier and cheaper for the system to source, while domestic varieties require investment in early-generation seed, multiplication, certification and royalties. Policy incentives are therefore misaligned with the government's target for national varieties.</w:t>
      </w:r>
    </w:p>
    <w:p>
      <w:pPr>
        <w:pStyle w:val="ExecutiveSummary"/>
      </w:pPr>
      <w:r>
        <w:t>The one-million-hectare target is possible only with acceleration, but acceleration cannot be assumed. Early growth has been led largely by larger and medium farmers and land compatible with existing seeders. The remaining segments may require smaller machines, different service-provider models, more intensive technical support and stronger incentives.</w:t>
      </w:r>
    </w:p>
    <w:p>
      <w:pPr>
        <w:pStyle w:val="ExecutiveSummary"/>
      </w:pPr>
      <w:r>
        <w:t>The coaching discussion strongly endorsed the team's systems approach and candor. The most important next step is to convert that understanding into a disaggregated strategy with separate targets, business models, evidence and learning questions for machinery services, resilient seed systems, crop rotation and residue management.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8"/>
            <w:tcMar>
              <w:top w:w="80" w:type="dxa"/>
              <w:start w:w="90" w:type="dxa"/>
              <w:bottom w:w="80" w:type="dxa"/>
              <w:end w:w="90" w:type="dxa"/>
            </w:tcMar>
            <w:vAlign w:val="center"/>
          </w:tcPr>
          <w:p>
            <w:pPr>
              <w:jc w:val="left"/>
            </w:pPr>
            <w:r>
              <w:rPr>
                <w:b/>
                <w:color w:val="FFFFFF"/>
                <w:sz w:val="18"/>
              </w:rPr>
              <w:t>Area</w:t>
            </w:r>
          </w:p>
        </w:tc>
        <w:tc>
          <w:tcPr>
            <w:tcW w:type="dxa" w:w="7056"/>
            <w:shd w:fill="1F4E78"/>
            <w:tcMar>
              <w:top w:w="80" w:type="dxa"/>
              <w:start w:w="90" w:type="dxa"/>
              <w:bottom w:w="80" w:type="dxa"/>
              <w:end w:w="90" w:type="dxa"/>
            </w:tcMar>
            <w:vAlign w:val="center"/>
          </w:tcPr>
          <w:p>
            <w:pPr>
              <w:jc w:val="left"/>
            </w:pPr>
            <w:r>
              <w:rPr>
                <w:b/>
                <w:color w:val="FFFFFF"/>
                <w:sz w:val="18"/>
              </w:rPr>
              <w:t>Coaching judgment</w:t>
            </w:r>
          </w:p>
        </w:tc>
      </w:tr>
      <w:tr>
        <w:tc>
          <w:tcPr>
            <w:tcW w:type="dxa" w:w="2448"/>
            <w:tcMar>
              <w:top w:w="80" w:type="dxa"/>
              <w:start w:w="90" w:type="dxa"/>
              <w:bottom w:w="80" w:type="dxa"/>
              <w:end w:w="90" w:type="dxa"/>
            </w:tcMar>
            <w:vAlign w:val="top"/>
          </w:tcPr>
          <w:p>
            <w:pPr>
              <w:spacing w:after="0"/>
            </w:pPr>
            <w:r>
              <w:rPr>
                <w:sz w:val="18"/>
              </w:rPr>
              <w:t>Technical validity</w:t>
            </w:r>
          </w:p>
        </w:tc>
        <w:tc>
          <w:tcPr>
            <w:tcW w:type="dxa" w:w="7056"/>
            <w:tcMar>
              <w:top w:w="80" w:type="dxa"/>
              <w:start w:w="90" w:type="dxa"/>
              <w:bottom w:w="80" w:type="dxa"/>
              <w:end w:w="90" w:type="dxa"/>
            </w:tcMar>
            <w:vAlign w:val="top"/>
          </w:tcPr>
          <w:p>
            <w:pPr>
              <w:spacing w:after="0"/>
            </w:pPr>
            <w:r>
              <w:rPr>
                <w:sz w:val="18"/>
              </w:rPr>
              <w:t>Strong. Long-term research and field evidence support no-till and wider conservation-agriculture practices, especially under drought.</w:t>
            </w:r>
          </w:p>
        </w:tc>
      </w:tr>
      <w:tr>
        <w:tc>
          <w:tcPr>
            <w:tcW w:type="dxa" w:w="2448"/>
            <w:shd w:fill="F8FAFC"/>
            <w:tcMar>
              <w:top w:w="80" w:type="dxa"/>
              <w:start w:w="90" w:type="dxa"/>
              <w:bottom w:w="80" w:type="dxa"/>
              <w:end w:w="90" w:type="dxa"/>
            </w:tcMar>
            <w:vAlign w:val="top"/>
          </w:tcPr>
          <w:p>
            <w:pPr>
              <w:spacing w:after="0"/>
            </w:pPr>
            <w:r>
              <w:rPr>
                <w:sz w:val="18"/>
              </w:rPr>
              <w:t>Political ownership</w:t>
            </w:r>
          </w:p>
        </w:tc>
        <w:tc>
          <w:tcPr>
            <w:tcW w:type="dxa" w:w="7056"/>
            <w:shd w:fill="F8FAFC"/>
            <w:tcMar>
              <w:top w:w="80" w:type="dxa"/>
              <w:start w:w="90" w:type="dxa"/>
              <w:bottom w:w="80" w:type="dxa"/>
              <w:end w:w="90" w:type="dxa"/>
            </w:tcMar>
            <w:vAlign w:val="top"/>
          </w:tcPr>
          <w:p>
            <w:pPr>
              <w:spacing w:after="0"/>
            </w:pPr>
            <w:r>
              <w:rPr>
                <w:sz w:val="18"/>
              </w:rPr>
              <w:t>Strong. The target is embedded in the national Green Generation strategy, with Ministry and INRA leadership.</w:t>
            </w:r>
          </w:p>
        </w:tc>
      </w:tr>
      <w:tr>
        <w:tc>
          <w:tcPr>
            <w:tcW w:type="dxa" w:w="2448"/>
            <w:tcMar>
              <w:top w:w="80" w:type="dxa"/>
              <w:start w:w="90" w:type="dxa"/>
              <w:bottom w:w="80" w:type="dxa"/>
              <w:end w:w="90" w:type="dxa"/>
            </w:tcMar>
            <w:vAlign w:val="top"/>
          </w:tcPr>
          <w:p>
            <w:pPr>
              <w:spacing w:after="0"/>
            </w:pPr>
            <w:r>
              <w:rPr>
                <w:sz w:val="18"/>
              </w:rPr>
              <w:t>Machinery scaling</w:t>
            </w:r>
          </w:p>
        </w:tc>
        <w:tc>
          <w:tcPr>
            <w:tcW w:type="dxa" w:w="7056"/>
            <w:tcMar>
              <w:top w:w="80" w:type="dxa"/>
              <w:start w:w="90" w:type="dxa"/>
              <w:bottom w:w="80" w:type="dxa"/>
              <w:end w:w="90" w:type="dxa"/>
            </w:tcMar>
            <w:vAlign w:val="top"/>
          </w:tcPr>
          <w:p>
            <w:pPr>
              <w:spacing w:after="0"/>
            </w:pPr>
            <w:r>
              <w:rPr>
                <w:sz w:val="18"/>
              </w:rPr>
              <w:t>Promising but uneven. Demand and supply exist, yet machine size, quality, after-sales service and service-provider economics must be segmented by context.</w:t>
            </w:r>
          </w:p>
        </w:tc>
      </w:tr>
      <w:tr>
        <w:tc>
          <w:tcPr>
            <w:tcW w:type="dxa" w:w="2448"/>
            <w:shd w:fill="F8FAFC"/>
            <w:tcMar>
              <w:top w:w="80" w:type="dxa"/>
              <w:start w:w="90" w:type="dxa"/>
              <w:bottom w:w="80" w:type="dxa"/>
              <w:end w:w="90" w:type="dxa"/>
            </w:tcMar>
            <w:vAlign w:val="top"/>
          </w:tcPr>
          <w:p>
            <w:pPr>
              <w:spacing w:after="0"/>
            </w:pPr>
            <w:r>
              <w:rPr>
                <w:sz w:val="18"/>
              </w:rPr>
              <w:t>Seed-system scaling</w:t>
            </w:r>
          </w:p>
        </w:tc>
        <w:tc>
          <w:tcPr>
            <w:tcW w:type="dxa" w:w="7056"/>
            <w:shd w:fill="F8FAFC"/>
            <w:tcMar>
              <w:top w:w="80" w:type="dxa"/>
              <w:start w:w="90" w:type="dxa"/>
              <w:bottom w:w="80" w:type="dxa"/>
              <w:end w:w="90" w:type="dxa"/>
            </w:tcMar>
            <w:vAlign w:val="top"/>
          </w:tcPr>
          <w:p>
            <w:pPr>
              <w:spacing w:after="0"/>
            </w:pPr>
            <w:r>
              <w:rPr>
                <w:sz w:val="18"/>
              </w:rPr>
              <w:t>Strategically important but slower and more politically complex because of early-generation seed capacity, Sonacos incentives, imports, royalties and subsidy design.</w:t>
            </w:r>
          </w:p>
        </w:tc>
      </w:tr>
      <w:tr>
        <w:tc>
          <w:tcPr>
            <w:tcW w:type="dxa" w:w="2448"/>
            <w:tcMar>
              <w:top w:w="80" w:type="dxa"/>
              <w:start w:w="90" w:type="dxa"/>
              <w:bottom w:w="80" w:type="dxa"/>
              <w:end w:w="90" w:type="dxa"/>
            </w:tcMar>
            <w:vAlign w:val="top"/>
          </w:tcPr>
          <w:p>
            <w:pPr>
              <w:spacing w:after="0"/>
            </w:pPr>
            <w:r>
              <w:rPr>
                <w:sz w:val="18"/>
              </w:rPr>
              <w:t>Full-package adoption</w:t>
            </w:r>
          </w:p>
        </w:tc>
        <w:tc>
          <w:tcPr>
            <w:tcW w:type="dxa" w:w="7056"/>
            <w:tcMar>
              <w:top w:w="80" w:type="dxa"/>
              <w:start w:w="90" w:type="dxa"/>
              <w:bottom w:w="80" w:type="dxa"/>
              <w:end w:w="90" w:type="dxa"/>
            </w:tcMar>
            <w:vAlign w:val="top"/>
          </w:tcPr>
          <w:p>
            <w:pPr>
              <w:spacing w:after="0"/>
            </w:pPr>
            <w:r>
              <w:rPr>
                <w:sz w:val="18"/>
              </w:rPr>
              <w:t>Limited and progressive. No-till uptake is substantially easier than rotation and residue retention.</w:t>
            </w:r>
          </w:p>
        </w:tc>
      </w:tr>
      <w:tr>
        <w:tc>
          <w:tcPr>
            <w:tcW w:type="dxa" w:w="2448"/>
            <w:shd w:fill="F8FAFC"/>
            <w:tcMar>
              <w:top w:w="80" w:type="dxa"/>
              <w:start w:w="90" w:type="dxa"/>
              <w:bottom w:w="80" w:type="dxa"/>
              <w:end w:w="90" w:type="dxa"/>
            </w:tcMar>
            <w:vAlign w:val="top"/>
          </w:tcPr>
          <w:p>
            <w:pPr>
              <w:spacing w:after="0"/>
            </w:pPr>
            <w:r>
              <w:rPr>
                <w:sz w:val="18"/>
              </w:rPr>
              <w:t>One-million-hectare realism</w:t>
            </w:r>
          </w:p>
        </w:tc>
        <w:tc>
          <w:tcPr>
            <w:tcW w:type="dxa" w:w="7056"/>
            <w:shd w:fill="F8FAFC"/>
            <w:tcMar>
              <w:top w:w="80" w:type="dxa"/>
              <w:start w:w="90" w:type="dxa"/>
              <w:bottom w:w="80" w:type="dxa"/>
              <w:end w:w="90" w:type="dxa"/>
            </w:tcMar>
            <w:vAlign w:val="top"/>
          </w:tcPr>
          <w:p>
            <w:pPr>
              <w:spacing w:after="0"/>
            </w:pPr>
            <w:r>
              <w:rPr>
                <w:sz w:val="18"/>
              </w:rPr>
              <w:t>Ambitious and not impossible, but it requires explicit acceleration scenarios and should not be presented as automatic.</w:t>
            </w:r>
          </w:p>
        </w:tc>
      </w:tr>
      <w:tr>
        <w:tc>
          <w:tcPr>
            <w:tcW w:type="dxa" w:w="2448"/>
            <w:tcMar>
              <w:top w:w="80" w:type="dxa"/>
              <w:start w:w="90" w:type="dxa"/>
              <w:bottom w:w="80" w:type="dxa"/>
              <w:end w:w="90" w:type="dxa"/>
            </w:tcMar>
            <w:vAlign w:val="top"/>
          </w:tcPr>
          <w:p>
            <w:pPr>
              <w:spacing w:after="0"/>
            </w:pPr>
            <w:r>
              <w:rPr>
                <w:sz w:val="18"/>
              </w:rPr>
              <w:t>Monitoring credibility</w:t>
            </w:r>
          </w:p>
        </w:tc>
        <w:tc>
          <w:tcPr>
            <w:tcW w:type="dxa" w:w="7056"/>
            <w:tcMar>
              <w:top w:w="80" w:type="dxa"/>
              <w:start w:w="90" w:type="dxa"/>
              <w:bottom w:w="80" w:type="dxa"/>
              <w:end w:w="90" w:type="dxa"/>
            </w:tcMar>
            <w:vAlign w:val="top"/>
          </w:tcPr>
          <w:p>
            <w:pPr>
              <w:spacing w:after="0"/>
            </w:pPr>
            <w:r>
              <w:rPr>
                <w:sz w:val="18"/>
              </w:rPr>
              <w:t>A national MRV architecture is emerging, but machine distribution and reported hectares must be complemented by evidence of use, component adoption, persistence and outcomes.</w:t>
            </w:r>
          </w:p>
        </w:tc>
      </w:tr>
      <w:tr>
        <w:tc>
          <w:tcPr>
            <w:tcW w:type="dxa" w:w="2448"/>
            <w:shd w:fill="F8FAFC"/>
            <w:tcMar>
              <w:top w:w="80" w:type="dxa"/>
              <w:start w:w="90" w:type="dxa"/>
              <w:bottom w:w="80" w:type="dxa"/>
              <w:end w:w="90" w:type="dxa"/>
            </w:tcMar>
            <w:vAlign w:val="top"/>
          </w:tcPr>
          <w:p>
            <w:pPr>
              <w:spacing w:after="0"/>
            </w:pPr>
            <w:r>
              <w:rPr>
                <w:sz w:val="18"/>
              </w:rPr>
              <w:t>2027 value proposition</w:t>
            </w:r>
          </w:p>
        </w:tc>
        <w:tc>
          <w:tcPr>
            <w:tcW w:type="dxa" w:w="7056"/>
            <w:shd w:fill="F8FAFC"/>
            <w:tcMar>
              <w:top w:w="80" w:type="dxa"/>
              <w:start w:w="90" w:type="dxa"/>
              <w:bottom w:w="80" w:type="dxa"/>
              <w:end w:w="90" w:type="dxa"/>
            </w:tcMar>
            <w:vAlign w:val="top"/>
          </w:tcPr>
          <w:p>
            <w:pPr>
              <w:spacing w:after="0"/>
            </w:pPr>
            <w:r>
              <w:rPr>
                <w:sz w:val="18"/>
              </w:rPr>
              <w:t>Support the hard systems work needed for transition to scale: differentiated business models, incentive reform, seed-system transformation, context-specific machinery and rigorous learning.</w:t>
            </w:r>
          </w:p>
        </w:tc>
      </w:tr>
    </w:tbl>
    <w:p>
      <w:pPr>
        <w:spacing w:after="0"/>
      </w:pPr>
    </w:p>
    <w:p>
      <w:pPr>
        <w:pStyle w:val="Heading1"/>
      </w:pPr>
      <w:r>
        <w:t>2. Session purpose, format and participants</w:t>
      </w:r>
    </w:p>
    <w:p>
      <w:r>
        <w:t>The session combined assessment and constructive coaching. Richard explained that the S4I coaching process was intended to understand progress across the 19 solution tracks, improve scaling strategy and ambition, and help shape a potential 2027 funding proposal. The session began with an ICARDA/INRA presentation and evolved into an extended technical, economic, institutional and political-economy discussion.</w:t>
      </w:r>
    </w:p>
    <w:p>
      <w:pPr>
        <w:pStyle w:val="Heading2"/>
      </w:pPr>
      <w:r>
        <w:t>Main participants and perspectives represented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8"/>
            <w:tcMar>
              <w:top w:w="80" w:type="dxa"/>
              <w:start w:w="90" w:type="dxa"/>
              <w:bottom w:w="80" w:type="dxa"/>
              <w:end w:w="90" w:type="dxa"/>
            </w:tcMar>
            <w:vAlign w:val="center"/>
          </w:tcPr>
          <w:p>
            <w:pPr>
              <w:jc w:val="left"/>
            </w:pPr>
            <w:r>
              <w:rPr>
                <w:b/>
                <w:color w:val="FFFFFF"/>
                <w:sz w:val="18"/>
              </w:rPr>
              <w:t>Participant</w:t>
            </w:r>
          </w:p>
        </w:tc>
        <w:tc>
          <w:tcPr>
            <w:tcW w:type="dxa" w:w="7056"/>
            <w:shd w:fill="1F4E78"/>
            <w:tcMar>
              <w:top w:w="80" w:type="dxa"/>
              <w:start w:w="90" w:type="dxa"/>
              <w:bottom w:w="80" w:type="dxa"/>
              <w:end w:w="90" w:type="dxa"/>
            </w:tcMar>
            <w:vAlign w:val="center"/>
          </w:tcPr>
          <w:p>
            <w:pPr>
              <w:jc w:val="left"/>
            </w:pPr>
            <w:r>
              <w:rPr>
                <w:b/>
                <w:color w:val="FFFFFF"/>
                <w:sz w:val="18"/>
              </w:rPr>
              <w:t>Role in the discussion</w:t>
            </w:r>
          </w:p>
        </w:tc>
      </w:tr>
      <w:tr>
        <w:tc>
          <w:tcPr>
            <w:tcW w:type="dxa" w:w="2448"/>
            <w:tcMar>
              <w:top w:w="80" w:type="dxa"/>
              <w:start w:w="90" w:type="dxa"/>
              <w:bottom w:w="80" w:type="dxa"/>
              <w:end w:w="90" w:type="dxa"/>
            </w:tcMar>
            <w:vAlign w:val="top"/>
          </w:tcPr>
          <w:p>
            <w:pPr>
              <w:spacing w:after="0"/>
            </w:pPr>
            <w:r>
              <w:rPr>
                <w:sz w:val="18"/>
              </w:rPr>
              <w:t>Richard Kohl</w:t>
            </w:r>
          </w:p>
        </w:tc>
        <w:tc>
          <w:tcPr>
            <w:tcW w:type="dxa" w:w="7056"/>
            <w:tcMar>
              <w:top w:w="80" w:type="dxa"/>
              <w:start w:w="90" w:type="dxa"/>
              <w:bottom w:w="80" w:type="dxa"/>
              <w:end w:w="90" w:type="dxa"/>
            </w:tcMar>
            <w:vAlign w:val="top"/>
          </w:tcPr>
          <w:p>
            <w:pPr>
              <w:spacing w:after="0"/>
            </w:pPr>
            <w:r>
              <w:rPr>
                <w:sz w:val="18"/>
              </w:rPr>
              <w:t>Scaling consultant; led the coaching, challenged assumptions, tested target realism and synthesized recommendations.</w:t>
            </w:r>
          </w:p>
        </w:tc>
      </w:tr>
      <w:tr>
        <w:tc>
          <w:tcPr>
            <w:tcW w:type="dxa" w:w="2448"/>
            <w:shd w:fill="F8FAFC"/>
            <w:tcMar>
              <w:top w:w="80" w:type="dxa"/>
              <w:start w:w="90" w:type="dxa"/>
              <w:bottom w:w="80" w:type="dxa"/>
              <w:end w:w="90" w:type="dxa"/>
            </w:tcMar>
            <w:vAlign w:val="top"/>
          </w:tcPr>
          <w:p>
            <w:pPr>
              <w:spacing w:after="0"/>
            </w:pPr>
            <w:r>
              <w:rPr>
                <w:sz w:val="18"/>
              </w:rPr>
              <w:t>Mina Devkota Wasti</w:t>
            </w:r>
          </w:p>
        </w:tc>
        <w:tc>
          <w:tcPr>
            <w:tcW w:type="dxa" w:w="7056"/>
            <w:shd w:fill="F8FAFC"/>
            <w:tcMar>
              <w:top w:w="80" w:type="dxa"/>
              <w:start w:w="90" w:type="dxa"/>
              <w:bottom w:w="80" w:type="dxa"/>
              <w:end w:w="90" w:type="dxa"/>
            </w:tcMar>
            <w:vAlign w:val="top"/>
          </w:tcPr>
          <w:p>
            <w:pPr>
              <w:spacing w:after="0"/>
            </w:pPr>
            <w:r>
              <w:rPr>
                <w:sz w:val="18"/>
              </w:rPr>
              <w:t>ICARDA economist; presented the solution track, scaling pathways, challenges, partnerships and activities.</w:t>
            </w:r>
          </w:p>
        </w:tc>
      </w:tr>
      <w:tr>
        <w:tc>
          <w:tcPr>
            <w:tcW w:type="dxa" w:w="2448"/>
            <w:tcMar>
              <w:top w:w="80" w:type="dxa"/>
              <w:start w:w="90" w:type="dxa"/>
              <w:bottom w:w="80" w:type="dxa"/>
              <w:end w:w="90" w:type="dxa"/>
            </w:tcMar>
            <w:vAlign w:val="top"/>
          </w:tcPr>
          <w:p>
            <w:pPr>
              <w:spacing w:after="0"/>
            </w:pPr>
            <w:r>
              <w:rPr>
                <w:sz w:val="18"/>
              </w:rPr>
              <w:t>Mohamed Boughlala</w:t>
            </w:r>
          </w:p>
        </w:tc>
        <w:tc>
          <w:tcPr>
            <w:tcW w:type="dxa" w:w="7056"/>
            <w:tcMar>
              <w:top w:w="80" w:type="dxa"/>
              <w:start w:w="90" w:type="dxa"/>
              <w:bottom w:w="80" w:type="dxa"/>
              <w:end w:w="90" w:type="dxa"/>
            </w:tcMar>
            <w:vAlign w:val="top"/>
          </w:tcPr>
          <w:p>
            <w:pPr>
              <w:spacing w:after="0"/>
            </w:pPr>
            <w:r>
              <w:rPr>
                <w:sz w:val="18"/>
              </w:rPr>
              <w:t>INRA agricultural economist; contributed evidence on adoption, service providers, incentives, machine use, seed-system constraints and field realities.</w:t>
            </w:r>
          </w:p>
        </w:tc>
      </w:tr>
      <w:tr>
        <w:tc>
          <w:tcPr>
            <w:tcW w:type="dxa" w:w="2448"/>
            <w:shd w:fill="F8FAFC"/>
            <w:tcMar>
              <w:top w:w="80" w:type="dxa"/>
              <w:start w:w="90" w:type="dxa"/>
              <w:bottom w:w="80" w:type="dxa"/>
              <w:end w:w="90" w:type="dxa"/>
            </w:tcMar>
            <w:vAlign w:val="top"/>
          </w:tcPr>
          <w:p>
            <w:pPr>
              <w:spacing w:after="0"/>
            </w:pPr>
            <w:r>
              <w:rPr>
                <w:sz w:val="18"/>
              </w:rPr>
              <w:t>Rachid Moussadek</w:t>
            </w:r>
          </w:p>
        </w:tc>
        <w:tc>
          <w:tcPr>
            <w:tcW w:type="dxa" w:w="7056"/>
            <w:shd w:fill="F8FAFC"/>
            <w:tcMar>
              <w:top w:w="80" w:type="dxa"/>
              <w:start w:w="90" w:type="dxa"/>
              <w:bottom w:w="80" w:type="dxa"/>
              <w:end w:w="90" w:type="dxa"/>
            </w:tcMar>
            <w:vAlign w:val="top"/>
          </w:tcPr>
          <w:p>
            <w:pPr>
              <w:spacing w:after="0"/>
            </w:pPr>
            <w:r>
              <w:rPr>
                <w:sz w:val="18"/>
              </w:rPr>
              <w:t>INRA General Secretary and long-term conservation-agriculture leader; explained national roadmap, evidence and governance.</w:t>
            </w:r>
          </w:p>
        </w:tc>
      </w:tr>
      <w:tr>
        <w:tc>
          <w:tcPr>
            <w:tcW w:type="dxa" w:w="2448"/>
            <w:tcMar>
              <w:top w:w="80" w:type="dxa"/>
              <w:start w:w="90" w:type="dxa"/>
              <w:bottom w:w="80" w:type="dxa"/>
              <w:end w:w="90" w:type="dxa"/>
            </w:tcMar>
            <w:vAlign w:val="top"/>
          </w:tcPr>
          <w:p>
            <w:pPr>
              <w:spacing w:after="0"/>
            </w:pPr>
            <w:r>
              <w:rPr>
                <w:sz w:val="18"/>
              </w:rPr>
              <w:t>Krishna Devkota</w:t>
            </w:r>
          </w:p>
        </w:tc>
        <w:tc>
          <w:tcPr>
            <w:tcW w:type="dxa" w:w="7056"/>
            <w:tcMar>
              <w:top w:w="80" w:type="dxa"/>
              <w:start w:w="90" w:type="dxa"/>
              <w:bottom w:w="80" w:type="dxa"/>
              <w:end w:w="90" w:type="dxa"/>
            </w:tcMar>
            <w:vAlign w:val="top"/>
          </w:tcPr>
          <w:p>
            <w:pPr>
              <w:spacing w:after="0"/>
            </w:pPr>
            <w:r>
              <w:rPr>
                <w:sz w:val="18"/>
              </w:rPr>
              <w:t>ICARDA dryland agronomist; articulated the five strategic areas and digital/context-specific tools.</w:t>
            </w:r>
          </w:p>
        </w:tc>
      </w:tr>
      <w:tr>
        <w:tc>
          <w:tcPr>
            <w:tcW w:type="dxa" w:w="2448"/>
            <w:shd w:fill="F8FAFC"/>
            <w:tcMar>
              <w:top w:w="80" w:type="dxa"/>
              <w:start w:w="90" w:type="dxa"/>
              <w:bottom w:w="80" w:type="dxa"/>
              <w:end w:w="90" w:type="dxa"/>
            </w:tcMar>
            <w:vAlign w:val="top"/>
          </w:tcPr>
          <w:p>
            <w:pPr>
              <w:spacing w:after="0"/>
            </w:pPr>
            <w:r>
              <w:rPr>
                <w:sz w:val="18"/>
              </w:rPr>
              <w:t>Michael Baum</w:t>
            </w:r>
          </w:p>
        </w:tc>
        <w:tc>
          <w:tcPr>
            <w:tcW w:type="dxa" w:w="7056"/>
            <w:shd w:fill="F8FAFC"/>
            <w:tcMar>
              <w:top w:w="80" w:type="dxa"/>
              <w:start w:w="90" w:type="dxa"/>
              <w:bottom w:w="80" w:type="dxa"/>
              <w:end w:w="90" w:type="dxa"/>
            </w:tcMar>
            <w:vAlign w:val="top"/>
          </w:tcPr>
          <w:p>
            <w:pPr>
              <w:spacing w:after="0"/>
            </w:pPr>
            <w:r>
              <w:rPr>
                <w:sz w:val="18"/>
              </w:rPr>
              <w:t>Former ICARDA leader and crop scientist; explained seed-system history, early-generation seed and national/imported variety dynamics.</w:t>
            </w:r>
          </w:p>
        </w:tc>
      </w:tr>
      <w:tr>
        <w:tc>
          <w:tcPr>
            <w:tcW w:type="dxa" w:w="2448"/>
            <w:tcMar>
              <w:top w:w="80" w:type="dxa"/>
              <w:start w:w="90" w:type="dxa"/>
              <w:bottom w:w="80" w:type="dxa"/>
              <w:end w:w="90" w:type="dxa"/>
            </w:tcMar>
            <w:vAlign w:val="top"/>
          </w:tcPr>
          <w:p>
            <w:pPr>
              <w:spacing w:after="0"/>
            </w:pPr>
            <w:r>
              <w:rPr>
                <w:sz w:val="18"/>
              </w:rPr>
              <w:t>Rhiannon Crichton</w:t>
            </w:r>
          </w:p>
        </w:tc>
        <w:tc>
          <w:tcPr>
            <w:tcW w:type="dxa" w:w="7056"/>
            <w:tcMar>
              <w:top w:w="80" w:type="dxa"/>
              <w:start w:w="90" w:type="dxa"/>
              <w:bottom w:w="80" w:type="dxa"/>
              <w:end w:w="90" w:type="dxa"/>
            </w:tcMar>
            <w:vAlign w:val="top"/>
          </w:tcPr>
          <w:p>
            <w:pPr>
              <w:spacing w:after="0"/>
            </w:pPr>
            <w:r>
              <w:rPr>
                <w:sz w:val="18"/>
              </w:rPr>
              <w:t>ICARDA program manager; added evidence from machinery providers, current events and the phased expansion strategy.</w:t>
            </w:r>
          </w:p>
        </w:tc>
      </w:tr>
      <w:tr>
        <w:tc>
          <w:tcPr>
            <w:tcW w:type="dxa" w:w="2448"/>
            <w:shd w:fill="F8FAFC"/>
            <w:tcMar>
              <w:top w:w="80" w:type="dxa"/>
              <w:start w:w="90" w:type="dxa"/>
              <w:bottom w:w="80" w:type="dxa"/>
              <w:end w:w="90" w:type="dxa"/>
            </w:tcMar>
            <w:vAlign w:val="top"/>
          </w:tcPr>
          <w:p>
            <w:pPr>
              <w:spacing w:after="0"/>
            </w:pPr>
            <w:r>
              <w:rPr>
                <w:sz w:val="18"/>
              </w:rPr>
              <w:t>Bezaiet Dessalegn</w:t>
            </w:r>
          </w:p>
        </w:tc>
        <w:tc>
          <w:tcPr>
            <w:tcW w:type="dxa" w:w="7056"/>
            <w:shd w:fill="F8FAFC"/>
            <w:tcMar>
              <w:top w:w="80" w:type="dxa"/>
              <w:start w:w="90" w:type="dxa"/>
              <w:bottom w:w="80" w:type="dxa"/>
              <w:end w:w="90" w:type="dxa"/>
            </w:tcMar>
            <w:vAlign w:val="top"/>
          </w:tcPr>
          <w:p>
            <w:pPr>
              <w:spacing w:after="0"/>
            </w:pPr>
            <w:r>
              <w:rPr>
                <w:sz w:val="18"/>
              </w:rPr>
              <w:t>ICARDA social scientist and S4I center representative; participated to learn and support follow-up.</w:t>
            </w:r>
          </w:p>
        </w:tc>
      </w:tr>
      <w:tr>
        <w:tc>
          <w:tcPr>
            <w:tcW w:type="dxa" w:w="2448"/>
            <w:tcMar>
              <w:top w:w="80" w:type="dxa"/>
              <w:start w:w="90" w:type="dxa"/>
              <w:bottom w:w="80" w:type="dxa"/>
              <w:end w:w="90" w:type="dxa"/>
            </w:tcMar>
            <w:vAlign w:val="top"/>
          </w:tcPr>
          <w:p>
            <w:pPr>
              <w:spacing w:after="0"/>
            </w:pPr>
            <w:r>
              <w:rPr>
                <w:sz w:val="18"/>
              </w:rPr>
              <w:t>Additional team members</w:t>
            </w:r>
          </w:p>
        </w:tc>
        <w:tc>
          <w:tcPr>
            <w:tcW w:type="dxa" w:w="7056"/>
            <w:tcMar>
              <w:top w:w="80" w:type="dxa"/>
              <w:start w:w="90" w:type="dxa"/>
              <w:bottom w:w="80" w:type="dxa"/>
              <w:end w:w="90" w:type="dxa"/>
            </w:tcMar>
            <w:vAlign w:val="top"/>
          </w:tcPr>
          <w:p>
            <w:pPr>
              <w:spacing w:after="0"/>
            </w:pPr>
            <w:r>
              <w:rPr>
                <w:sz w:val="18"/>
              </w:rPr>
              <w:t>Represented ICARDA, INRA and S4I implementation and coordination functions.</w:t>
            </w:r>
          </w:p>
        </w:tc>
      </w:tr>
    </w:tbl>
    <w:p>
      <w:pPr>
        <w:spacing w:after="0"/>
      </w:pPr>
    </w:p>
    <w:p>
      <w:pPr>
        <w:pStyle w:val="Heading1"/>
      </w:pPr>
      <w:r>
        <w:t>3. National context and scaling ambition</w:t>
      </w:r>
    </w:p>
    <w:p>
      <w:r>
        <w:t>The solution track is embedded in Morocco's national Green Generation 2020-2030 strategy rather than operating as a stand-alone CGIAR project. The national policy ambition creates a strong enabling environment, but it also means the team must distinguish between the government's target and the specific contribution attributable to S4I, ICARDA and INRA.</w:t>
      </w:r>
    </w:p>
    <w:p>
      <w:pPr>
        <w:pStyle w:val="ListBullet"/>
        <w:spacing w:after="56"/>
      </w:pPr>
      <w:r>
        <w:t>National target: one million hectares under conservation agriculture by 2030.</w:t>
      </w:r>
    </w:p>
    <w:p>
      <w:pPr>
        <w:pStyle w:val="ListBullet"/>
        <w:spacing w:after="56"/>
      </w:pPr>
      <w:r>
        <w:t>National seed objective: substantially increase the area planted with nationally developed resilient varieties, with a stated ambition of 50 percent national varieties by 2030.</w:t>
      </w:r>
    </w:p>
    <w:p>
      <w:pPr>
        <w:pStyle w:val="ListBullet"/>
        <w:spacing w:after="56"/>
      </w:pPr>
      <w:r>
        <w:t>Cereal productivity ambition: the presentation referenced a national target of approximately 2.5 tonnes per hectare.</w:t>
      </w:r>
    </w:p>
    <w:p>
      <w:pPr>
        <w:pStyle w:val="ListBullet"/>
        <w:spacing w:after="56"/>
      </w:pPr>
      <w:r>
        <w:t>Current reported conservation-agriculture area: approximately 360,000 hectares in the 2026 growing season.</w:t>
      </w:r>
    </w:p>
    <w:p>
      <w:pPr>
        <w:pStyle w:val="ListBullet"/>
        <w:spacing w:after="56"/>
      </w:pPr>
      <w:r>
        <w:t>Scale of the denominator: one million hectares would still be only about 25 percent of Morocco's cereal area; suitability analysis was said to indicate that 60-70 percent of relevant land may ultimately be suitable for no-till/conservation agriculture.</w:t>
      </w:r>
    </w:p>
    <w:p>
      <w:pPr>
        <w:pStyle w:val="ListBullet"/>
        <w:spacing w:after="56"/>
      </w:pPr>
      <w:r>
        <w:t>Production context: more than 80 percent of agricultural production was described as rainfed, with cereal output highly dependent on rainfall amount and distribution.</w:t>
      </w:r>
    </w:p>
    <w:p>
      <w:pPr>
        <w:pStyle w:val="ListBullet"/>
        <w:spacing w:after="56"/>
      </w:pPr>
      <w:r>
        <w:t>Climate context: Morocco has experienced approximately seven consecutive drought-affected years, reinforcing the view that drought is becoming structural rather than episodic.</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r>
              <w:rPr>
                <w:b/>
                <w:color w:val="1F374E"/>
              </w:rPr>
              <w:t>Important framing distinction</w:t>
            </w:r>
            <w:r>
              <w:br/>
              <w:t>The one-million-hectare ambition is a government target. ICARDA and S4I are not the direct implementers of every hectare. Their role is to strengthen the technical package, machinery options, seed system, business models, institutional coordination, evidence and policy conditions that make national scaling possible.</w:t>
            </w:r>
          </w:p>
        </w:tc>
      </w:tr>
    </w:tbl>
    <w:p>
      <w:pPr>
        <w:spacing w:after="0"/>
      </w:pPr>
    </w:p>
    <w:p>
      <w:pPr>
        <w:pStyle w:val="Heading1"/>
      </w:pPr>
      <w:r>
        <w:t>4. What is being scaled: the conservation-agriculture package</w:t>
      </w:r>
    </w:p>
    <w:p>
      <w:r>
        <w:t>A major part of the coaching discussion focused on defining the innovation precisely. The term "conservation agriculture" was sometimes used for no-till/direct seeding and at other times for a broader package. The team agreed that conservation agriculture should be understood as a system with progressive levels of adoption.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8"/>
            <w:tcMar>
              <w:top w:w="80" w:type="dxa"/>
              <w:start w:w="90" w:type="dxa"/>
              <w:bottom w:w="80" w:type="dxa"/>
              <w:end w:w="90" w:type="dxa"/>
            </w:tcMar>
            <w:vAlign w:val="center"/>
          </w:tcPr>
          <w:p>
            <w:pPr>
              <w:jc w:val="left"/>
            </w:pPr>
            <w:r>
              <w:rPr>
                <w:b/>
                <w:color w:val="FFFFFF"/>
                <w:sz w:val="18"/>
              </w:rPr>
              <w:t>Component</w:t>
            </w:r>
          </w:p>
        </w:tc>
        <w:tc>
          <w:tcPr>
            <w:tcW w:type="dxa" w:w="7056"/>
            <w:shd w:fill="1F4E78"/>
            <w:tcMar>
              <w:top w:w="80" w:type="dxa"/>
              <w:start w:w="90" w:type="dxa"/>
              <w:bottom w:w="80" w:type="dxa"/>
              <w:end w:w="90" w:type="dxa"/>
            </w:tcMar>
            <w:vAlign w:val="center"/>
          </w:tcPr>
          <w:p>
            <w:pPr>
              <w:jc w:val="left"/>
            </w:pPr>
            <w:r>
              <w:rPr>
                <w:b/>
                <w:color w:val="FFFFFF"/>
                <w:sz w:val="18"/>
              </w:rPr>
              <w:t>Meaning and adoption considerations</w:t>
            </w:r>
          </w:p>
        </w:tc>
      </w:tr>
      <w:tr>
        <w:tc>
          <w:tcPr>
            <w:tcW w:type="dxa" w:w="2448"/>
            <w:tcMar>
              <w:top w:w="80" w:type="dxa"/>
              <w:start w:w="90" w:type="dxa"/>
              <w:bottom w:w="80" w:type="dxa"/>
              <w:end w:w="90" w:type="dxa"/>
            </w:tcMar>
            <w:vAlign w:val="top"/>
          </w:tcPr>
          <w:p>
            <w:pPr>
              <w:spacing w:after="0"/>
            </w:pPr>
            <w:r>
              <w:rPr>
                <w:sz w:val="18"/>
              </w:rPr>
              <w:t>No-till/direct seeding</w:t>
            </w:r>
          </w:p>
        </w:tc>
        <w:tc>
          <w:tcPr>
            <w:tcW w:type="dxa" w:w="7056"/>
            <w:tcMar>
              <w:top w:w="80" w:type="dxa"/>
              <w:start w:w="90" w:type="dxa"/>
              <w:bottom w:w="80" w:type="dxa"/>
              <w:end w:w="90" w:type="dxa"/>
            </w:tcMar>
            <w:vAlign w:val="top"/>
          </w:tcPr>
          <w:p>
            <w:pPr>
              <w:spacing w:after="0"/>
            </w:pPr>
            <w:r>
              <w:rPr>
                <w:sz w:val="18"/>
              </w:rPr>
              <w:t>Eliminates repeated soil tillage and plants directly, reducing passes, fuel use, cost, time and soil disturbance. It is the most visible and commonly adopted entry point.</w:t>
            </w:r>
          </w:p>
        </w:tc>
      </w:tr>
      <w:tr>
        <w:tc>
          <w:tcPr>
            <w:tcW w:type="dxa" w:w="2448"/>
            <w:shd w:fill="F8FAFC"/>
            <w:tcMar>
              <w:top w:w="80" w:type="dxa"/>
              <w:start w:w="90" w:type="dxa"/>
              <w:bottom w:w="80" w:type="dxa"/>
              <w:end w:w="90" w:type="dxa"/>
            </w:tcMar>
            <w:vAlign w:val="top"/>
          </w:tcPr>
          <w:p>
            <w:pPr>
              <w:spacing w:after="0"/>
            </w:pPr>
            <w:r>
              <w:rPr>
                <w:sz w:val="18"/>
              </w:rPr>
              <w:t>Crop rotation</w:t>
            </w:r>
          </w:p>
        </w:tc>
        <w:tc>
          <w:tcPr>
            <w:tcW w:type="dxa" w:w="7056"/>
            <w:shd w:fill="F8FAFC"/>
            <w:tcMar>
              <w:top w:w="80" w:type="dxa"/>
              <w:start w:w="90" w:type="dxa"/>
              <w:bottom w:w="80" w:type="dxa"/>
              <w:end w:w="90" w:type="dxa"/>
            </w:tcMar>
            <w:vAlign w:val="top"/>
          </w:tcPr>
          <w:p>
            <w:pPr>
              <w:spacing w:after="0"/>
            </w:pPr>
            <w:r>
              <w:rPr>
                <w:sz w:val="18"/>
              </w:rPr>
              <w:t>Introduces food legumes, forages or other crops into cereal systems. It is agronomically central but constrained by seed, mechanization, weed control, harvesting, price risk and weaker market support.</w:t>
            </w:r>
          </w:p>
        </w:tc>
      </w:tr>
      <w:tr>
        <w:tc>
          <w:tcPr>
            <w:tcW w:type="dxa" w:w="2448"/>
            <w:tcMar>
              <w:top w:w="80" w:type="dxa"/>
              <w:start w:w="90" w:type="dxa"/>
              <w:bottom w:w="80" w:type="dxa"/>
              <w:end w:w="90" w:type="dxa"/>
            </w:tcMar>
            <w:vAlign w:val="top"/>
          </w:tcPr>
          <w:p>
            <w:pPr>
              <w:spacing w:after="0"/>
            </w:pPr>
            <w:r>
              <w:rPr>
                <w:sz w:val="18"/>
              </w:rPr>
              <w:t>Residue retention</w:t>
            </w:r>
          </w:p>
        </w:tc>
        <w:tc>
          <w:tcPr>
            <w:tcW w:type="dxa" w:w="7056"/>
            <w:tcMar>
              <w:top w:w="80" w:type="dxa"/>
              <w:start w:w="90" w:type="dxa"/>
              <w:bottom w:w="80" w:type="dxa"/>
              <w:end w:w="90" w:type="dxa"/>
            </w:tcMar>
            <w:vAlign w:val="top"/>
          </w:tcPr>
          <w:p>
            <w:pPr>
              <w:spacing w:after="0"/>
            </w:pPr>
            <w:r>
              <w:rPr>
                <w:sz w:val="18"/>
              </w:rPr>
              <w:t>Keeps crop residues on the soil surface to protect soil and retain moisture. This is difficult where residues are needed for livestock or fields cannot be fenced.</w:t>
            </w:r>
          </w:p>
        </w:tc>
      </w:tr>
      <w:tr>
        <w:tc>
          <w:tcPr>
            <w:tcW w:type="dxa" w:w="2448"/>
            <w:shd w:fill="F8FAFC"/>
            <w:tcMar>
              <w:top w:w="80" w:type="dxa"/>
              <w:start w:w="90" w:type="dxa"/>
              <w:bottom w:w="80" w:type="dxa"/>
              <w:end w:w="90" w:type="dxa"/>
            </w:tcMar>
            <w:vAlign w:val="top"/>
          </w:tcPr>
          <w:p>
            <w:pPr>
              <w:spacing w:after="0"/>
            </w:pPr>
            <w:r>
              <w:rPr>
                <w:sz w:val="18"/>
              </w:rPr>
              <w:t>Improved resilient varieties</w:t>
            </w:r>
          </w:p>
        </w:tc>
        <w:tc>
          <w:tcPr>
            <w:tcW w:type="dxa" w:w="7056"/>
            <w:shd w:fill="F8FAFC"/>
            <w:tcMar>
              <w:top w:w="80" w:type="dxa"/>
              <w:start w:w="90" w:type="dxa"/>
              <w:bottom w:w="80" w:type="dxa"/>
              <w:end w:w="90" w:type="dxa"/>
            </w:tcMar>
            <w:vAlign w:val="top"/>
          </w:tcPr>
          <w:p>
            <w:pPr>
              <w:spacing w:after="0"/>
            </w:pPr>
            <w:r>
              <w:rPr>
                <w:sz w:val="18"/>
              </w:rPr>
              <w:t>Drought- and disease-tolerant varieties can strengthen the package but are not always included consistently in the evidence presented for conservation agriculture.</w:t>
            </w:r>
          </w:p>
        </w:tc>
      </w:tr>
      <w:tr>
        <w:tc>
          <w:tcPr>
            <w:tcW w:type="dxa" w:w="2448"/>
            <w:tcMar>
              <w:top w:w="80" w:type="dxa"/>
              <w:start w:w="90" w:type="dxa"/>
              <w:bottom w:w="80" w:type="dxa"/>
              <w:end w:w="90" w:type="dxa"/>
            </w:tcMar>
            <w:vAlign w:val="top"/>
          </w:tcPr>
          <w:p>
            <w:pPr>
              <w:spacing w:after="0"/>
            </w:pPr>
            <w:r>
              <w:rPr>
                <w:sz w:val="18"/>
              </w:rPr>
              <w:t>Context-specific agronomy</w:t>
            </w:r>
          </w:p>
        </w:tc>
        <w:tc>
          <w:tcPr>
            <w:tcW w:type="dxa" w:w="7056"/>
            <w:tcMar>
              <w:top w:w="80" w:type="dxa"/>
              <w:start w:w="90" w:type="dxa"/>
              <w:bottom w:w="80" w:type="dxa"/>
              <w:end w:w="90" w:type="dxa"/>
            </w:tcMar>
            <w:vAlign w:val="top"/>
          </w:tcPr>
          <w:p>
            <w:pPr>
              <w:spacing w:after="0"/>
            </w:pPr>
            <w:r>
              <w:rPr>
                <w:sz w:val="18"/>
              </w:rPr>
              <w:t>Fertilizer advice, sowing-date advice, weed management, crop choice and other recommendations must be adapted to soil, rainfall, farm size and agroecology.</w:t>
            </w:r>
          </w:p>
        </w:tc>
      </w:tr>
      <w:tr>
        <w:tc>
          <w:tcPr>
            <w:tcW w:type="dxa" w:w="2448"/>
            <w:shd w:fill="F8FAFC"/>
            <w:tcMar>
              <w:top w:w="80" w:type="dxa"/>
              <w:start w:w="90" w:type="dxa"/>
              <w:bottom w:w="80" w:type="dxa"/>
              <w:end w:w="90" w:type="dxa"/>
            </w:tcMar>
            <w:vAlign w:val="top"/>
          </w:tcPr>
          <w:p>
            <w:pPr>
              <w:spacing w:after="0"/>
            </w:pPr>
            <w:r>
              <w:rPr>
                <w:sz w:val="18"/>
              </w:rPr>
              <w:t>Service and advisory bundle</w:t>
            </w:r>
          </w:p>
        </w:tc>
        <w:tc>
          <w:tcPr>
            <w:tcW w:type="dxa" w:w="7056"/>
            <w:shd w:fill="F8FAFC"/>
            <w:tcMar>
              <w:top w:w="80" w:type="dxa"/>
              <w:start w:w="90" w:type="dxa"/>
              <w:bottom w:w="80" w:type="dxa"/>
              <w:end w:w="90" w:type="dxa"/>
            </w:tcMar>
            <w:vAlign w:val="top"/>
          </w:tcPr>
          <w:p>
            <w:pPr>
              <w:spacing w:after="0"/>
            </w:pPr>
            <w:r>
              <w:rPr>
                <w:sz w:val="18"/>
              </w:rPr>
              <w:t>The scaling model may require machinery services, agronomic advice, input access, maintenance, finance and potentially ecosystem-service payments - not a machine alone.</w:t>
            </w:r>
          </w:p>
        </w:tc>
      </w:tr>
    </w:tbl>
    <w:p>
      <w:pPr>
        <w:spacing w:after="0"/>
      </w:pPr>
    </w:p>
    <w:p>
      <w:pPr>
        <w:pStyle w:val="Heading2"/>
      </w:pPr>
      <w:r>
        <w:t>Progressive adoption</w:t>
      </w:r>
    </w:p>
    <w:p>
      <w:r>
        <w:t>The economists in the session emphasized that adoption should be treated as progressive rather than all-or-nothing. A farmer may begin with a no-till seeder, later add rotation, and only later retain residues. Medium and large farmers are generally better positioned to adopt multiple pillars because they have more land, capital and greater ability to fence plots. This progressive model should be reflected in targets, monitoring and claims of impact.</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50" w:type="dxa"/>
              <w:bottom w:w="120" w:type="dxa"/>
              <w:end w:w="150" w:type="dxa"/>
            </w:tcMar>
          </w:tcPr>
          <w:p>
            <w:r>
              <w:rPr>
                <w:b/>
                <w:color w:val="1F374E"/>
              </w:rPr>
              <w:t>Measurement implication</w:t>
            </w:r>
            <w:r>
              <w:br/>
              <w:t>A hectare should not automatically be described as full conservation-agriculture adoption merely because it was planted with a no-till seeder. The reporting system should distinguish at least: direct seeding only; direct seeding plus rotation; direct seeding plus residue retention; full three-pillar adoption; and enhanced packages that also use resilient varieties and context-specific advice.</w:t>
            </w:r>
          </w:p>
        </w:tc>
      </w:tr>
    </w:tbl>
    <w:p>
      <w:pPr>
        <w:spacing w:after="0"/>
      </w:pPr>
    </w:p>
    <w:p>
      <w:pPr>
        <w:pStyle w:val="Heading1"/>
      </w:pPr>
      <w:r>
        <w:t>5. Evidence base and value proposition</w:t>
      </w:r>
    </w:p>
    <w:p>
      <w:r>
        <w:t>The team presented a substantial technical and economic evidence base built through long-term ICARDA-INRA experiments, on-farm testing and multiple bilateral and CGIAR initiatives. The coaching discussion supported the strength of the evidence but also exposed the need to present it more precisely by rainfall year, soil, package composition and outcome.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F4E78"/>
            <w:tcMar>
              <w:top w:w="80" w:type="dxa"/>
              <w:start w:w="90" w:type="dxa"/>
              <w:bottom w:w="80" w:type="dxa"/>
              <w:end w:w="90" w:type="dxa"/>
            </w:tcMar>
            <w:vAlign w:val="center"/>
          </w:tcPr>
          <w:p>
            <w:pPr>
              <w:jc w:val="left"/>
            </w:pPr>
            <w:r>
              <w:rPr>
                <w:b/>
                <w:color w:val="FFFFFF"/>
                <w:sz w:val="18"/>
              </w:rPr>
              <w:t>Claim or evidence</w:t>
            </w:r>
          </w:p>
        </w:tc>
        <w:tc>
          <w:tcPr>
            <w:tcW w:type="dxa" w:w="6912"/>
            <w:shd w:fill="1F4E78"/>
            <w:tcMar>
              <w:top w:w="80" w:type="dxa"/>
              <w:start w:w="90" w:type="dxa"/>
              <w:bottom w:w="80" w:type="dxa"/>
              <w:end w:w="90" w:type="dxa"/>
            </w:tcMar>
            <w:vAlign w:val="center"/>
          </w:tcPr>
          <w:p>
            <w:pPr>
              <w:jc w:val="left"/>
            </w:pPr>
            <w:r>
              <w:rPr>
                <w:b/>
                <w:color w:val="FFFFFF"/>
                <w:sz w:val="18"/>
              </w:rPr>
              <w:t>Discussion and qualification</w:t>
            </w:r>
          </w:p>
        </w:tc>
      </w:tr>
      <w:tr>
        <w:tc>
          <w:tcPr>
            <w:tcW w:type="dxa" w:w="2592"/>
            <w:tcMar>
              <w:top w:w="80" w:type="dxa"/>
              <w:start w:w="90" w:type="dxa"/>
              <w:bottom w:w="80" w:type="dxa"/>
              <w:end w:w="90" w:type="dxa"/>
            </w:tcMar>
            <w:vAlign w:val="top"/>
          </w:tcPr>
          <w:p>
            <w:pPr>
              <w:spacing w:after="0"/>
            </w:pPr>
            <w:r>
              <w:rPr>
                <w:sz w:val="18"/>
              </w:rPr>
              <w:t>Yield resilience</w:t>
            </w:r>
          </w:p>
        </w:tc>
        <w:tc>
          <w:tcPr>
            <w:tcW w:type="dxa" w:w="6912"/>
            <w:tcMar>
              <w:top w:w="80" w:type="dxa"/>
              <w:start w:w="90" w:type="dxa"/>
              <w:bottom w:w="80" w:type="dxa"/>
              <w:end w:w="90" w:type="dxa"/>
            </w:tcMar>
            <w:vAlign w:val="top"/>
          </w:tcPr>
          <w:p>
            <w:pPr>
              <w:spacing w:after="0"/>
            </w:pPr>
            <w:r>
              <w:rPr>
                <w:sz w:val="18"/>
              </w:rPr>
              <w:t>The greatest yield advantage is observed in dry years. In good rainfall years, yields may be similar or somewhat higher, while profitability remains better because of lower costs.</w:t>
            </w:r>
          </w:p>
        </w:tc>
      </w:tr>
      <w:tr>
        <w:tc>
          <w:tcPr>
            <w:tcW w:type="dxa" w:w="2592"/>
            <w:shd w:fill="F8FAFC"/>
            <w:tcMar>
              <w:top w:w="80" w:type="dxa"/>
              <w:start w:w="90" w:type="dxa"/>
              <w:bottom w:w="80" w:type="dxa"/>
              <w:end w:w="90" w:type="dxa"/>
            </w:tcMar>
            <w:vAlign w:val="top"/>
          </w:tcPr>
          <w:p>
            <w:pPr>
              <w:spacing w:after="0"/>
            </w:pPr>
            <w:r>
              <w:rPr>
                <w:sz w:val="18"/>
              </w:rPr>
              <w:t>Productivity improvement</w:t>
            </w:r>
          </w:p>
        </w:tc>
        <w:tc>
          <w:tcPr>
            <w:tcW w:type="dxa" w:w="6912"/>
            <w:shd w:fill="F8FAFC"/>
            <w:tcMar>
              <w:top w:w="80" w:type="dxa"/>
              <w:start w:w="90" w:type="dxa"/>
              <w:bottom w:w="80" w:type="dxa"/>
              <w:end w:w="90" w:type="dxa"/>
            </w:tcMar>
            <w:vAlign w:val="top"/>
          </w:tcPr>
          <w:p>
            <w:pPr>
              <w:spacing w:after="0"/>
            </w:pPr>
            <w:r>
              <w:rPr>
                <w:sz w:val="18"/>
              </w:rPr>
              <w:t>The presentation referenced gains of approximately 40-60 percent in dry seasons. Participants cautioned that the exact comparison depends on whether the package includes no-till, rotation and improved varieties.</w:t>
            </w:r>
          </w:p>
        </w:tc>
      </w:tr>
      <w:tr>
        <w:tc>
          <w:tcPr>
            <w:tcW w:type="dxa" w:w="2592"/>
            <w:tcMar>
              <w:top w:w="80" w:type="dxa"/>
              <w:start w:w="90" w:type="dxa"/>
              <w:bottom w:w="80" w:type="dxa"/>
              <w:end w:w="90" w:type="dxa"/>
            </w:tcMar>
            <w:vAlign w:val="top"/>
          </w:tcPr>
          <w:p>
            <w:pPr>
              <w:spacing w:after="0"/>
            </w:pPr>
            <w:r>
              <w:rPr>
                <w:sz w:val="18"/>
              </w:rPr>
              <w:t>Economic benefit</w:t>
            </w:r>
          </w:p>
        </w:tc>
        <w:tc>
          <w:tcPr>
            <w:tcW w:type="dxa" w:w="6912"/>
            <w:tcMar>
              <w:top w:w="80" w:type="dxa"/>
              <w:start w:w="90" w:type="dxa"/>
              <w:bottom w:w="80" w:type="dxa"/>
              <w:end w:w="90" w:type="dxa"/>
            </w:tcMar>
            <w:vAlign w:val="top"/>
          </w:tcPr>
          <w:p>
            <w:pPr>
              <w:spacing w:after="0"/>
            </w:pPr>
            <w:r>
              <w:rPr>
                <w:sz w:val="18"/>
              </w:rPr>
              <w:t>The presentation cited approximately 15-20 percent economic benefit. A later intervention estimated savings of roughly USD 150-200 per hectare in good years from avoiding repeated tillage.</w:t>
            </w:r>
          </w:p>
        </w:tc>
      </w:tr>
      <w:tr>
        <w:tc>
          <w:tcPr>
            <w:tcW w:type="dxa" w:w="2592"/>
            <w:shd w:fill="F8FAFC"/>
            <w:tcMar>
              <w:top w:w="80" w:type="dxa"/>
              <w:start w:w="90" w:type="dxa"/>
              <w:bottom w:w="80" w:type="dxa"/>
              <w:end w:w="90" w:type="dxa"/>
            </w:tcMar>
            <w:vAlign w:val="top"/>
          </w:tcPr>
          <w:p>
            <w:pPr>
              <w:spacing w:after="0"/>
            </w:pPr>
            <w:r>
              <w:rPr>
                <w:sz w:val="18"/>
              </w:rPr>
              <w:t>Risk reduction</w:t>
            </w:r>
          </w:p>
        </w:tc>
        <w:tc>
          <w:tcPr>
            <w:tcW w:type="dxa" w:w="6912"/>
            <w:shd w:fill="F8FAFC"/>
            <w:tcMar>
              <w:top w:w="80" w:type="dxa"/>
              <w:start w:w="90" w:type="dxa"/>
              <w:bottom w:w="80" w:type="dxa"/>
              <w:end w:w="90" w:type="dxa"/>
            </w:tcMar>
            <w:vAlign w:val="top"/>
          </w:tcPr>
          <w:p>
            <w:pPr>
              <w:spacing w:after="0"/>
            </w:pPr>
            <w:r>
              <w:rPr>
                <w:sz w:val="18"/>
              </w:rPr>
              <w:t>Conservation agriculture can preserve some production in severe drought years when conventional systems may produce little or nothing.</w:t>
            </w:r>
          </w:p>
        </w:tc>
      </w:tr>
      <w:tr>
        <w:tc>
          <w:tcPr>
            <w:tcW w:type="dxa" w:w="2592"/>
            <w:tcMar>
              <w:top w:w="80" w:type="dxa"/>
              <w:start w:w="90" w:type="dxa"/>
              <w:bottom w:w="80" w:type="dxa"/>
              <w:end w:w="90" w:type="dxa"/>
            </w:tcMar>
            <w:vAlign w:val="top"/>
          </w:tcPr>
          <w:p>
            <w:pPr>
              <w:spacing w:after="0"/>
            </w:pPr>
            <w:r>
              <w:rPr>
                <w:sz w:val="18"/>
              </w:rPr>
              <w:t>Soil erosion</w:t>
            </w:r>
          </w:p>
        </w:tc>
        <w:tc>
          <w:tcPr>
            <w:tcW w:type="dxa" w:w="6912"/>
            <w:tcMar>
              <w:top w:w="80" w:type="dxa"/>
              <w:start w:w="90" w:type="dxa"/>
              <w:bottom w:w="80" w:type="dxa"/>
              <w:end w:w="90" w:type="dxa"/>
            </w:tcMar>
            <w:vAlign w:val="top"/>
          </w:tcPr>
          <w:p>
            <w:pPr>
              <w:spacing w:after="0"/>
            </w:pPr>
            <w:r>
              <w:rPr>
                <w:sz w:val="18"/>
              </w:rPr>
              <w:t>The discussion referenced soil losses around 13 tonnes per hectare per year in Morocco, strengthening the case for reduced soil disturbance and residue cover.</w:t>
            </w:r>
          </w:p>
        </w:tc>
      </w:tr>
      <w:tr>
        <w:tc>
          <w:tcPr>
            <w:tcW w:type="dxa" w:w="2592"/>
            <w:shd w:fill="F8FAFC"/>
            <w:tcMar>
              <w:top w:w="80" w:type="dxa"/>
              <w:start w:w="90" w:type="dxa"/>
              <w:bottom w:w="80" w:type="dxa"/>
              <w:end w:w="90" w:type="dxa"/>
            </w:tcMar>
            <w:vAlign w:val="top"/>
          </w:tcPr>
          <w:p>
            <w:pPr>
              <w:spacing w:after="0"/>
            </w:pPr>
            <w:r>
              <w:rPr>
                <w:sz w:val="18"/>
              </w:rPr>
              <w:t>Soil-water and fertility benefits</w:t>
            </w:r>
          </w:p>
        </w:tc>
        <w:tc>
          <w:tcPr>
            <w:tcW w:type="dxa" w:w="6912"/>
            <w:shd w:fill="F8FAFC"/>
            <w:tcMar>
              <w:top w:w="80" w:type="dxa"/>
              <w:start w:w="90" w:type="dxa"/>
              <w:bottom w:w="80" w:type="dxa"/>
              <w:end w:w="90" w:type="dxa"/>
            </w:tcMar>
            <w:vAlign w:val="top"/>
          </w:tcPr>
          <w:p>
            <w:pPr>
              <w:spacing w:after="0"/>
            </w:pPr>
            <w:r>
              <w:rPr>
                <w:sz w:val="18"/>
              </w:rPr>
              <w:t>Improved water storage, soil health, fertility and reduced erosion were presented as long-term system benefits.</w:t>
            </w:r>
          </w:p>
        </w:tc>
      </w:tr>
      <w:tr>
        <w:tc>
          <w:tcPr>
            <w:tcW w:type="dxa" w:w="2592"/>
            <w:tcMar>
              <w:top w:w="80" w:type="dxa"/>
              <w:start w:w="90" w:type="dxa"/>
              <w:bottom w:w="80" w:type="dxa"/>
              <w:end w:w="90" w:type="dxa"/>
            </w:tcMar>
            <w:vAlign w:val="top"/>
          </w:tcPr>
          <w:p>
            <w:pPr>
              <w:spacing w:after="0"/>
            </w:pPr>
            <w:r>
              <w:rPr>
                <w:sz w:val="18"/>
              </w:rPr>
              <w:t>Farmer time and fuel savings</w:t>
            </w:r>
          </w:p>
        </w:tc>
        <w:tc>
          <w:tcPr>
            <w:tcW w:type="dxa" w:w="6912"/>
            <w:tcMar>
              <w:top w:w="80" w:type="dxa"/>
              <w:start w:w="90" w:type="dxa"/>
              <w:bottom w:w="80" w:type="dxa"/>
              <w:end w:w="90" w:type="dxa"/>
            </w:tcMar>
            <w:vAlign w:val="top"/>
          </w:tcPr>
          <w:p>
            <w:pPr>
              <w:spacing w:after="0"/>
            </w:pPr>
            <w:r>
              <w:rPr>
                <w:sz w:val="18"/>
              </w:rPr>
              <w:t>No-till generally requires one pass compared with three or four conventional operations, reducing fuel, labor, machinery hire and time during a narrow planting window.</w:t>
            </w:r>
          </w:p>
        </w:tc>
      </w:tr>
      <w:tr>
        <w:tc>
          <w:tcPr>
            <w:tcW w:type="dxa" w:w="2592"/>
            <w:shd w:fill="F8FAFC"/>
            <w:tcMar>
              <w:top w:w="80" w:type="dxa"/>
              <w:start w:w="90" w:type="dxa"/>
              <w:bottom w:w="80" w:type="dxa"/>
              <w:end w:w="90" w:type="dxa"/>
            </w:tcMar>
            <w:vAlign w:val="top"/>
          </w:tcPr>
          <w:p>
            <w:pPr>
              <w:spacing w:after="0"/>
            </w:pPr>
            <w:r>
              <w:rPr>
                <w:sz w:val="18"/>
              </w:rPr>
              <w:t>Drought-triggered demand</w:t>
            </w:r>
          </w:p>
        </w:tc>
        <w:tc>
          <w:tcPr>
            <w:tcW w:type="dxa" w:w="6912"/>
            <w:shd w:fill="F8FAFC"/>
            <w:tcMar>
              <w:top w:w="80" w:type="dxa"/>
              <w:start w:w="90" w:type="dxa"/>
              <w:bottom w:w="80" w:type="dxa"/>
              <w:end w:w="90" w:type="dxa"/>
            </w:tcMar>
            <w:vAlign w:val="top"/>
          </w:tcPr>
          <w:p>
            <w:pPr>
              <w:spacing w:after="0"/>
            </w:pPr>
            <w:r>
              <w:rPr>
                <w:sz w:val="18"/>
              </w:rPr>
              <w:t>Farmers appear more likely to adopt conservation agriculture and drought-tolerant varieties after severe drought, though extreme drought can also suppress planting when farmers avoid all input costs.</w:t>
            </w:r>
          </w:p>
        </w:tc>
      </w:tr>
    </w:tbl>
    <w:p>
      <w:pPr>
        <w:spacing w:after="0"/>
      </w:pPr>
    </w:p>
    <w:p>
      <w:pPr>
        <w:pStyle w:val="Heading2"/>
      </w:pPr>
      <w:r>
        <w:t>Evidence presentation issues that need correction</w:t>
      </w:r>
    </w:p>
    <w:p>
      <w:pPr>
        <w:pStyle w:val="ListBullet"/>
        <w:spacing w:after="56"/>
      </w:pPr>
      <w:r>
        <w:t>Separate yield effects from profitability effects. In wet years, the stronger and clearer advantage may be cost savings rather than a large yield increase.</w:t>
      </w:r>
    </w:p>
    <w:p>
      <w:pPr>
        <w:pStyle w:val="ListBullet"/>
        <w:spacing w:after="56"/>
      </w:pPr>
      <w:r>
        <w:t>State exactly what package was compared with conventional agriculture in each dataset. Some trials used improved varieties, while others did not.</w:t>
      </w:r>
    </w:p>
    <w:p>
      <w:pPr>
        <w:pStyle w:val="ListBullet"/>
        <w:spacing w:after="56"/>
      </w:pPr>
      <w:r>
        <w:t>Disaggregate results by rainfall condition, soil type, agroecology and farmer category.</w:t>
      </w:r>
    </w:p>
    <w:p>
      <w:pPr>
        <w:pStyle w:val="ListBullet"/>
        <w:spacing w:after="56"/>
      </w:pPr>
      <w:r>
        <w:t>Avoid presenting a single average percentage in a way that implies the same effect in every year and location.</w:t>
      </w:r>
    </w:p>
    <w:p>
      <w:pPr>
        <w:pStyle w:val="ListBullet"/>
        <w:spacing w:after="56"/>
      </w:pPr>
      <w:r>
        <w:t>Link technical performance to farmer decision criteria: risk, cash cost, timing, labor, feed needs, machinery access and expected returns.</w:t>
      </w:r>
    </w:p>
    <w:p>
      <w:pPr>
        <w:pStyle w:val="Heading1"/>
      </w:pPr>
      <w:r>
        <w:t>6. Adoption, uptake and how success should be counted</w:t>
      </w:r>
    </w:p>
    <w:p>
      <w:r>
        <w:t>The session repeatedly returned to the question: What does one million hectares of adoption actually mean? The team currently draws heavily on ministry figures, machine distribution and reported hectares serviced. This is useful for national tracking, but not sufficient to prove full or sustained adoption of the conservation-agriculture system.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736"/>
            <w:shd w:fill="1F4E78"/>
            <w:tcMar>
              <w:top w:w="80" w:type="dxa"/>
              <w:start w:w="90" w:type="dxa"/>
              <w:bottom w:w="80" w:type="dxa"/>
              <w:end w:w="90" w:type="dxa"/>
            </w:tcMar>
            <w:vAlign w:val="center"/>
          </w:tcPr>
          <w:p>
            <w:pPr>
              <w:jc w:val="left"/>
            </w:pPr>
            <w:r>
              <w:rPr>
                <w:b/>
                <w:color w:val="FFFFFF"/>
                <w:sz w:val="18"/>
              </w:rPr>
              <w:t>Possible metric</w:t>
            </w:r>
          </w:p>
        </w:tc>
        <w:tc>
          <w:tcPr>
            <w:tcW w:type="dxa" w:w="6768"/>
            <w:shd w:fill="1F4E78"/>
            <w:tcMar>
              <w:top w:w="80" w:type="dxa"/>
              <w:start w:w="90" w:type="dxa"/>
              <w:bottom w:w="80" w:type="dxa"/>
              <w:end w:w="90" w:type="dxa"/>
            </w:tcMar>
            <w:vAlign w:val="center"/>
          </w:tcPr>
          <w:p>
            <w:pPr>
              <w:jc w:val="left"/>
            </w:pPr>
            <w:r>
              <w:rPr>
                <w:b/>
                <w:color w:val="FFFFFF"/>
                <w:sz w:val="18"/>
              </w:rPr>
              <w:t>What it proves - and what it does not</w:t>
            </w:r>
          </w:p>
        </w:tc>
      </w:tr>
      <w:tr>
        <w:tc>
          <w:tcPr>
            <w:tcW w:type="dxa" w:w="2736"/>
            <w:tcMar>
              <w:top w:w="80" w:type="dxa"/>
              <w:start w:w="90" w:type="dxa"/>
              <w:bottom w:w="80" w:type="dxa"/>
              <w:end w:w="90" w:type="dxa"/>
            </w:tcMar>
            <w:vAlign w:val="top"/>
          </w:tcPr>
          <w:p>
            <w:pPr>
              <w:spacing w:after="0"/>
            </w:pPr>
            <w:r>
              <w:rPr>
                <w:sz w:val="18"/>
              </w:rPr>
              <w:t>Seeder distributed or sold</w:t>
            </w:r>
          </w:p>
        </w:tc>
        <w:tc>
          <w:tcPr>
            <w:tcW w:type="dxa" w:w="6768"/>
            <w:tcMar>
              <w:top w:w="80" w:type="dxa"/>
              <w:start w:w="90" w:type="dxa"/>
              <w:bottom w:w="80" w:type="dxa"/>
              <w:end w:w="90" w:type="dxa"/>
            </w:tcMar>
            <w:vAlign w:val="top"/>
          </w:tcPr>
          <w:p>
            <w:pPr>
              <w:spacing w:after="0"/>
            </w:pPr>
            <w:r>
              <w:rPr>
                <w:sz w:val="18"/>
              </w:rPr>
              <w:t>Shows installed capacity, but not whether the machine is used, fully utilized, maintained or used for no-till.</w:t>
            </w:r>
          </w:p>
        </w:tc>
      </w:tr>
      <w:tr>
        <w:tc>
          <w:tcPr>
            <w:tcW w:type="dxa" w:w="2736"/>
            <w:shd w:fill="F8FAFC"/>
            <w:tcMar>
              <w:top w:w="80" w:type="dxa"/>
              <w:start w:w="90" w:type="dxa"/>
              <w:bottom w:w="80" w:type="dxa"/>
              <w:end w:w="90" w:type="dxa"/>
            </w:tcMar>
            <w:vAlign w:val="top"/>
          </w:tcPr>
          <w:p>
            <w:pPr>
              <w:spacing w:after="0"/>
            </w:pPr>
            <w:r>
              <w:rPr>
                <w:sz w:val="18"/>
              </w:rPr>
              <w:t>Hectares planted by a seeder</w:t>
            </w:r>
          </w:p>
        </w:tc>
        <w:tc>
          <w:tcPr>
            <w:tcW w:type="dxa" w:w="6768"/>
            <w:shd w:fill="F8FAFC"/>
            <w:tcMar>
              <w:top w:w="80" w:type="dxa"/>
              <w:start w:w="90" w:type="dxa"/>
              <w:bottom w:w="80" w:type="dxa"/>
              <w:end w:w="90" w:type="dxa"/>
            </w:tcMar>
            <w:vAlign w:val="top"/>
          </w:tcPr>
          <w:p>
            <w:pPr>
              <w:spacing w:after="0"/>
            </w:pPr>
            <w:r>
              <w:rPr>
                <w:sz w:val="18"/>
              </w:rPr>
              <w:t>Shows direct-seeding activity, but not rotation, residue retention, improved seed use or persistence over time.</w:t>
            </w:r>
          </w:p>
        </w:tc>
      </w:tr>
      <w:tr>
        <w:tc>
          <w:tcPr>
            <w:tcW w:type="dxa" w:w="2736"/>
            <w:tcMar>
              <w:top w:w="80" w:type="dxa"/>
              <w:start w:w="90" w:type="dxa"/>
              <w:bottom w:w="80" w:type="dxa"/>
              <w:end w:w="90" w:type="dxa"/>
            </w:tcMar>
            <w:vAlign w:val="top"/>
          </w:tcPr>
          <w:p>
            <w:pPr>
              <w:spacing w:after="0"/>
            </w:pPr>
            <w:r>
              <w:rPr>
                <w:sz w:val="18"/>
              </w:rPr>
              <w:t>Farmer trained or attending a field day</w:t>
            </w:r>
          </w:p>
        </w:tc>
        <w:tc>
          <w:tcPr>
            <w:tcW w:type="dxa" w:w="6768"/>
            <w:tcMar>
              <w:top w:w="80" w:type="dxa"/>
              <w:start w:w="90" w:type="dxa"/>
              <w:bottom w:w="80" w:type="dxa"/>
              <w:end w:w="90" w:type="dxa"/>
            </w:tcMar>
            <w:vAlign w:val="top"/>
          </w:tcPr>
          <w:p>
            <w:pPr>
              <w:spacing w:after="0"/>
            </w:pPr>
            <w:r>
              <w:rPr>
                <w:sz w:val="18"/>
              </w:rPr>
              <w:t>Shows exposure, not adoption.</w:t>
            </w:r>
          </w:p>
        </w:tc>
      </w:tr>
      <w:tr>
        <w:tc>
          <w:tcPr>
            <w:tcW w:type="dxa" w:w="2736"/>
            <w:shd w:fill="F8FAFC"/>
            <w:tcMar>
              <w:top w:w="80" w:type="dxa"/>
              <w:start w:w="90" w:type="dxa"/>
              <w:bottom w:w="80" w:type="dxa"/>
              <w:end w:w="90" w:type="dxa"/>
            </w:tcMar>
            <w:vAlign w:val="top"/>
          </w:tcPr>
          <w:p>
            <w:pPr>
              <w:spacing w:after="0"/>
            </w:pPr>
            <w:r>
              <w:rPr>
                <w:sz w:val="18"/>
              </w:rPr>
              <w:t>Farmer using one CA component</w:t>
            </w:r>
          </w:p>
        </w:tc>
        <w:tc>
          <w:tcPr>
            <w:tcW w:type="dxa" w:w="6768"/>
            <w:shd w:fill="F8FAFC"/>
            <w:tcMar>
              <w:top w:w="80" w:type="dxa"/>
              <w:start w:w="90" w:type="dxa"/>
              <w:bottom w:w="80" w:type="dxa"/>
              <w:end w:w="90" w:type="dxa"/>
            </w:tcMar>
            <w:vAlign w:val="top"/>
          </w:tcPr>
          <w:p>
            <w:pPr>
              <w:spacing w:after="0"/>
            </w:pPr>
            <w:r>
              <w:rPr>
                <w:sz w:val="18"/>
              </w:rPr>
              <w:t>Shows initial or partial adoption.</w:t>
            </w:r>
          </w:p>
        </w:tc>
      </w:tr>
      <w:tr>
        <w:tc>
          <w:tcPr>
            <w:tcW w:type="dxa" w:w="2736"/>
            <w:tcMar>
              <w:top w:w="80" w:type="dxa"/>
              <w:start w:w="90" w:type="dxa"/>
              <w:bottom w:w="80" w:type="dxa"/>
              <w:end w:w="90" w:type="dxa"/>
            </w:tcMar>
            <w:vAlign w:val="top"/>
          </w:tcPr>
          <w:p>
            <w:pPr>
              <w:spacing w:after="0"/>
            </w:pPr>
            <w:r>
              <w:rPr>
                <w:sz w:val="18"/>
              </w:rPr>
              <w:t>Farmer using two or three pillars</w:t>
            </w:r>
          </w:p>
        </w:tc>
        <w:tc>
          <w:tcPr>
            <w:tcW w:type="dxa" w:w="6768"/>
            <w:tcMar>
              <w:top w:w="80" w:type="dxa"/>
              <w:start w:w="90" w:type="dxa"/>
              <w:bottom w:w="80" w:type="dxa"/>
              <w:end w:w="90" w:type="dxa"/>
            </w:tcMar>
            <w:vAlign w:val="top"/>
          </w:tcPr>
          <w:p>
            <w:pPr>
              <w:spacing w:after="0"/>
            </w:pPr>
            <w:r>
              <w:rPr>
                <w:sz w:val="18"/>
              </w:rPr>
              <w:t>Shows deeper package adoption and should be reported separately.</w:t>
            </w:r>
          </w:p>
        </w:tc>
      </w:tr>
      <w:tr>
        <w:tc>
          <w:tcPr>
            <w:tcW w:type="dxa" w:w="2736"/>
            <w:shd w:fill="F8FAFC"/>
            <w:tcMar>
              <w:top w:w="80" w:type="dxa"/>
              <w:start w:w="90" w:type="dxa"/>
              <w:bottom w:w="80" w:type="dxa"/>
              <w:end w:w="90" w:type="dxa"/>
            </w:tcMar>
            <w:vAlign w:val="top"/>
          </w:tcPr>
          <w:p>
            <w:pPr>
              <w:spacing w:after="0"/>
            </w:pPr>
            <w:r>
              <w:rPr>
                <w:sz w:val="18"/>
              </w:rPr>
              <w:t>Repeated use across seasons</w:t>
            </w:r>
          </w:p>
        </w:tc>
        <w:tc>
          <w:tcPr>
            <w:tcW w:type="dxa" w:w="6768"/>
            <w:shd w:fill="F8FAFC"/>
            <w:tcMar>
              <w:top w:w="80" w:type="dxa"/>
              <w:start w:w="90" w:type="dxa"/>
              <w:bottom w:w="80" w:type="dxa"/>
              <w:end w:w="90" w:type="dxa"/>
            </w:tcMar>
            <w:vAlign w:val="top"/>
          </w:tcPr>
          <w:p>
            <w:pPr>
              <w:spacing w:after="0"/>
            </w:pPr>
            <w:r>
              <w:rPr>
                <w:sz w:val="18"/>
              </w:rPr>
              <w:t>Shows sustained adoption and reduces the risk of counting one-time trials.</w:t>
            </w:r>
          </w:p>
        </w:tc>
      </w:tr>
      <w:tr>
        <w:tc>
          <w:tcPr>
            <w:tcW w:type="dxa" w:w="2736"/>
            <w:tcMar>
              <w:top w:w="80" w:type="dxa"/>
              <w:start w:w="90" w:type="dxa"/>
              <w:bottom w:w="80" w:type="dxa"/>
              <w:end w:w="90" w:type="dxa"/>
            </w:tcMar>
            <w:vAlign w:val="top"/>
          </w:tcPr>
          <w:p>
            <w:pPr>
              <w:spacing w:after="0"/>
            </w:pPr>
            <w:r>
              <w:rPr>
                <w:sz w:val="18"/>
              </w:rPr>
              <w:t>Farmer investment</w:t>
            </w:r>
          </w:p>
        </w:tc>
        <w:tc>
          <w:tcPr>
            <w:tcW w:type="dxa" w:w="6768"/>
            <w:tcMar>
              <w:top w:w="80" w:type="dxa"/>
              <w:start w:w="90" w:type="dxa"/>
              <w:bottom w:w="80" w:type="dxa"/>
              <w:end w:w="90" w:type="dxa"/>
            </w:tcMar>
            <w:vAlign w:val="top"/>
          </w:tcPr>
          <w:p>
            <w:pPr>
              <w:spacing w:after="0"/>
            </w:pPr>
            <w:r>
              <w:rPr>
                <w:sz w:val="18"/>
              </w:rPr>
              <w:t>Indicates commitment and was described as a strong behavioral signal, but subsidized investment must be interpreted carefully.</w:t>
            </w:r>
          </w:p>
        </w:tc>
      </w:tr>
      <w:tr>
        <w:tc>
          <w:tcPr>
            <w:tcW w:type="dxa" w:w="2736"/>
            <w:shd w:fill="F8FAFC"/>
            <w:tcMar>
              <w:top w:w="80" w:type="dxa"/>
              <w:start w:w="90" w:type="dxa"/>
              <w:bottom w:w="80" w:type="dxa"/>
              <w:end w:w="90" w:type="dxa"/>
            </w:tcMar>
            <w:vAlign w:val="top"/>
          </w:tcPr>
          <w:p>
            <w:pPr>
              <w:spacing w:after="0"/>
            </w:pPr>
            <w:r>
              <w:rPr>
                <w:sz w:val="18"/>
              </w:rPr>
              <w:t>Measured yield, profit or soil outcome</w:t>
            </w:r>
          </w:p>
        </w:tc>
        <w:tc>
          <w:tcPr>
            <w:tcW w:type="dxa" w:w="6768"/>
            <w:shd w:fill="F8FAFC"/>
            <w:tcMar>
              <w:top w:w="80" w:type="dxa"/>
              <w:start w:w="90" w:type="dxa"/>
              <w:bottom w:w="80" w:type="dxa"/>
              <w:end w:w="90" w:type="dxa"/>
            </w:tcMar>
            <w:vAlign w:val="top"/>
          </w:tcPr>
          <w:p>
            <w:pPr>
              <w:spacing w:after="0"/>
            </w:pPr>
            <w:r>
              <w:rPr>
                <w:sz w:val="18"/>
              </w:rPr>
              <w:t>Shows performance and impact, but requires a credible comparison and an explicit package definition.</w:t>
            </w:r>
          </w:p>
        </w:tc>
      </w:tr>
    </w:tbl>
    <w:p>
      <w:pPr>
        <w:spacing w:after="0"/>
      </w:pPr>
    </w:p>
    <w:p>
      <w:pPr>
        <w:pStyle w:val="Heading2"/>
      </w:pPr>
      <w:r>
        <w:t>Existing tracking architecture</w:t>
      </w:r>
    </w:p>
    <w:p>
      <w:pPr>
        <w:pStyle w:val="ListBullet"/>
        <w:spacing w:after="56"/>
      </w:pPr>
      <w:r>
        <w:t>A national committee led by the Ministry of Agriculture, with INRA serving as secretariat.</w:t>
      </w:r>
    </w:p>
    <w:p>
      <w:pPr>
        <w:pStyle w:val="ListBullet"/>
        <w:spacing w:after="56"/>
      </w:pPr>
      <w:r>
        <w:t>Regional agricultural directorates and regional implementation plans in major cereal-producing areas.</w:t>
      </w:r>
    </w:p>
    <w:p>
      <w:pPr>
        <w:pStyle w:val="ListBullet"/>
        <w:spacing w:after="56"/>
      </w:pPr>
      <w:r>
        <w:t>ONCA, farmer platforms and regional entities that collect information on adoption, yield and revenue.</w:t>
      </w:r>
    </w:p>
    <w:p>
      <w:pPr>
        <w:pStyle w:val="ListBullet"/>
        <w:spacing w:after="56"/>
      </w:pPr>
      <w:r>
        <w:t>An MRV prototype developed with World Bank and CGIAR support, with field data being presented to the ministry.</w:t>
      </w:r>
    </w:p>
    <w:p>
      <w:pPr>
        <w:pStyle w:val="ListBullet"/>
        <w:spacing w:after="56"/>
      </w:pPr>
      <w:r>
        <w:t>Administrative monitoring of government-distributed seeders, associations receiving them and hectares reportedly covered.</w:t>
      </w:r>
    </w:p>
    <w:p>
      <w:pPr>
        <w:pStyle w:val="Heading2"/>
      </w:pPr>
      <w:r>
        <w:t>Key coaching message</w:t>
      </w:r>
    </w:p>
    <w:p>
      <w:r>
        <w:t>Retain the national hectare indicator, but build a nested monitoring system beneath it. The program should be able to say how many hectares reflect direct seeding only, how many reflect two or three pillars, how much is sustained, how much is supported by public subsidy, and what proportion is driven by private demand.</w:t>
      </w:r>
    </w:p>
    <w:p>
      <w:pPr>
        <w:pStyle w:val="Heading1"/>
      </w:pPr>
      <w:r>
        <w:t>7. Machinery and no-till service-delivery pathway</w:t>
      </w:r>
    </w:p>
    <w:p>
      <w:r>
        <w:t>Machinery access is currently the most advanced scaling pathway. The government distributes subsidized seeders, private farmers purchase machines, local and international suppliers are active, and service providers are central because many smallholders obtain mechanization through hired services rather than owning equipment.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8"/>
            <w:tcMar>
              <w:top w:w="80" w:type="dxa"/>
              <w:start w:w="90" w:type="dxa"/>
              <w:bottom w:w="80" w:type="dxa"/>
              <w:end w:w="90" w:type="dxa"/>
            </w:tcMar>
            <w:vAlign w:val="center"/>
          </w:tcPr>
          <w:p>
            <w:pPr>
              <w:jc w:val="left"/>
            </w:pPr>
            <w:r>
              <w:rPr>
                <w:b/>
                <w:color w:val="FFFFFF"/>
                <w:sz w:val="17"/>
              </w:rPr>
              <w:t>Element</w:t>
            </w:r>
          </w:p>
        </w:tc>
        <w:tc>
          <w:tcPr>
            <w:tcW w:type="dxa" w:w="7056"/>
            <w:shd w:fill="1F4E78"/>
            <w:tcMar>
              <w:top w:w="80" w:type="dxa"/>
              <w:start w:w="90" w:type="dxa"/>
              <w:bottom w:w="80" w:type="dxa"/>
              <w:end w:w="90" w:type="dxa"/>
            </w:tcMar>
            <w:vAlign w:val="center"/>
          </w:tcPr>
          <w:p>
            <w:pPr>
              <w:jc w:val="left"/>
            </w:pPr>
            <w:r>
              <w:rPr>
                <w:b/>
                <w:color w:val="FFFFFF"/>
                <w:sz w:val="17"/>
              </w:rPr>
              <w:t>Session evidence and implications</w:t>
            </w:r>
          </w:p>
        </w:tc>
      </w:tr>
      <w:tr>
        <w:tc>
          <w:tcPr>
            <w:tcW w:type="dxa" w:w="2448"/>
            <w:tcMar>
              <w:top w:w="80" w:type="dxa"/>
              <w:start w:w="90" w:type="dxa"/>
              <w:bottom w:w="80" w:type="dxa"/>
              <w:end w:w="90" w:type="dxa"/>
            </w:tcMar>
            <w:vAlign w:val="top"/>
          </w:tcPr>
          <w:p>
            <w:pPr>
              <w:spacing w:after="0"/>
            </w:pPr>
            <w:r>
              <w:rPr>
                <w:sz w:val="17"/>
              </w:rPr>
              <w:t>Public distribution</w:t>
            </w:r>
          </w:p>
        </w:tc>
        <w:tc>
          <w:tcPr>
            <w:tcW w:type="dxa" w:w="7056"/>
            <w:tcMar>
              <w:top w:w="80" w:type="dxa"/>
              <w:start w:w="90" w:type="dxa"/>
              <w:bottom w:w="80" w:type="dxa"/>
              <w:end w:w="90" w:type="dxa"/>
            </w:tcMar>
            <w:vAlign w:val="top"/>
          </w:tcPr>
          <w:p>
            <w:pPr>
              <w:spacing w:after="0"/>
            </w:pPr>
            <w:r>
              <w:rPr>
                <w:sz w:val="17"/>
              </w:rPr>
              <w:t>Approximately 700 government-distributed seeders were reported, with a near-term expectation of reaching about 1,000. The ministry reportedly distributes roughly 250-300 per year.</w:t>
            </w:r>
          </w:p>
        </w:tc>
      </w:tr>
      <w:tr>
        <w:tc>
          <w:tcPr>
            <w:tcW w:type="dxa" w:w="2448"/>
            <w:shd w:fill="F8FAFC"/>
            <w:tcMar>
              <w:top w:w="80" w:type="dxa"/>
              <w:start w:w="90" w:type="dxa"/>
              <w:bottom w:w="80" w:type="dxa"/>
              <w:end w:w="90" w:type="dxa"/>
            </w:tcMar>
            <w:vAlign w:val="top"/>
          </w:tcPr>
          <w:p>
            <w:pPr>
              <w:spacing w:after="0"/>
            </w:pPr>
            <w:r>
              <w:rPr>
                <w:sz w:val="17"/>
              </w:rPr>
              <w:t>Private machines</w:t>
            </w:r>
          </w:p>
        </w:tc>
        <w:tc>
          <w:tcPr>
            <w:tcW w:type="dxa" w:w="7056"/>
            <w:shd w:fill="F8FAFC"/>
            <w:tcMar>
              <w:top w:w="80" w:type="dxa"/>
              <w:start w:w="90" w:type="dxa"/>
              <w:bottom w:w="80" w:type="dxa"/>
              <w:end w:w="90" w:type="dxa"/>
            </w:tcMar>
            <w:vAlign w:val="top"/>
          </w:tcPr>
          <w:p>
            <w:pPr>
              <w:spacing w:after="0"/>
            </w:pPr>
            <w:r>
              <w:rPr>
                <w:sz w:val="17"/>
              </w:rPr>
              <w:t>Approximately 500 privately purchased machines was mentioned as an estimate requiring confirmation.</w:t>
            </w:r>
          </w:p>
        </w:tc>
      </w:tr>
      <w:tr>
        <w:tc>
          <w:tcPr>
            <w:tcW w:type="dxa" w:w="2448"/>
            <w:tcMar>
              <w:top w:w="80" w:type="dxa"/>
              <w:start w:w="90" w:type="dxa"/>
              <w:bottom w:w="80" w:type="dxa"/>
              <w:end w:w="90" w:type="dxa"/>
            </w:tcMar>
            <w:vAlign w:val="top"/>
          </w:tcPr>
          <w:p>
            <w:pPr>
              <w:spacing w:after="0"/>
            </w:pPr>
            <w:r>
              <w:rPr>
                <w:sz w:val="17"/>
              </w:rPr>
              <w:t>National equipment ambition</w:t>
            </w:r>
          </w:p>
        </w:tc>
        <w:tc>
          <w:tcPr>
            <w:tcW w:type="dxa" w:w="7056"/>
            <w:tcMar>
              <w:top w:w="80" w:type="dxa"/>
              <w:start w:w="90" w:type="dxa"/>
              <w:bottom w:w="80" w:type="dxa"/>
              <w:end w:w="90" w:type="dxa"/>
            </w:tcMar>
            <w:vAlign w:val="top"/>
          </w:tcPr>
          <w:p>
            <w:pPr>
              <w:spacing w:after="0"/>
            </w:pPr>
            <w:r>
              <w:rPr>
                <w:sz w:val="17"/>
              </w:rPr>
              <w:t>A target of approximately 7,000 seeders was mentioned. Simple arithmetic at 300 hectares per machine suggests about 3,333 machines could theoretically service one million hectares, but actual utilization, seeding windows, travel and machine size materially affect this.</w:t>
            </w:r>
          </w:p>
        </w:tc>
      </w:tr>
      <w:tr>
        <w:tc>
          <w:tcPr>
            <w:tcW w:type="dxa" w:w="2448"/>
            <w:shd w:fill="F8FAFC"/>
            <w:tcMar>
              <w:top w:w="80" w:type="dxa"/>
              <w:start w:w="90" w:type="dxa"/>
              <w:bottom w:w="80" w:type="dxa"/>
              <w:end w:w="90" w:type="dxa"/>
            </w:tcMar>
            <w:vAlign w:val="top"/>
          </w:tcPr>
          <w:p>
            <w:pPr>
              <w:spacing w:after="0"/>
            </w:pPr>
            <w:r>
              <w:rPr>
                <w:sz w:val="17"/>
              </w:rPr>
              <w:t>Machine capacity</w:t>
            </w:r>
          </w:p>
        </w:tc>
        <w:tc>
          <w:tcPr>
            <w:tcW w:type="dxa" w:w="7056"/>
            <w:shd w:fill="F8FAFC"/>
            <w:tcMar>
              <w:top w:w="80" w:type="dxa"/>
              <w:start w:w="90" w:type="dxa"/>
              <w:bottom w:w="80" w:type="dxa"/>
              <w:end w:w="90" w:type="dxa"/>
            </w:tcMar>
            <w:vAlign w:val="top"/>
          </w:tcPr>
          <w:p>
            <w:pPr>
              <w:spacing w:after="0"/>
            </w:pPr>
            <w:r>
              <w:rPr>
                <w:sz w:val="17"/>
              </w:rPr>
              <w:t>Common figures were 200-400 hectares per season; smaller machines may cover about 150-200 hectares depending on field size, distance and operating conditions.</w:t>
            </w:r>
          </w:p>
        </w:tc>
      </w:tr>
      <w:tr>
        <w:tc>
          <w:tcPr>
            <w:tcW w:type="dxa" w:w="2448"/>
            <w:tcMar>
              <w:top w:w="80" w:type="dxa"/>
              <w:start w:w="90" w:type="dxa"/>
              <w:bottom w:w="80" w:type="dxa"/>
              <w:end w:w="90" w:type="dxa"/>
            </w:tcMar>
            <w:vAlign w:val="top"/>
          </w:tcPr>
          <w:p>
            <w:pPr>
              <w:spacing w:after="0"/>
            </w:pPr>
            <w:r>
              <w:rPr>
                <w:sz w:val="17"/>
              </w:rPr>
              <w:t>Individual subsidy</w:t>
            </w:r>
          </w:p>
        </w:tc>
        <w:tc>
          <w:tcPr>
            <w:tcW w:type="dxa" w:w="7056"/>
            <w:tcMar>
              <w:top w:w="80" w:type="dxa"/>
              <w:start w:w="90" w:type="dxa"/>
              <w:bottom w:w="80" w:type="dxa"/>
              <w:end w:w="90" w:type="dxa"/>
            </w:tcMar>
            <w:vAlign w:val="top"/>
          </w:tcPr>
          <w:p>
            <w:pPr>
              <w:spacing w:after="0"/>
            </w:pPr>
            <w:r>
              <w:rPr>
                <w:sz w:val="17"/>
              </w:rPr>
              <w:t>Individual farmers may receive a 50 percent subsidy, reportedly capped around USD 9,000.</w:t>
            </w:r>
          </w:p>
        </w:tc>
      </w:tr>
      <w:tr>
        <w:tc>
          <w:tcPr>
            <w:tcW w:type="dxa" w:w="2448"/>
            <w:shd w:fill="F8FAFC"/>
            <w:tcMar>
              <w:top w:w="80" w:type="dxa"/>
              <w:start w:w="90" w:type="dxa"/>
              <w:bottom w:w="80" w:type="dxa"/>
              <w:end w:w="90" w:type="dxa"/>
            </w:tcMar>
            <w:vAlign w:val="top"/>
          </w:tcPr>
          <w:p>
            <w:pPr>
              <w:spacing w:after="0"/>
            </w:pPr>
            <w:r>
              <w:rPr>
                <w:sz w:val="17"/>
              </w:rPr>
              <w:t>Association/cooperative support</w:t>
            </w:r>
          </w:p>
        </w:tc>
        <w:tc>
          <w:tcPr>
            <w:tcW w:type="dxa" w:w="7056"/>
            <w:shd w:fill="F8FAFC"/>
            <w:tcMar>
              <w:top w:w="80" w:type="dxa"/>
              <w:start w:w="90" w:type="dxa"/>
              <w:bottom w:w="80" w:type="dxa"/>
              <w:end w:w="90" w:type="dxa"/>
            </w:tcMar>
            <w:vAlign w:val="top"/>
          </w:tcPr>
          <w:p>
            <w:pPr>
              <w:spacing w:after="0"/>
            </w:pPr>
            <w:r>
              <w:rPr>
                <w:sz w:val="17"/>
              </w:rPr>
              <w:t>Associations and cooperatives may receive machines free of charge, creating an access pathway for smallholders but also a risk of underutilization.</w:t>
            </w:r>
          </w:p>
        </w:tc>
      </w:tr>
      <w:tr>
        <w:tc>
          <w:tcPr>
            <w:tcW w:type="dxa" w:w="2448"/>
            <w:tcMar>
              <w:top w:w="80" w:type="dxa"/>
              <w:start w:w="90" w:type="dxa"/>
              <w:bottom w:w="80" w:type="dxa"/>
              <w:end w:w="90" w:type="dxa"/>
            </w:tcMar>
            <w:vAlign w:val="top"/>
          </w:tcPr>
          <w:p>
            <w:pPr>
              <w:spacing w:after="0"/>
            </w:pPr>
            <w:r>
              <w:rPr>
                <w:sz w:val="17"/>
              </w:rPr>
              <w:t>Service-provider exclusion</w:t>
            </w:r>
          </w:p>
        </w:tc>
        <w:tc>
          <w:tcPr>
            <w:tcW w:type="dxa" w:w="7056"/>
            <w:tcMar>
              <w:top w:w="80" w:type="dxa"/>
              <w:start w:w="90" w:type="dxa"/>
              <w:bottom w:w="80" w:type="dxa"/>
              <w:end w:w="90" w:type="dxa"/>
            </w:tcMar>
            <w:vAlign w:val="top"/>
          </w:tcPr>
          <w:p>
            <w:pPr>
              <w:spacing w:after="0"/>
            </w:pPr>
            <w:r>
              <w:rPr>
                <w:sz w:val="17"/>
              </w:rPr>
              <w:t>Non-farmer entrepreneurs and machinery service providers were reportedly not eligible for the same subsidy, which the economists considered a regulatory barrier.</w:t>
            </w:r>
          </w:p>
        </w:tc>
      </w:tr>
      <w:tr>
        <w:tc>
          <w:tcPr>
            <w:tcW w:type="dxa" w:w="2448"/>
            <w:shd w:fill="F8FAFC"/>
            <w:tcMar>
              <w:top w:w="80" w:type="dxa"/>
              <w:start w:w="90" w:type="dxa"/>
              <w:bottom w:w="80" w:type="dxa"/>
              <w:end w:w="90" w:type="dxa"/>
            </w:tcMar>
            <w:vAlign w:val="top"/>
          </w:tcPr>
          <w:p>
            <w:pPr>
              <w:spacing w:after="0"/>
            </w:pPr>
            <w:r>
              <w:rPr>
                <w:sz w:val="17"/>
              </w:rPr>
              <w:t>Local production</w:t>
            </w:r>
          </w:p>
        </w:tc>
        <w:tc>
          <w:tcPr>
            <w:tcW w:type="dxa" w:w="7056"/>
            <w:shd w:fill="F8FAFC"/>
            <w:tcMar>
              <w:top w:w="80" w:type="dxa"/>
              <w:start w:w="90" w:type="dxa"/>
              <w:bottom w:w="80" w:type="dxa"/>
              <w:end w:w="90" w:type="dxa"/>
            </w:tcMar>
            <w:vAlign w:val="top"/>
          </w:tcPr>
          <w:p>
            <w:pPr>
              <w:spacing w:after="0"/>
            </w:pPr>
            <w:r>
              <w:rPr>
                <w:sz w:val="17"/>
              </w:rPr>
              <w:t>The local manufacturer Atmar was described as a major supplier. Locally produced seeders were cited at roughly USD 14,000-15,000 versus USD 20,000-25,000 for comparable imports.</w:t>
            </w:r>
          </w:p>
        </w:tc>
      </w:tr>
      <w:tr>
        <w:tc>
          <w:tcPr>
            <w:tcW w:type="dxa" w:w="2448"/>
            <w:tcMar>
              <w:top w:w="80" w:type="dxa"/>
              <w:start w:w="90" w:type="dxa"/>
              <w:bottom w:w="80" w:type="dxa"/>
              <w:end w:w="90" w:type="dxa"/>
            </w:tcMar>
            <w:vAlign w:val="top"/>
          </w:tcPr>
          <w:p>
            <w:pPr>
              <w:spacing w:after="0"/>
            </w:pPr>
            <w:r>
              <w:rPr>
                <w:sz w:val="17"/>
              </w:rPr>
              <w:t>Smaller seeders</w:t>
            </w:r>
          </w:p>
        </w:tc>
        <w:tc>
          <w:tcPr>
            <w:tcW w:type="dxa" w:w="7056"/>
            <w:tcMar>
              <w:top w:w="80" w:type="dxa"/>
              <w:start w:w="90" w:type="dxa"/>
              <w:bottom w:w="80" w:type="dxa"/>
              <w:end w:w="90" w:type="dxa"/>
            </w:tcMar>
            <w:vAlign w:val="top"/>
          </w:tcPr>
          <w:p>
            <w:pPr>
              <w:spacing w:after="0"/>
            </w:pPr>
            <w:r>
              <w:rPr>
                <w:sz w:val="17"/>
              </w:rPr>
              <w:t>The government and partners are expanding smaller, approximately two- to three-meter machines for smaller holdings, sloping land and smaller tractors.</w:t>
            </w:r>
          </w:p>
        </w:tc>
      </w:tr>
      <w:tr>
        <w:tc>
          <w:tcPr>
            <w:tcW w:type="dxa" w:w="2448"/>
            <w:shd w:fill="F8FAFC"/>
            <w:tcMar>
              <w:top w:w="80" w:type="dxa"/>
              <w:start w:w="90" w:type="dxa"/>
              <w:bottom w:w="80" w:type="dxa"/>
              <w:end w:w="90" w:type="dxa"/>
            </w:tcMar>
            <w:vAlign w:val="top"/>
          </w:tcPr>
          <w:p>
            <w:pPr>
              <w:spacing w:after="0"/>
            </w:pPr>
            <w:r>
              <w:rPr>
                <w:sz w:val="17"/>
              </w:rPr>
              <w:t>Market activity</w:t>
            </w:r>
          </w:p>
        </w:tc>
        <w:tc>
          <w:tcPr>
            <w:tcW w:type="dxa" w:w="7056"/>
            <w:shd w:fill="F8FAFC"/>
            <w:tcMar>
              <w:top w:w="80" w:type="dxa"/>
              <w:start w:w="90" w:type="dxa"/>
              <w:bottom w:w="80" w:type="dxa"/>
              <w:end w:w="90" w:type="dxa"/>
            </w:tcMar>
            <w:vAlign w:val="top"/>
          </w:tcPr>
          <w:p>
            <w:pPr>
              <w:spacing w:after="0"/>
            </w:pPr>
            <w:r>
              <w:rPr>
                <w:sz w:val="17"/>
              </w:rPr>
              <w:t>Machinery companies actively demonstrate and market equipment at SIAM and field events; Morocco is an attractive market for local and international suppliers.</w:t>
            </w:r>
          </w:p>
        </w:tc>
      </w:tr>
    </w:tbl>
    <w:p>
      <w:pPr>
        <w:spacing w:after="0"/>
      </w:pPr>
    </w:p>
    <w:p>
      <w:pPr>
        <w:pStyle w:val="Heading2"/>
      </w:pPr>
      <w:r>
        <w:t>Why scale-appropriate machinery matters</w:t>
      </w:r>
    </w:p>
    <w:p>
      <w:r>
        <w:t>Early adoption has largely occurred where larger machines and tractors can operate efficiently. The next frontier includes smaller, fragmented and sloping farms. "Scale appropriate" therefore refers to matching the seeder to tractor power, holding size, plot geometry, topography, soil and residue conditions. A single machine model cannot serve all agroecologies and farm segments.</w:t>
      </w:r>
    </w:p>
    <w:p>
      <w:pPr>
        <w:pStyle w:val="Heading2"/>
      </w:pPr>
      <w:r>
        <w:t>Service-provider business models discussed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F4E78"/>
            <w:tcMar>
              <w:top w:w="80" w:type="dxa"/>
              <w:start w:w="90" w:type="dxa"/>
              <w:bottom w:w="80" w:type="dxa"/>
              <w:end w:w="90" w:type="dxa"/>
            </w:tcMar>
            <w:vAlign w:val="center"/>
          </w:tcPr>
          <w:p>
            <w:pPr>
              <w:jc w:val="left"/>
            </w:pPr>
            <w:r>
              <w:rPr>
                <w:b/>
                <w:color w:val="FFFFFF"/>
                <w:sz w:val="18"/>
              </w:rPr>
              <w:t>Model</w:t>
            </w:r>
          </w:p>
        </w:tc>
        <w:tc>
          <w:tcPr>
            <w:tcW w:type="dxa" w:w="6912"/>
            <w:shd w:fill="1F4E78"/>
            <w:tcMar>
              <w:top w:w="80" w:type="dxa"/>
              <w:start w:w="90" w:type="dxa"/>
              <w:bottom w:w="80" w:type="dxa"/>
              <w:end w:w="90" w:type="dxa"/>
            </w:tcMar>
            <w:vAlign w:val="center"/>
          </w:tcPr>
          <w:p>
            <w:pPr>
              <w:jc w:val="left"/>
            </w:pPr>
            <w:r>
              <w:rPr>
                <w:b/>
                <w:color w:val="FFFFFF"/>
                <w:sz w:val="18"/>
              </w:rPr>
              <w:t>Characteristics and strategic questions</w:t>
            </w:r>
          </w:p>
        </w:tc>
      </w:tr>
      <w:tr>
        <w:tc>
          <w:tcPr>
            <w:tcW w:type="dxa" w:w="2592"/>
            <w:tcMar>
              <w:top w:w="80" w:type="dxa"/>
              <w:start w:w="90" w:type="dxa"/>
              <w:bottom w:w="80" w:type="dxa"/>
              <w:end w:w="90" w:type="dxa"/>
            </w:tcMar>
            <w:vAlign w:val="top"/>
          </w:tcPr>
          <w:p>
            <w:pPr>
              <w:spacing w:after="0"/>
            </w:pPr>
            <w:r>
              <w:rPr>
                <w:sz w:val="18"/>
              </w:rPr>
              <w:t>Owner-user farmer</w:t>
            </w:r>
          </w:p>
        </w:tc>
        <w:tc>
          <w:tcPr>
            <w:tcW w:type="dxa" w:w="6912"/>
            <w:tcMar>
              <w:top w:w="80" w:type="dxa"/>
              <w:start w:w="90" w:type="dxa"/>
              <w:bottom w:w="80" w:type="dxa"/>
              <w:end w:w="90" w:type="dxa"/>
            </w:tcMar>
            <w:vAlign w:val="top"/>
          </w:tcPr>
          <w:p>
            <w:pPr>
              <w:spacing w:after="0"/>
            </w:pPr>
            <w:r>
              <w:rPr>
                <w:sz w:val="18"/>
              </w:rPr>
              <w:t>A medium or large farmer buys a seeder mainly for own land. This is a straightforward early-adopter pathway but contributes less to smallholder access unless spare capacity is offered commercially.</w:t>
            </w:r>
          </w:p>
        </w:tc>
      </w:tr>
      <w:tr>
        <w:tc>
          <w:tcPr>
            <w:tcW w:type="dxa" w:w="2592"/>
            <w:shd w:fill="F8FAFC"/>
            <w:tcMar>
              <w:top w:w="80" w:type="dxa"/>
              <w:start w:w="90" w:type="dxa"/>
              <w:bottom w:w="80" w:type="dxa"/>
              <w:end w:w="90" w:type="dxa"/>
            </w:tcMar>
            <w:vAlign w:val="top"/>
          </w:tcPr>
          <w:p>
            <w:pPr>
              <w:spacing w:after="0"/>
            </w:pPr>
            <w:r>
              <w:rPr>
                <w:sz w:val="18"/>
              </w:rPr>
              <w:t>Farmer-neighbor provider</w:t>
            </w:r>
          </w:p>
        </w:tc>
        <w:tc>
          <w:tcPr>
            <w:tcW w:type="dxa" w:w="6912"/>
            <w:shd w:fill="F8FAFC"/>
            <w:tcMar>
              <w:top w:w="80" w:type="dxa"/>
              <w:start w:w="90" w:type="dxa"/>
              <w:bottom w:w="80" w:type="dxa"/>
              <w:end w:w="90" w:type="dxa"/>
            </w:tcMar>
            <w:vAlign w:val="top"/>
          </w:tcPr>
          <w:p>
            <w:pPr>
              <w:spacing w:after="0"/>
            </w:pPr>
            <w:r>
              <w:rPr>
                <w:sz w:val="18"/>
              </w:rPr>
              <w:t>A farmer uses the machine on own land and provides occasional services to nearby farmers. Requires local trust and sufficient demand density.</w:t>
            </w:r>
          </w:p>
        </w:tc>
      </w:tr>
      <w:tr>
        <w:tc>
          <w:tcPr>
            <w:tcW w:type="dxa" w:w="2592"/>
            <w:tcMar>
              <w:top w:w="80" w:type="dxa"/>
              <w:start w:w="90" w:type="dxa"/>
              <w:bottom w:w="80" w:type="dxa"/>
              <w:end w:w="90" w:type="dxa"/>
            </w:tcMar>
            <w:vAlign w:val="top"/>
          </w:tcPr>
          <w:p>
            <w:pPr>
              <w:spacing w:after="0"/>
            </w:pPr>
            <w:r>
              <w:rPr>
                <w:sz w:val="18"/>
              </w:rPr>
              <w:t>Farmer-service enterprise</w:t>
            </w:r>
          </w:p>
        </w:tc>
        <w:tc>
          <w:tcPr>
            <w:tcW w:type="dxa" w:w="6912"/>
            <w:tcMar>
              <w:top w:w="80" w:type="dxa"/>
              <w:start w:w="90" w:type="dxa"/>
              <w:bottom w:w="80" w:type="dxa"/>
              <w:end w:w="90" w:type="dxa"/>
            </w:tcMar>
            <w:vAlign w:val="top"/>
          </w:tcPr>
          <w:p>
            <w:pPr>
              <w:spacing w:after="0"/>
            </w:pPr>
            <w:r>
              <w:rPr>
                <w:sz w:val="18"/>
              </w:rPr>
              <w:t>The owner farms some land but earns a substantial share of income by providing mechanization services. This model may be scalable if business skills, routing and maintenance are strong.</w:t>
            </w:r>
          </w:p>
        </w:tc>
      </w:tr>
      <w:tr>
        <w:tc>
          <w:tcPr>
            <w:tcW w:type="dxa" w:w="2592"/>
            <w:shd w:fill="F8FAFC"/>
            <w:tcMar>
              <w:top w:w="80" w:type="dxa"/>
              <w:start w:w="90" w:type="dxa"/>
              <w:bottom w:w="80" w:type="dxa"/>
              <w:end w:w="90" w:type="dxa"/>
            </w:tcMar>
            <w:vAlign w:val="top"/>
          </w:tcPr>
          <w:p>
            <w:pPr>
              <w:spacing w:after="0"/>
            </w:pPr>
            <w:r>
              <w:rPr>
                <w:sz w:val="18"/>
              </w:rPr>
              <w:t>Professional multi-service provider</w:t>
            </w:r>
          </w:p>
        </w:tc>
        <w:tc>
          <w:tcPr>
            <w:tcW w:type="dxa" w:w="6912"/>
            <w:shd w:fill="F8FAFC"/>
            <w:tcMar>
              <w:top w:w="80" w:type="dxa"/>
              <w:start w:w="90" w:type="dxa"/>
              <w:bottom w:w="80" w:type="dxa"/>
              <w:end w:w="90" w:type="dxa"/>
            </w:tcMar>
            <w:vAlign w:val="top"/>
          </w:tcPr>
          <w:p>
            <w:pPr>
              <w:spacing w:after="0"/>
            </w:pPr>
            <w:r>
              <w:rPr>
                <w:sz w:val="18"/>
              </w:rPr>
              <w:t>An entrepreneur owns several machines and may travel farther, bundle planting with fertilizer, weed management, advisory or harvesting, and operate as a formal business.</w:t>
            </w:r>
          </w:p>
        </w:tc>
      </w:tr>
      <w:tr>
        <w:tc>
          <w:tcPr>
            <w:tcW w:type="dxa" w:w="2592"/>
            <w:tcMar>
              <w:top w:w="80" w:type="dxa"/>
              <w:start w:w="90" w:type="dxa"/>
              <w:bottom w:w="80" w:type="dxa"/>
              <w:end w:w="90" w:type="dxa"/>
            </w:tcMar>
            <w:vAlign w:val="top"/>
          </w:tcPr>
          <w:p>
            <w:pPr>
              <w:spacing w:after="0"/>
            </w:pPr>
            <w:r>
              <w:rPr>
                <w:sz w:val="18"/>
              </w:rPr>
              <w:t>Association or cooperative</w:t>
            </w:r>
          </w:p>
        </w:tc>
        <w:tc>
          <w:tcPr>
            <w:tcW w:type="dxa" w:w="6912"/>
            <w:tcMar>
              <w:top w:w="80" w:type="dxa"/>
              <w:start w:w="90" w:type="dxa"/>
              <w:bottom w:w="80" w:type="dxa"/>
              <w:end w:w="90" w:type="dxa"/>
            </w:tcMar>
            <w:vAlign w:val="top"/>
          </w:tcPr>
          <w:p>
            <w:pPr>
              <w:spacing w:after="0"/>
            </w:pPr>
            <w:r>
              <w:rPr>
                <w:sz w:val="18"/>
              </w:rPr>
              <w:t>Can aggregate demand and serve smaller farmers, but governance and utilization vary. Free machinery is not a guarantee of adequate annual use.</w:t>
            </w:r>
          </w:p>
        </w:tc>
      </w:tr>
      <w:tr>
        <w:tc>
          <w:tcPr>
            <w:tcW w:type="dxa" w:w="2592"/>
            <w:shd w:fill="F8FAFC"/>
            <w:tcMar>
              <w:top w:w="80" w:type="dxa"/>
              <w:start w:w="90" w:type="dxa"/>
              <w:bottom w:w="80" w:type="dxa"/>
              <w:end w:w="90" w:type="dxa"/>
            </w:tcMar>
            <w:vAlign w:val="top"/>
          </w:tcPr>
          <w:p>
            <w:pPr>
              <w:spacing w:after="0"/>
            </w:pPr>
            <w:r>
              <w:rPr>
                <w:sz w:val="18"/>
              </w:rPr>
              <w:t>Large farmer youth enterprise</w:t>
            </w:r>
          </w:p>
        </w:tc>
        <w:tc>
          <w:tcPr>
            <w:tcW w:type="dxa" w:w="6912"/>
            <w:shd w:fill="F8FAFC"/>
            <w:tcMar>
              <w:top w:w="80" w:type="dxa"/>
              <w:start w:w="90" w:type="dxa"/>
              <w:bottom w:w="80" w:type="dxa"/>
              <w:end w:w="90" w:type="dxa"/>
            </w:tcMar>
            <w:vAlign w:val="top"/>
          </w:tcPr>
          <w:p>
            <w:pPr>
              <w:spacing w:after="0"/>
            </w:pPr>
            <w:r>
              <w:rPr>
                <w:sz w:val="18"/>
              </w:rPr>
              <w:t>Some larger farmers have reportedly created service businesses for sons, offering a potential youth-employment and succession pathway.</w:t>
            </w:r>
          </w:p>
        </w:tc>
      </w:tr>
    </w:tbl>
    <w:p>
      <w:pPr>
        <w:spacing w:after="0"/>
      </w:pPr>
    </w:p>
    <w:p>
      <w:pPr>
        <w:pStyle w:val="Heading2"/>
      </w:pPr>
      <w:r>
        <w:t>Core business-model tension</w:t>
      </w:r>
    </w:p>
    <w:p>
      <w:r>
        <w:t>A conventional tillage provider may earn from three or four field operations plus planting, while direct seeding may reduce this to one pass. For farmers, this is a strong value proposition because it saves money and time. For providers, it may reduce the number of billable operations. The no-till business must therefore generate equal or better annual profit through higher area covered, better routing, lower operating costs, additional services, advisory, input application, maintenance, carbon-related payments or other bundled revenue streams.</w:t>
      </w:r>
    </w:p>
    <w:p>
      <w:pPr>
        <w:pStyle w:val="Heading2"/>
      </w:pPr>
      <w:r>
        <w:t>Machinery evidence and service gaps</w:t>
      </w:r>
    </w:p>
    <w:p>
      <w:pPr>
        <w:pStyle w:val="ListBullet"/>
        <w:spacing w:after="56"/>
      </w:pPr>
      <w:r>
        <w:t>No systematic farmer feedback dataset was presented on machine reliability, quality, ease of use and after-sales experience.</w:t>
      </w:r>
    </w:p>
    <w:p>
      <w:pPr>
        <w:pStyle w:val="ListBullet"/>
        <w:spacing w:after="56"/>
      </w:pPr>
      <w:r>
        <w:t>The local machine has improved over time, but a single model may not fit all soils, residue levels and agroecologies.</w:t>
      </w:r>
    </w:p>
    <w:p>
      <w:pPr>
        <w:pStyle w:val="ListBullet"/>
        <w:spacing w:after="56"/>
      </w:pPr>
      <w:r>
        <w:t>Repair technicians and spare parts were said to exist, but coverage, speed, cost and user satisfaction were not documented.</w:t>
      </w:r>
    </w:p>
    <w:p>
      <w:pPr>
        <w:pStyle w:val="ListBullet"/>
        <w:spacing w:after="56"/>
      </w:pPr>
      <w:r>
        <w:t>Some farmers reportedly adapt conventional seeders for direct seeding where no-till machines are unavailable; the scale and agronomic quality of this practice are unknown.</w:t>
      </w:r>
    </w:p>
    <w:p>
      <w:pPr>
        <w:pStyle w:val="ListBullet"/>
        <w:spacing w:after="56"/>
      </w:pPr>
      <w:r>
        <w:t>Service-provider performance likely varies widely. The team has an opportunity to study why some providers achieve high utilization and profitability while others underperform.</w:t>
      </w:r>
    </w:p>
    <w:p>
      <w:pPr>
        <w:pStyle w:val="Heading1"/>
      </w:pPr>
      <w:r>
        <w:t>8. National seed-system pathway</w:t>
      </w:r>
    </w:p>
    <w:p>
      <w:r>
        <w:t>The seed discussion revealed a more difficult and politically complex scaling pathway than machinery. The government wants more nationally developed resilient varieties, farmers reportedly prefer locally adapted varieties when they can access them, and ICARDA-INRA have strong breeding evidence. However, the current system often rewards the easier importation and distribution of older European varieties.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8"/>
            <w:tcMar>
              <w:top w:w="80" w:type="dxa"/>
              <w:start w:w="90" w:type="dxa"/>
              <w:bottom w:w="80" w:type="dxa"/>
              <w:end w:w="90" w:type="dxa"/>
            </w:tcMar>
            <w:vAlign w:val="center"/>
          </w:tcPr>
          <w:p>
            <w:pPr>
              <w:jc w:val="left"/>
            </w:pPr>
            <w:r>
              <w:rPr>
                <w:b/>
                <w:color w:val="FFFFFF"/>
                <w:sz w:val="17"/>
              </w:rPr>
              <w:t>Issue</w:t>
            </w:r>
          </w:p>
        </w:tc>
        <w:tc>
          <w:tcPr>
            <w:tcW w:type="dxa" w:w="7056"/>
            <w:shd w:fill="1F4E78"/>
            <w:tcMar>
              <w:top w:w="80" w:type="dxa"/>
              <w:start w:w="90" w:type="dxa"/>
              <w:bottom w:w="80" w:type="dxa"/>
              <w:end w:w="90" w:type="dxa"/>
            </w:tcMar>
            <w:vAlign w:val="center"/>
          </w:tcPr>
          <w:p>
            <w:pPr>
              <w:jc w:val="left"/>
            </w:pPr>
            <w:r>
              <w:rPr>
                <w:b/>
                <w:color w:val="FFFFFF"/>
                <w:sz w:val="17"/>
              </w:rPr>
              <w:t>Discussion</w:t>
            </w:r>
          </w:p>
        </w:tc>
      </w:tr>
      <w:tr>
        <w:tc>
          <w:tcPr>
            <w:tcW w:type="dxa" w:w="2448"/>
            <w:tcMar>
              <w:top w:w="80" w:type="dxa"/>
              <w:start w:w="90" w:type="dxa"/>
              <w:bottom w:w="80" w:type="dxa"/>
              <w:end w:w="90" w:type="dxa"/>
            </w:tcMar>
            <w:vAlign w:val="top"/>
          </w:tcPr>
          <w:p>
            <w:pPr>
              <w:spacing w:after="0"/>
            </w:pPr>
            <w:r>
              <w:rPr>
                <w:sz w:val="17"/>
              </w:rPr>
              <w:t>Historical shift</w:t>
            </w:r>
          </w:p>
        </w:tc>
        <w:tc>
          <w:tcPr>
            <w:tcW w:type="dxa" w:w="7056"/>
            <w:tcMar>
              <w:top w:w="80" w:type="dxa"/>
              <w:start w:w="90" w:type="dxa"/>
              <w:bottom w:w="80" w:type="dxa"/>
              <w:end w:w="90" w:type="dxa"/>
            </w:tcMar>
            <w:vAlign w:val="top"/>
          </w:tcPr>
          <w:p>
            <w:pPr>
              <w:spacing w:after="0"/>
            </w:pPr>
            <w:r>
              <w:rPr>
                <w:sz w:val="17"/>
              </w:rPr>
              <w:t>ICARDA/CIMMYT-derived varieties released through INRA were said to represent about 80 percent of the market decades ago, but their share has fallen to below 10 percent.</w:t>
            </w:r>
          </w:p>
        </w:tc>
      </w:tr>
      <w:tr>
        <w:tc>
          <w:tcPr>
            <w:tcW w:type="dxa" w:w="2448"/>
            <w:shd w:fill="F8FAFC"/>
            <w:tcMar>
              <w:top w:w="80" w:type="dxa"/>
              <w:start w:w="90" w:type="dxa"/>
              <w:bottom w:w="80" w:type="dxa"/>
              <w:end w:w="90" w:type="dxa"/>
            </w:tcMar>
            <w:vAlign w:val="top"/>
          </w:tcPr>
          <w:p>
            <w:pPr>
              <w:spacing w:after="0"/>
            </w:pPr>
            <w:r>
              <w:rPr>
                <w:sz w:val="17"/>
              </w:rPr>
              <w:t>National target</w:t>
            </w:r>
          </w:p>
        </w:tc>
        <w:tc>
          <w:tcPr>
            <w:tcW w:type="dxa" w:w="7056"/>
            <w:shd w:fill="F8FAFC"/>
            <w:tcMar>
              <w:top w:w="80" w:type="dxa"/>
              <w:start w:w="90" w:type="dxa"/>
              <w:bottom w:w="80" w:type="dxa"/>
              <w:end w:w="90" w:type="dxa"/>
            </w:tcMar>
            <w:vAlign w:val="top"/>
          </w:tcPr>
          <w:p>
            <w:pPr>
              <w:spacing w:after="0"/>
            </w:pPr>
            <w:r>
              <w:rPr>
                <w:sz w:val="17"/>
              </w:rPr>
              <w:t>The ministry aims to increase the share of nationally produced/developed varieties to about 50 percent by 2030.</w:t>
            </w:r>
          </w:p>
        </w:tc>
      </w:tr>
      <w:tr>
        <w:tc>
          <w:tcPr>
            <w:tcW w:type="dxa" w:w="2448"/>
            <w:tcMar>
              <w:top w:w="80" w:type="dxa"/>
              <w:start w:w="90" w:type="dxa"/>
              <w:bottom w:w="80" w:type="dxa"/>
              <w:end w:w="90" w:type="dxa"/>
            </w:tcMar>
            <w:vAlign w:val="top"/>
          </w:tcPr>
          <w:p>
            <w:pPr>
              <w:spacing w:after="0"/>
            </w:pPr>
            <w:r>
              <w:rPr>
                <w:sz w:val="17"/>
              </w:rPr>
              <w:t>Sonacos role</w:t>
            </w:r>
          </w:p>
        </w:tc>
        <w:tc>
          <w:tcPr>
            <w:tcW w:type="dxa" w:w="7056"/>
            <w:tcMar>
              <w:top w:w="80" w:type="dxa"/>
              <w:start w:w="90" w:type="dxa"/>
              <w:bottom w:w="80" w:type="dxa"/>
              <w:end w:w="90" w:type="dxa"/>
            </w:tcMar>
            <w:vAlign w:val="top"/>
          </w:tcPr>
          <w:p>
            <w:pPr>
              <w:spacing w:after="0"/>
            </w:pPr>
            <w:r>
              <w:rPr>
                <w:sz w:val="17"/>
              </w:rPr>
              <w:t>Sonacos was described as a public-private entity with a dominant or monopolistic role in multiplication, distribution and marketing of certified seed.</w:t>
            </w:r>
          </w:p>
        </w:tc>
      </w:tr>
      <w:tr>
        <w:tc>
          <w:tcPr>
            <w:tcW w:type="dxa" w:w="2448"/>
            <w:shd w:fill="F8FAFC"/>
            <w:tcMar>
              <w:top w:w="80" w:type="dxa"/>
              <w:start w:w="90" w:type="dxa"/>
              <w:bottom w:w="80" w:type="dxa"/>
              <w:end w:w="90" w:type="dxa"/>
            </w:tcMar>
            <w:vAlign w:val="top"/>
          </w:tcPr>
          <w:p>
            <w:pPr>
              <w:spacing w:after="0"/>
            </w:pPr>
            <w:r>
              <w:rPr>
                <w:sz w:val="17"/>
              </w:rPr>
              <w:t>Supply-driven market</w:t>
            </w:r>
          </w:p>
        </w:tc>
        <w:tc>
          <w:tcPr>
            <w:tcW w:type="dxa" w:w="7056"/>
            <w:shd w:fill="F8FAFC"/>
            <w:tcMar>
              <w:top w:w="80" w:type="dxa"/>
              <w:start w:w="90" w:type="dxa"/>
              <w:bottom w:w="80" w:type="dxa"/>
              <w:end w:w="90" w:type="dxa"/>
            </w:tcMar>
            <w:vAlign w:val="top"/>
          </w:tcPr>
          <w:p>
            <w:pPr>
              <w:spacing w:after="0"/>
            </w:pPr>
            <w:r>
              <w:rPr>
                <w:sz w:val="17"/>
              </w:rPr>
              <w:t>Farmers often buy whichever variety Sonacos has available rather than obtaining the variety they prefer. The system therefore responds more to supply convenience than farmer demand.</w:t>
            </w:r>
          </w:p>
        </w:tc>
      </w:tr>
      <w:tr>
        <w:tc>
          <w:tcPr>
            <w:tcW w:type="dxa" w:w="2448"/>
            <w:tcMar>
              <w:top w:w="80" w:type="dxa"/>
              <w:start w:w="90" w:type="dxa"/>
              <w:bottom w:w="80" w:type="dxa"/>
              <w:end w:w="90" w:type="dxa"/>
            </w:tcMar>
            <w:vAlign w:val="top"/>
          </w:tcPr>
          <w:p>
            <w:pPr>
              <w:spacing w:after="0"/>
            </w:pPr>
            <w:r>
              <w:rPr>
                <w:sz w:val="17"/>
              </w:rPr>
              <w:t>Import advantage</w:t>
            </w:r>
          </w:p>
        </w:tc>
        <w:tc>
          <w:tcPr>
            <w:tcW w:type="dxa" w:w="7056"/>
            <w:tcMar>
              <w:top w:w="80" w:type="dxa"/>
              <w:start w:w="90" w:type="dxa"/>
              <w:bottom w:w="80" w:type="dxa"/>
              <w:end w:w="90" w:type="dxa"/>
            </w:tcMar>
            <w:vAlign w:val="top"/>
          </w:tcPr>
          <w:p>
            <w:pPr>
              <w:spacing w:after="0"/>
            </w:pPr>
            <w:r>
              <w:rPr>
                <w:sz w:val="17"/>
              </w:rPr>
              <w:t>Older European varieties can be imported royalty-free and with limited local multiplication investment, making them easier and cheaper for Sonacos to supply.</w:t>
            </w:r>
          </w:p>
        </w:tc>
      </w:tr>
      <w:tr>
        <w:tc>
          <w:tcPr>
            <w:tcW w:type="dxa" w:w="2448"/>
            <w:shd w:fill="F8FAFC"/>
            <w:tcMar>
              <w:top w:w="80" w:type="dxa"/>
              <w:start w:w="90" w:type="dxa"/>
              <w:bottom w:w="80" w:type="dxa"/>
              <w:end w:w="90" w:type="dxa"/>
            </w:tcMar>
            <w:vAlign w:val="top"/>
          </w:tcPr>
          <w:p>
            <w:pPr>
              <w:spacing w:after="0"/>
            </w:pPr>
            <w:r>
              <w:rPr>
                <w:sz w:val="17"/>
              </w:rPr>
              <w:t>Domestic variety cost</w:t>
            </w:r>
          </w:p>
        </w:tc>
        <w:tc>
          <w:tcPr>
            <w:tcW w:type="dxa" w:w="7056"/>
            <w:shd w:fill="F8FAFC"/>
            <w:tcMar>
              <w:top w:w="80" w:type="dxa"/>
              <w:start w:w="90" w:type="dxa"/>
              <w:bottom w:w="80" w:type="dxa"/>
              <w:end w:w="90" w:type="dxa"/>
            </w:tcMar>
            <w:vAlign w:val="top"/>
          </w:tcPr>
          <w:p>
            <w:pPr>
              <w:spacing w:after="0"/>
            </w:pPr>
            <w:r>
              <w:rPr>
                <w:sz w:val="17"/>
              </w:rPr>
              <w:t>National varieties require investment in G0/G1 and later generations, multiplication, certification and royalty payments to INRA.</w:t>
            </w:r>
          </w:p>
        </w:tc>
      </w:tr>
      <w:tr>
        <w:tc>
          <w:tcPr>
            <w:tcW w:type="dxa" w:w="2448"/>
            <w:tcMar>
              <w:top w:w="80" w:type="dxa"/>
              <w:start w:w="90" w:type="dxa"/>
              <w:bottom w:w="80" w:type="dxa"/>
              <w:end w:w="90" w:type="dxa"/>
            </w:tcMar>
            <w:vAlign w:val="top"/>
          </w:tcPr>
          <w:p>
            <w:pPr>
              <w:spacing w:after="0"/>
            </w:pPr>
            <w:r>
              <w:rPr>
                <w:sz w:val="17"/>
              </w:rPr>
              <w:t>Drought risk</w:t>
            </w:r>
          </w:p>
        </w:tc>
        <w:tc>
          <w:tcPr>
            <w:tcW w:type="dxa" w:w="7056"/>
            <w:tcMar>
              <w:top w:w="80" w:type="dxa"/>
              <w:start w:w="90" w:type="dxa"/>
              <w:bottom w:w="80" w:type="dxa"/>
              <w:end w:w="90" w:type="dxa"/>
            </w:tcMar>
            <w:vAlign w:val="top"/>
          </w:tcPr>
          <w:p>
            <w:pPr>
              <w:spacing w:after="0"/>
            </w:pPr>
            <w:r>
              <w:rPr>
                <w:sz w:val="17"/>
              </w:rPr>
              <w:t>Morocco may be unable to produce adequate seed in severe drought years, making imports politically necessary to avoid shortages before planting.</w:t>
            </w:r>
          </w:p>
        </w:tc>
      </w:tr>
      <w:tr>
        <w:tc>
          <w:tcPr>
            <w:tcW w:type="dxa" w:w="2448"/>
            <w:shd w:fill="F8FAFC"/>
            <w:tcMar>
              <w:top w:w="80" w:type="dxa"/>
              <w:start w:w="90" w:type="dxa"/>
              <w:bottom w:w="80" w:type="dxa"/>
              <w:end w:w="90" w:type="dxa"/>
            </w:tcMar>
            <w:vAlign w:val="top"/>
          </w:tcPr>
          <w:p>
            <w:pPr>
              <w:spacing w:after="0"/>
            </w:pPr>
            <w:r>
              <w:rPr>
                <w:sz w:val="17"/>
              </w:rPr>
              <w:t>Contradictory subsidies</w:t>
            </w:r>
          </w:p>
        </w:tc>
        <w:tc>
          <w:tcPr>
            <w:tcW w:type="dxa" w:w="7056"/>
            <w:shd w:fill="F8FAFC"/>
            <w:tcMar>
              <w:top w:w="80" w:type="dxa"/>
              <w:start w:w="90" w:type="dxa"/>
              <w:bottom w:w="80" w:type="dxa"/>
              <w:end w:w="90" w:type="dxa"/>
            </w:tcMar>
            <w:vAlign w:val="top"/>
          </w:tcPr>
          <w:p>
            <w:pPr>
              <w:spacing w:after="0"/>
            </w:pPr>
            <w:r>
              <w:rPr>
                <w:sz w:val="17"/>
              </w:rPr>
              <w:t>The same ministry that wants national varieties also subsidizes imported certified seed to guarantee supply and affordability.</w:t>
            </w:r>
          </w:p>
        </w:tc>
      </w:tr>
      <w:tr>
        <w:tc>
          <w:tcPr>
            <w:tcW w:type="dxa" w:w="2448"/>
            <w:tcMar>
              <w:top w:w="80" w:type="dxa"/>
              <w:start w:w="90" w:type="dxa"/>
              <w:bottom w:w="80" w:type="dxa"/>
              <w:end w:w="90" w:type="dxa"/>
            </w:tcMar>
            <w:vAlign w:val="top"/>
          </w:tcPr>
          <w:p>
            <w:pPr>
              <w:spacing w:after="0"/>
            </w:pPr>
            <w:r>
              <w:rPr>
                <w:sz w:val="17"/>
              </w:rPr>
              <w:t>Farmer affordability</w:t>
            </w:r>
          </w:p>
        </w:tc>
        <w:tc>
          <w:tcPr>
            <w:tcW w:type="dxa" w:w="7056"/>
            <w:tcMar>
              <w:top w:w="80" w:type="dxa"/>
              <w:start w:w="90" w:type="dxa"/>
              <w:bottom w:w="80" w:type="dxa"/>
              <w:end w:w="90" w:type="dxa"/>
            </w:tcMar>
            <w:vAlign w:val="top"/>
          </w:tcPr>
          <w:p>
            <w:pPr>
              <w:spacing w:after="0"/>
            </w:pPr>
            <w:r>
              <w:rPr>
                <w:sz w:val="17"/>
              </w:rPr>
              <w:t>Removing all seed subsidies would likely reduce certified-seed use, especially among smallholders facing high production and drought risk.</w:t>
            </w:r>
          </w:p>
        </w:tc>
      </w:tr>
      <w:tr>
        <w:tc>
          <w:tcPr>
            <w:tcW w:type="dxa" w:w="2448"/>
            <w:shd w:fill="F8FAFC"/>
            <w:tcMar>
              <w:top w:w="80" w:type="dxa"/>
              <w:start w:w="90" w:type="dxa"/>
              <w:bottom w:w="80" w:type="dxa"/>
              <w:end w:w="90" w:type="dxa"/>
            </w:tcMar>
            <w:vAlign w:val="top"/>
          </w:tcPr>
          <w:p>
            <w:pPr>
              <w:spacing w:after="0"/>
            </w:pPr>
            <w:r>
              <w:rPr>
                <w:sz w:val="17"/>
              </w:rPr>
              <w:t>Policy direction</w:t>
            </w:r>
          </w:p>
        </w:tc>
        <w:tc>
          <w:tcPr>
            <w:tcW w:type="dxa" w:w="7056"/>
            <w:shd w:fill="F8FAFC"/>
            <w:tcMar>
              <w:top w:w="80" w:type="dxa"/>
              <w:start w:w="90" w:type="dxa"/>
              <w:bottom w:w="80" w:type="dxa"/>
              <w:end w:w="90" w:type="dxa"/>
            </w:tcMar>
            <w:vAlign w:val="top"/>
          </w:tcPr>
          <w:p>
            <w:pPr>
              <w:spacing w:after="0"/>
            </w:pPr>
            <w:r>
              <w:rPr>
                <w:sz w:val="17"/>
              </w:rPr>
              <w:t>The emerging proposal is to reduce support for imported varieties while maintaining or strengthening support for nationally developed varieties, rather than removing all subsidies.</w:t>
            </w:r>
          </w:p>
        </w:tc>
      </w:tr>
    </w:tbl>
    <w:p>
      <w:pPr>
        <w:spacing w:after="0"/>
      </w:pPr>
    </w:p>
    <w:p>
      <w:pPr>
        <w:pStyle w:val="Heading2"/>
      </w:pPr>
      <w:r>
        <w:t>Current seed-system interventions</w:t>
      </w:r>
    </w:p>
    <w:p>
      <w:pPr>
        <w:pStyle w:val="ListBullet"/>
        <w:spacing w:after="56"/>
      </w:pPr>
      <w:r>
        <w:t>ICARDA and INRA are producing G0 and G1 seed, including at the Merchouch station, and transferring material into the national multiplication system.</w:t>
      </w:r>
    </w:p>
    <w:p>
      <w:pPr>
        <w:pStyle w:val="ListBullet"/>
        <w:spacing w:after="56"/>
      </w:pPr>
      <w:r>
        <w:t>Supplementary irrigation is being used or planned to protect early-generation seed production during drought.</w:t>
      </w:r>
    </w:p>
    <w:p>
      <w:pPr>
        <w:pStyle w:val="ListBullet"/>
        <w:spacing w:after="56"/>
      </w:pPr>
      <w:r>
        <w:t>An optical seed cleaner was provided to help recover seed that might otherwise be rejected.</w:t>
      </w:r>
    </w:p>
    <w:p>
      <w:pPr>
        <w:pStyle w:val="ListBullet"/>
        <w:spacing w:after="56"/>
      </w:pPr>
      <w:r>
        <w:t>A Seed Alliance has been established under an IDRC-supported process, bringing together Sonacos, smaller seed companies, seed growers, ONSSA, farmers, INRA, ICARDA and other actors.</w:t>
      </w:r>
    </w:p>
    <w:p>
      <w:pPr>
        <w:pStyle w:val="ListBullet"/>
        <w:spacing w:after="56"/>
      </w:pPr>
      <w:r>
        <w:t>The team is lobbying for policy and regulatory reform so that national varieties become more competitive and the system becomes more demand-responsive.</w:t>
      </w:r>
    </w:p>
    <w:p>
      <w:pPr>
        <w:pStyle w:val="ListBullet"/>
        <w:spacing w:after="56"/>
      </w:pPr>
      <w:r>
        <w:t>A wider national program for supplementary irrigation was discussed; applying small amounts of water, approximately 20-40 millimeters at critical times, may stabilize seed yields in drought-prone zones.</w:t>
      </w:r>
    </w:p>
    <w:p>
      <w:pPr>
        <w:pStyle w:val="Heading2"/>
      </w:pPr>
      <w:r>
        <w:t>Political-economy interpretation</w:t>
      </w:r>
    </w:p>
    <w:p>
      <w:r>
        <w:t>The present arrangement is not simply a technical failure. The Ministry of Agriculture faces political pressure to ensure certified seed is available every September and October, even after drought. Sonacos has an incentive to meet supply obligations through imports that are easier and less risky. INRA has legitimate interests in royalties and national breeding capacity. Farmers need affordable seed. Reform therefore requires a transition plan that protects supply security while rebuilding domestic early-generation seed, multiplication, certification and demand-responsive marketing.</w:t>
      </w:r>
    </w:p>
    <w:p>
      <w:pPr>
        <w:pStyle w:val="Heading1"/>
      </w:pPr>
      <w:r>
        <w:t>9. Rotation, residue retention and crop-livestock integration</w:t>
      </w:r>
    </w:p>
    <w:p>
      <w:r>
        <w:t>The broader package is considerably more difficult to scale than direct seeding. Approximately 80 percent of Morocco's cereal-based systems were described as monocropping. Rotation and residue retention require changes in markets, machinery, risk management and livestock systems, not only agronomic recommendations.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F4E78"/>
            <w:tcMar>
              <w:top w:w="80" w:type="dxa"/>
              <w:start w:w="90" w:type="dxa"/>
              <w:bottom w:w="80" w:type="dxa"/>
              <w:end w:w="90" w:type="dxa"/>
            </w:tcMar>
            <w:vAlign w:val="center"/>
          </w:tcPr>
          <w:p>
            <w:pPr>
              <w:jc w:val="left"/>
            </w:pPr>
            <w:r>
              <w:rPr>
                <w:b/>
                <w:color w:val="FFFFFF"/>
                <w:sz w:val="18"/>
              </w:rPr>
              <w:t>Constraint</w:t>
            </w:r>
          </w:p>
        </w:tc>
        <w:tc>
          <w:tcPr>
            <w:tcW w:type="dxa" w:w="6912"/>
            <w:shd w:fill="1F4E78"/>
            <w:tcMar>
              <w:top w:w="80" w:type="dxa"/>
              <w:start w:w="90" w:type="dxa"/>
              <w:bottom w:w="80" w:type="dxa"/>
              <w:end w:w="90" w:type="dxa"/>
            </w:tcMar>
            <w:vAlign w:val="center"/>
          </w:tcPr>
          <w:p>
            <w:pPr>
              <w:jc w:val="left"/>
            </w:pPr>
            <w:r>
              <w:rPr>
                <w:b/>
                <w:color w:val="FFFFFF"/>
                <w:sz w:val="18"/>
              </w:rPr>
              <w:t>Implication for scaling</w:t>
            </w:r>
          </w:p>
        </w:tc>
      </w:tr>
      <w:tr>
        <w:tc>
          <w:tcPr>
            <w:tcW w:type="dxa" w:w="2592"/>
            <w:tcMar>
              <w:top w:w="80" w:type="dxa"/>
              <w:start w:w="90" w:type="dxa"/>
              <w:bottom w:w="80" w:type="dxa"/>
              <w:end w:w="90" w:type="dxa"/>
            </w:tcMar>
            <w:vAlign w:val="top"/>
          </w:tcPr>
          <w:p>
            <w:pPr>
              <w:spacing w:after="0"/>
            </w:pPr>
            <w:r>
              <w:rPr>
                <w:sz w:val="18"/>
              </w:rPr>
              <w:t>Food-legume mechanization</w:t>
            </w:r>
          </w:p>
        </w:tc>
        <w:tc>
          <w:tcPr>
            <w:tcW w:type="dxa" w:w="6912"/>
            <w:tcMar>
              <w:top w:w="80" w:type="dxa"/>
              <w:start w:w="90" w:type="dxa"/>
              <w:bottom w:w="80" w:type="dxa"/>
              <w:end w:w="90" w:type="dxa"/>
            </w:tcMar>
            <w:vAlign w:val="top"/>
          </w:tcPr>
          <w:p>
            <w:pPr>
              <w:spacing w:after="0"/>
            </w:pPr>
            <w:r>
              <w:rPr>
                <w:sz w:val="18"/>
              </w:rPr>
              <w:t>Planting, harvesting and other operations may not be adequately mechanized, raising labor and timing costs.</w:t>
            </w:r>
          </w:p>
        </w:tc>
      </w:tr>
      <w:tr>
        <w:tc>
          <w:tcPr>
            <w:tcW w:type="dxa" w:w="2592"/>
            <w:shd w:fill="F8FAFC"/>
            <w:tcMar>
              <w:top w:w="80" w:type="dxa"/>
              <w:start w:w="90" w:type="dxa"/>
              <w:bottom w:w="80" w:type="dxa"/>
              <w:end w:w="90" w:type="dxa"/>
            </w:tcMar>
            <w:vAlign w:val="top"/>
          </w:tcPr>
          <w:p>
            <w:pPr>
              <w:spacing w:after="0"/>
            </w:pPr>
            <w:r>
              <w:rPr>
                <w:sz w:val="18"/>
              </w:rPr>
              <w:t>Weed control</w:t>
            </w:r>
          </w:p>
        </w:tc>
        <w:tc>
          <w:tcPr>
            <w:tcW w:type="dxa" w:w="6912"/>
            <w:shd w:fill="F8FAFC"/>
            <w:tcMar>
              <w:top w:w="80" w:type="dxa"/>
              <w:start w:w="90" w:type="dxa"/>
              <w:bottom w:w="80" w:type="dxa"/>
              <w:end w:w="90" w:type="dxa"/>
            </w:tcMar>
            <w:vAlign w:val="top"/>
          </w:tcPr>
          <w:p>
            <w:pPr>
              <w:spacing w:after="0"/>
            </w:pPr>
            <w:r>
              <w:rPr>
                <w:sz w:val="18"/>
              </w:rPr>
              <w:t>Food legumes can face difficult weed-management challenges, affecting yields and profitability.</w:t>
            </w:r>
          </w:p>
        </w:tc>
      </w:tr>
      <w:tr>
        <w:tc>
          <w:tcPr>
            <w:tcW w:type="dxa" w:w="2592"/>
            <w:tcMar>
              <w:top w:w="80" w:type="dxa"/>
              <w:start w:w="90" w:type="dxa"/>
              <w:bottom w:w="80" w:type="dxa"/>
              <w:end w:w="90" w:type="dxa"/>
            </w:tcMar>
            <w:vAlign w:val="top"/>
          </w:tcPr>
          <w:p>
            <w:pPr>
              <w:spacing w:after="0"/>
            </w:pPr>
            <w:r>
              <w:rPr>
                <w:sz w:val="18"/>
              </w:rPr>
              <w:t>Seed availability</w:t>
            </w:r>
          </w:p>
        </w:tc>
        <w:tc>
          <w:tcPr>
            <w:tcW w:type="dxa" w:w="6912"/>
            <w:tcMar>
              <w:top w:w="80" w:type="dxa"/>
              <w:start w:w="90" w:type="dxa"/>
              <w:bottom w:w="80" w:type="dxa"/>
              <w:end w:w="90" w:type="dxa"/>
            </w:tcMar>
            <w:vAlign w:val="top"/>
          </w:tcPr>
          <w:p>
            <w:pPr>
              <w:spacing w:after="0"/>
            </w:pPr>
            <w:r>
              <w:rPr>
                <w:sz w:val="18"/>
              </w:rPr>
              <w:t>Reliable, affordable legume seed is not always available.</w:t>
            </w:r>
          </w:p>
        </w:tc>
      </w:tr>
      <w:tr>
        <w:tc>
          <w:tcPr>
            <w:tcW w:type="dxa" w:w="2592"/>
            <w:shd w:fill="F8FAFC"/>
            <w:tcMar>
              <w:top w:w="80" w:type="dxa"/>
              <w:start w:w="90" w:type="dxa"/>
              <w:bottom w:w="80" w:type="dxa"/>
              <w:end w:w="90" w:type="dxa"/>
            </w:tcMar>
            <w:vAlign w:val="top"/>
          </w:tcPr>
          <w:p>
            <w:pPr>
              <w:spacing w:after="0"/>
            </w:pPr>
            <w:r>
              <w:rPr>
                <w:sz w:val="18"/>
              </w:rPr>
              <w:t>Price and market risk</w:t>
            </w:r>
          </w:p>
        </w:tc>
        <w:tc>
          <w:tcPr>
            <w:tcW w:type="dxa" w:w="6912"/>
            <w:shd w:fill="F8FAFC"/>
            <w:tcMar>
              <w:top w:w="80" w:type="dxa"/>
              <w:start w:w="90" w:type="dxa"/>
              <w:bottom w:w="80" w:type="dxa"/>
              <w:end w:w="90" w:type="dxa"/>
            </w:tcMar>
            <w:vAlign w:val="top"/>
          </w:tcPr>
          <w:p>
            <w:pPr>
              <w:spacing w:after="0"/>
            </w:pPr>
            <w:r>
              <w:rPr>
                <w:sz w:val="18"/>
              </w:rPr>
              <w:t>Legume prices and yields are more variable, while wheat receives stronger policy, procurement and market support.</w:t>
            </w:r>
          </w:p>
        </w:tc>
      </w:tr>
      <w:tr>
        <w:tc>
          <w:tcPr>
            <w:tcW w:type="dxa" w:w="2592"/>
            <w:tcMar>
              <w:top w:w="80" w:type="dxa"/>
              <w:start w:w="90" w:type="dxa"/>
              <w:bottom w:w="80" w:type="dxa"/>
              <w:end w:w="90" w:type="dxa"/>
            </w:tcMar>
            <w:vAlign w:val="top"/>
          </w:tcPr>
          <w:p>
            <w:pPr>
              <w:spacing w:after="0"/>
            </w:pPr>
            <w:r>
              <w:rPr>
                <w:sz w:val="18"/>
              </w:rPr>
              <w:t>Farmer risk preference</w:t>
            </w:r>
          </w:p>
        </w:tc>
        <w:tc>
          <w:tcPr>
            <w:tcW w:type="dxa" w:w="6912"/>
            <w:tcMar>
              <w:top w:w="80" w:type="dxa"/>
              <w:start w:w="90" w:type="dxa"/>
              <w:bottom w:w="80" w:type="dxa"/>
              <w:end w:w="90" w:type="dxa"/>
            </w:tcMar>
            <w:vAlign w:val="top"/>
          </w:tcPr>
          <w:p>
            <w:pPr>
              <w:spacing w:after="0"/>
            </w:pPr>
            <w:r>
              <w:rPr>
                <w:sz w:val="18"/>
              </w:rPr>
              <w:t>Wheat is perceived as safer because it can be consumed or fed to livestock even if prices are low.</w:t>
            </w:r>
          </w:p>
        </w:tc>
      </w:tr>
      <w:tr>
        <w:tc>
          <w:tcPr>
            <w:tcW w:type="dxa" w:w="2592"/>
            <w:shd w:fill="F8FAFC"/>
            <w:tcMar>
              <w:top w:w="80" w:type="dxa"/>
              <w:start w:w="90" w:type="dxa"/>
              <w:bottom w:w="80" w:type="dxa"/>
              <w:end w:w="90" w:type="dxa"/>
            </w:tcMar>
            <w:vAlign w:val="top"/>
          </w:tcPr>
          <w:p>
            <w:pPr>
              <w:spacing w:after="0"/>
            </w:pPr>
            <w:r>
              <w:rPr>
                <w:sz w:val="18"/>
              </w:rPr>
              <w:t>Residue-livestock competition</w:t>
            </w:r>
          </w:p>
        </w:tc>
        <w:tc>
          <w:tcPr>
            <w:tcW w:type="dxa" w:w="6912"/>
            <w:shd w:fill="F8FAFC"/>
            <w:tcMar>
              <w:top w:w="80" w:type="dxa"/>
              <w:start w:w="90" w:type="dxa"/>
              <w:bottom w:w="80" w:type="dxa"/>
              <w:end w:w="90" w:type="dxa"/>
            </w:tcMar>
            <w:vAlign w:val="top"/>
          </w:tcPr>
          <w:p>
            <w:pPr>
              <w:spacing w:after="0"/>
            </w:pPr>
            <w:r>
              <w:rPr>
                <w:sz w:val="18"/>
              </w:rPr>
              <w:t>Farmers depend on residues for feed. Retaining residues on soil therefore imposes an opportunity cost unless alternative feed or compensation exists.</w:t>
            </w:r>
          </w:p>
        </w:tc>
      </w:tr>
      <w:tr>
        <w:tc>
          <w:tcPr>
            <w:tcW w:type="dxa" w:w="2592"/>
            <w:tcMar>
              <w:top w:w="80" w:type="dxa"/>
              <w:start w:w="90" w:type="dxa"/>
              <w:bottom w:w="80" w:type="dxa"/>
              <w:end w:w="90" w:type="dxa"/>
            </w:tcMar>
            <w:vAlign w:val="top"/>
          </w:tcPr>
          <w:p>
            <w:pPr>
              <w:spacing w:after="0"/>
            </w:pPr>
            <w:r>
              <w:rPr>
                <w:sz w:val="18"/>
              </w:rPr>
              <w:t>Fencing and communal grazing</w:t>
            </w:r>
          </w:p>
        </w:tc>
        <w:tc>
          <w:tcPr>
            <w:tcW w:type="dxa" w:w="6912"/>
            <w:tcMar>
              <w:top w:w="80" w:type="dxa"/>
              <w:start w:w="90" w:type="dxa"/>
              <w:bottom w:w="80" w:type="dxa"/>
              <w:end w:w="90" w:type="dxa"/>
            </w:tcMar>
            <w:vAlign w:val="top"/>
          </w:tcPr>
          <w:p>
            <w:pPr>
              <w:spacing w:after="0"/>
            </w:pPr>
            <w:r>
              <w:rPr>
                <w:sz w:val="18"/>
              </w:rPr>
              <w:t>Larger farmers are more able to fence fields and retain residues; smaller farmers may not control grazing.</w:t>
            </w:r>
          </w:p>
        </w:tc>
      </w:tr>
      <w:tr>
        <w:tc>
          <w:tcPr>
            <w:tcW w:type="dxa" w:w="2592"/>
            <w:shd w:fill="F8FAFC"/>
            <w:tcMar>
              <w:top w:w="80" w:type="dxa"/>
              <w:start w:w="90" w:type="dxa"/>
              <w:bottom w:w="80" w:type="dxa"/>
              <w:end w:w="90" w:type="dxa"/>
            </w:tcMar>
            <w:vAlign w:val="top"/>
          </w:tcPr>
          <w:p>
            <w:pPr>
              <w:spacing w:after="0"/>
            </w:pPr>
            <w:r>
              <w:rPr>
                <w:sz w:val="18"/>
              </w:rPr>
              <w:t>Context diversity</w:t>
            </w:r>
          </w:p>
        </w:tc>
        <w:tc>
          <w:tcPr>
            <w:tcW w:type="dxa" w:w="6912"/>
            <w:shd w:fill="F8FAFC"/>
            <w:tcMar>
              <w:top w:w="80" w:type="dxa"/>
              <w:start w:w="90" w:type="dxa"/>
              <w:bottom w:w="80" w:type="dxa"/>
              <w:end w:w="90" w:type="dxa"/>
            </w:tcMar>
            <w:vAlign w:val="top"/>
          </w:tcPr>
          <w:p>
            <w:pPr>
              <w:spacing w:after="0"/>
            </w:pPr>
            <w:r>
              <w:rPr>
                <w:sz w:val="18"/>
              </w:rPr>
              <w:t>Rotation and residue strategies must differ by rainfall, livestock density, farm size, soil and market access.</w:t>
            </w:r>
          </w:p>
        </w:tc>
      </w:tr>
    </w:tbl>
    <w:p>
      <w:pPr>
        <w:spacing w:after="0"/>
      </w:pPr>
    </w:p>
    <w:p>
      <w:pPr>
        <w:pStyle w:val="Heading2"/>
      </w:pPr>
      <w:r>
        <w:t>Potential responses mentioned</w:t>
      </w:r>
    </w:p>
    <w:p>
      <w:pPr>
        <w:pStyle w:val="ListBullet"/>
        <w:spacing w:after="56"/>
      </w:pPr>
      <w:r>
        <w:t>Develop context-specific rotations rather than imposing one standard package.</w:t>
      </w:r>
    </w:p>
    <w:p>
      <w:pPr>
        <w:pStyle w:val="ListBullet"/>
        <w:spacing w:after="56"/>
      </w:pPr>
      <w:r>
        <w:t>Strengthen legume seed, mechanization, harvesting and weed-management solutions.</w:t>
      </w:r>
    </w:p>
    <w:p>
      <w:pPr>
        <w:pStyle w:val="ListBullet"/>
        <w:spacing w:after="56"/>
      </w:pPr>
      <w:r>
        <w:t>Use forage crops and intercropping to reduce pressure on cereal residues.</w:t>
      </w:r>
    </w:p>
    <w:p>
      <w:pPr>
        <w:pStyle w:val="ListBullet"/>
        <w:spacing w:after="56"/>
      </w:pPr>
      <w:r>
        <w:t>Explore carbon credits or payments for ecosystem services that compensate farmers for residue retention and soil-carbon benefits.</w:t>
      </w:r>
    </w:p>
    <w:p>
      <w:pPr>
        <w:pStyle w:val="ListBullet"/>
        <w:spacing w:after="56"/>
      </w:pPr>
      <w:r>
        <w:t>Treat the crop-livestock system as part of the innovation package and policy discussion.</w:t>
      </w:r>
    </w:p>
    <w:p>
      <w:pPr>
        <w:pStyle w:val="Heading1"/>
      </w:pPr>
      <w:r>
        <w:t>10. Partner ecosystem, governance and institutional roles</w:t>
      </w:r>
    </w:p>
    <w:p>
      <w:r>
        <w:t>The track benefits from a dense institutional ecosystem. The coaching discussion emphasized that formal committee structure matters less than practical authority, capability and accountability: who changes regulations, who trains providers, who manufactures and repairs machines, who produces seed, and who pays for scaling.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8"/>
            <w:tcMar>
              <w:top w:w="80" w:type="dxa"/>
              <w:start w:w="90" w:type="dxa"/>
              <w:bottom w:w="80" w:type="dxa"/>
              <w:end w:w="90" w:type="dxa"/>
            </w:tcMar>
            <w:vAlign w:val="center"/>
          </w:tcPr>
          <w:p>
            <w:pPr>
              <w:jc w:val="left"/>
            </w:pPr>
            <w:r>
              <w:rPr>
                <w:b/>
                <w:color w:val="FFFFFF"/>
                <w:sz w:val="17"/>
              </w:rPr>
              <w:t>Actor</w:t>
            </w:r>
          </w:p>
        </w:tc>
        <w:tc>
          <w:tcPr>
            <w:tcW w:type="dxa" w:w="7056"/>
            <w:shd w:fill="1F4E78"/>
            <w:tcMar>
              <w:top w:w="80" w:type="dxa"/>
              <w:start w:w="90" w:type="dxa"/>
              <w:bottom w:w="80" w:type="dxa"/>
              <w:end w:w="90" w:type="dxa"/>
            </w:tcMar>
            <w:vAlign w:val="center"/>
          </w:tcPr>
          <w:p>
            <w:pPr>
              <w:jc w:val="left"/>
            </w:pPr>
            <w:r>
              <w:rPr>
                <w:b/>
                <w:color w:val="FFFFFF"/>
                <w:sz w:val="17"/>
              </w:rPr>
              <w:t>Role discussed</w:t>
            </w:r>
          </w:p>
        </w:tc>
      </w:tr>
      <w:tr>
        <w:tc>
          <w:tcPr>
            <w:tcW w:type="dxa" w:w="2448"/>
            <w:tcMar>
              <w:top w:w="80" w:type="dxa"/>
              <w:start w:w="90" w:type="dxa"/>
              <w:bottom w:w="80" w:type="dxa"/>
              <w:end w:w="90" w:type="dxa"/>
            </w:tcMar>
            <w:vAlign w:val="top"/>
          </w:tcPr>
          <w:p>
            <w:pPr>
              <w:spacing w:after="0"/>
            </w:pPr>
            <w:r>
              <w:rPr>
                <w:sz w:val="17"/>
              </w:rPr>
              <w:t>Ministry of Agriculture</w:t>
            </w:r>
          </w:p>
        </w:tc>
        <w:tc>
          <w:tcPr>
            <w:tcW w:type="dxa" w:w="7056"/>
            <w:tcMar>
              <w:top w:w="80" w:type="dxa"/>
              <w:start w:w="90" w:type="dxa"/>
              <w:bottom w:w="80" w:type="dxa"/>
              <w:end w:w="90" w:type="dxa"/>
            </w:tcMar>
            <w:vAlign w:val="top"/>
          </w:tcPr>
          <w:p>
            <w:pPr>
              <w:spacing w:after="0"/>
            </w:pPr>
            <w:r>
              <w:rPr>
                <w:sz w:val="17"/>
              </w:rPr>
              <w:t>Owns the national ambition, finances subsidies, leads the national committee, sets policy and has final authority over major regulatory changes.</w:t>
            </w:r>
          </w:p>
        </w:tc>
      </w:tr>
      <w:tr>
        <w:tc>
          <w:tcPr>
            <w:tcW w:type="dxa" w:w="2448"/>
            <w:shd w:fill="F8FAFC"/>
            <w:tcMar>
              <w:top w:w="80" w:type="dxa"/>
              <w:start w:w="90" w:type="dxa"/>
              <w:bottom w:w="80" w:type="dxa"/>
              <w:end w:w="90" w:type="dxa"/>
            </w:tcMar>
            <w:vAlign w:val="top"/>
          </w:tcPr>
          <w:p>
            <w:pPr>
              <w:spacing w:after="0"/>
            </w:pPr>
            <w:r>
              <w:rPr>
                <w:sz w:val="17"/>
              </w:rPr>
              <w:t>INRA</w:t>
            </w:r>
          </w:p>
        </w:tc>
        <w:tc>
          <w:tcPr>
            <w:tcW w:type="dxa" w:w="7056"/>
            <w:shd w:fill="F8FAFC"/>
            <w:tcMar>
              <w:top w:w="80" w:type="dxa"/>
              <w:start w:w="90" w:type="dxa"/>
              <w:bottom w:w="80" w:type="dxa"/>
              <w:end w:w="90" w:type="dxa"/>
            </w:tcMar>
            <w:vAlign w:val="top"/>
          </w:tcPr>
          <w:p>
            <w:pPr>
              <w:spacing w:after="0"/>
            </w:pPr>
            <w:r>
              <w:rPr>
                <w:sz w:val="17"/>
              </w:rPr>
              <w:t>Provides national research leadership, serves as secretariat to the national committee, develops varieties and recommendations, supports machinery adaptation and advises the ministry.</w:t>
            </w:r>
          </w:p>
        </w:tc>
      </w:tr>
      <w:tr>
        <w:tc>
          <w:tcPr>
            <w:tcW w:type="dxa" w:w="2448"/>
            <w:tcMar>
              <w:top w:w="80" w:type="dxa"/>
              <w:start w:w="90" w:type="dxa"/>
              <w:bottom w:w="80" w:type="dxa"/>
              <w:end w:w="90" w:type="dxa"/>
            </w:tcMar>
            <w:vAlign w:val="top"/>
          </w:tcPr>
          <w:p>
            <w:pPr>
              <w:spacing w:after="0"/>
            </w:pPr>
            <w:r>
              <w:rPr>
                <w:sz w:val="17"/>
              </w:rPr>
              <w:t>ICARDA</w:t>
            </w:r>
          </w:p>
        </w:tc>
        <w:tc>
          <w:tcPr>
            <w:tcW w:type="dxa" w:w="7056"/>
            <w:tcMar>
              <w:top w:w="80" w:type="dxa"/>
              <w:start w:w="90" w:type="dxa"/>
              <w:bottom w:w="80" w:type="dxa"/>
              <w:end w:w="90" w:type="dxa"/>
            </w:tcMar>
            <w:vAlign w:val="top"/>
          </w:tcPr>
          <w:p>
            <w:pPr>
              <w:spacing w:after="0"/>
            </w:pPr>
            <w:r>
              <w:rPr>
                <w:sz w:val="17"/>
              </w:rPr>
              <w:t>Provides research, technical backstopping, international learning, early-generation seed support, digital tools, evidence, convening and capacity development.</w:t>
            </w:r>
          </w:p>
        </w:tc>
      </w:tr>
      <w:tr>
        <w:tc>
          <w:tcPr>
            <w:tcW w:type="dxa" w:w="2448"/>
            <w:shd w:fill="F8FAFC"/>
            <w:tcMar>
              <w:top w:w="80" w:type="dxa"/>
              <w:start w:w="90" w:type="dxa"/>
              <w:bottom w:w="80" w:type="dxa"/>
              <w:end w:w="90" w:type="dxa"/>
            </w:tcMar>
            <w:vAlign w:val="top"/>
          </w:tcPr>
          <w:p>
            <w:pPr>
              <w:spacing w:after="0"/>
            </w:pPr>
            <w:r>
              <w:rPr>
                <w:sz w:val="17"/>
              </w:rPr>
              <w:t>ONCA</w:t>
            </w:r>
          </w:p>
        </w:tc>
        <w:tc>
          <w:tcPr>
            <w:tcW w:type="dxa" w:w="7056"/>
            <w:shd w:fill="F8FAFC"/>
            <w:tcMar>
              <w:top w:w="80" w:type="dxa"/>
              <w:start w:w="90" w:type="dxa"/>
              <w:bottom w:w="80" w:type="dxa"/>
              <w:end w:w="90" w:type="dxa"/>
            </w:tcMar>
            <w:vAlign w:val="top"/>
          </w:tcPr>
          <w:p>
            <w:pPr>
              <w:spacing w:after="0"/>
            </w:pPr>
            <w:r>
              <w:rPr>
                <w:sz w:val="17"/>
              </w:rPr>
              <w:t>National agricultural advisory and extension body responsible for training and field dissemination. It has limited staffing and works with private advisors.</w:t>
            </w:r>
          </w:p>
        </w:tc>
      </w:tr>
      <w:tr>
        <w:tc>
          <w:tcPr>
            <w:tcW w:type="dxa" w:w="2448"/>
            <w:tcMar>
              <w:top w:w="80" w:type="dxa"/>
              <w:start w:w="90" w:type="dxa"/>
              <w:bottom w:w="80" w:type="dxa"/>
              <w:end w:w="90" w:type="dxa"/>
            </w:tcMar>
            <w:vAlign w:val="top"/>
          </w:tcPr>
          <w:p>
            <w:pPr>
              <w:spacing w:after="0"/>
            </w:pPr>
            <w:r>
              <w:rPr>
                <w:sz w:val="17"/>
              </w:rPr>
              <w:t>Regional directorates</w:t>
            </w:r>
          </w:p>
        </w:tc>
        <w:tc>
          <w:tcPr>
            <w:tcW w:type="dxa" w:w="7056"/>
            <w:tcMar>
              <w:top w:w="80" w:type="dxa"/>
              <w:start w:w="90" w:type="dxa"/>
              <w:bottom w:w="80" w:type="dxa"/>
              <w:end w:w="90" w:type="dxa"/>
            </w:tcMar>
            <w:vAlign w:val="top"/>
          </w:tcPr>
          <w:p>
            <w:pPr>
              <w:spacing w:after="0"/>
            </w:pPr>
            <w:r>
              <w:rPr>
                <w:sz w:val="17"/>
              </w:rPr>
              <w:t>Implement regional plans and collect field information in major cereal zones.</w:t>
            </w:r>
          </w:p>
        </w:tc>
      </w:tr>
      <w:tr>
        <w:tc>
          <w:tcPr>
            <w:tcW w:type="dxa" w:w="2448"/>
            <w:shd w:fill="F8FAFC"/>
            <w:tcMar>
              <w:top w:w="80" w:type="dxa"/>
              <w:start w:w="90" w:type="dxa"/>
              <w:bottom w:w="80" w:type="dxa"/>
              <w:end w:w="90" w:type="dxa"/>
            </w:tcMar>
            <w:vAlign w:val="top"/>
          </w:tcPr>
          <w:p>
            <w:pPr>
              <w:spacing w:after="0"/>
            </w:pPr>
            <w:r>
              <w:rPr>
                <w:sz w:val="17"/>
              </w:rPr>
              <w:t>AMAC and associations</w:t>
            </w:r>
          </w:p>
        </w:tc>
        <w:tc>
          <w:tcPr>
            <w:tcW w:type="dxa" w:w="7056"/>
            <w:shd w:fill="F8FAFC"/>
            <w:tcMar>
              <w:top w:w="80" w:type="dxa"/>
              <w:start w:w="90" w:type="dxa"/>
              <w:bottom w:w="80" w:type="dxa"/>
              <w:end w:w="90" w:type="dxa"/>
            </w:tcMar>
            <w:vAlign w:val="top"/>
          </w:tcPr>
          <w:p>
            <w:pPr>
              <w:spacing w:after="0"/>
            </w:pPr>
            <w:r>
              <w:rPr>
                <w:sz w:val="17"/>
              </w:rPr>
              <w:t>Organized farmer and conservation-agriculture networks that can disseminate knowledge, aggregate demand and support peer learning. AMAC was said to have about 1,200 members.</w:t>
            </w:r>
          </w:p>
        </w:tc>
      </w:tr>
      <w:tr>
        <w:tc>
          <w:tcPr>
            <w:tcW w:type="dxa" w:w="2448"/>
            <w:tcMar>
              <w:top w:w="80" w:type="dxa"/>
              <w:start w:w="90" w:type="dxa"/>
              <w:bottom w:w="80" w:type="dxa"/>
              <w:end w:w="90" w:type="dxa"/>
            </w:tcMar>
            <w:vAlign w:val="top"/>
          </w:tcPr>
          <w:p>
            <w:pPr>
              <w:spacing w:after="0"/>
            </w:pPr>
            <w:r>
              <w:rPr>
                <w:sz w:val="17"/>
              </w:rPr>
              <w:t>Cooperatives</w:t>
            </w:r>
          </w:p>
        </w:tc>
        <w:tc>
          <w:tcPr>
            <w:tcW w:type="dxa" w:w="7056"/>
            <w:tcMar>
              <w:top w:w="80" w:type="dxa"/>
              <w:start w:w="90" w:type="dxa"/>
              <w:bottom w:w="80" w:type="dxa"/>
              <w:end w:w="90" w:type="dxa"/>
            </w:tcMar>
            <w:vAlign w:val="top"/>
          </w:tcPr>
          <w:p>
            <w:pPr>
              <w:spacing w:after="0"/>
            </w:pPr>
            <w:r>
              <w:rPr>
                <w:sz w:val="17"/>
              </w:rPr>
              <w:t>Receive machines, aggregate smallholder demand and can provide services, but require adequate governance, management and utilization incentives.</w:t>
            </w:r>
          </w:p>
        </w:tc>
      </w:tr>
      <w:tr>
        <w:tc>
          <w:tcPr>
            <w:tcW w:type="dxa" w:w="2448"/>
            <w:shd w:fill="F8FAFC"/>
            <w:tcMar>
              <w:top w:w="80" w:type="dxa"/>
              <w:start w:w="90" w:type="dxa"/>
              <w:bottom w:w="80" w:type="dxa"/>
              <w:end w:w="90" w:type="dxa"/>
            </w:tcMar>
            <w:vAlign w:val="top"/>
          </w:tcPr>
          <w:p>
            <w:pPr>
              <w:spacing w:after="0"/>
            </w:pPr>
            <w:r>
              <w:rPr>
                <w:sz w:val="17"/>
              </w:rPr>
              <w:t>Atmar and machinery firms</w:t>
            </w:r>
          </w:p>
        </w:tc>
        <w:tc>
          <w:tcPr>
            <w:tcW w:type="dxa" w:w="7056"/>
            <w:shd w:fill="F8FAFC"/>
            <w:tcMar>
              <w:top w:w="80" w:type="dxa"/>
              <w:start w:w="90" w:type="dxa"/>
              <w:bottom w:w="80" w:type="dxa"/>
              <w:end w:w="90" w:type="dxa"/>
            </w:tcMar>
            <w:vAlign w:val="top"/>
          </w:tcPr>
          <w:p>
            <w:pPr>
              <w:spacing w:after="0"/>
            </w:pPr>
            <w:r>
              <w:rPr>
                <w:sz w:val="17"/>
              </w:rPr>
              <w:t>Manufacture, import, market, demonstrate and service equipment. Atmar is the principal local manufacturer mentioned.</w:t>
            </w:r>
          </w:p>
        </w:tc>
      </w:tr>
      <w:tr>
        <w:tc>
          <w:tcPr>
            <w:tcW w:type="dxa" w:w="2448"/>
            <w:tcMar>
              <w:top w:w="80" w:type="dxa"/>
              <w:start w:w="90" w:type="dxa"/>
              <w:bottom w:w="80" w:type="dxa"/>
              <w:end w:w="90" w:type="dxa"/>
            </w:tcMar>
            <w:vAlign w:val="top"/>
          </w:tcPr>
          <w:p>
            <w:pPr>
              <w:spacing w:after="0"/>
            </w:pPr>
            <w:r>
              <w:rPr>
                <w:sz w:val="17"/>
              </w:rPr>
              <w:t>Sonacos</w:t>
            </w:r>
          </w:p>
        </w:tc>
        <w:tc>
          <w:tcPr>
            <w:tcW w:type="dxa" w:w="7056"/>
            <w:tcMar>
              <w:top w:w="80" w:type="dxa"/>
              <w:start w:w="90" w:type="dxa"/>
              <w:bottom w:w="80" w:type="dxa"/>
              <w:end w:w="90" w:type="dxa"/>
            </w:tcMar>
            <w:vAlign w:val="top"/>
          </w:tcPr>
          <w:p>
            <w:pPr>
              <w:spacing w:after="0"/>
            </w:pPr>
            <w:r>
              <w:rPr>
                <w:sz w:val="17"/>
              </w:rPr>
              <w:t>Dominant public-private seed multiplier and distributor; central to both the current bottleneck and any seed-system solution.</w:t>
            </w:r>
          </w:p>
        </w:tc>
      </w:tr>
      <w:tr>
        <w:tc>
          <w:tcPr>
            <w:tcW w:type="dxa" w:w="2448"/>
            <w:shd w:fill="F8FAFC"/>
            <w:tcMar>
              <w:top w:w="80" w:type="dxa"/>
              <w:start w:w="90" w:type="dxa"/>
              <w:bottom w:w="80" w:type="dxa"/>
              <w:end w:w="90" w:type="dxa"/>
            </w:tcMar>
            <w:vAlign w:val="top"/>
          </w:tcPr>
          <w:p>
            <w:pPr>
              <w:spacing w:after="0"/>
            </w:pPr>
            <w:r>
              <w:rPr>
                <w:sz w:val="17"/>
              </w:rPr>
              <w:t>ONSSA</w:t>
            </w:r>
          </w:p>
        </w:tc>
        <w:tc>
          <w:tcPr>
            <w:tcW w:type="dxa" w:w="7056"/>
            <w:shd w:fill="F8FAFC"/>
            <w:tcMar>
              <w:top w:w="80" w:type="dxa"/>
              <w:start w:w="90" w:type="dxa"/>
              <w:bottom w:w="80" w:type="dxa"/>
              <w:end w:w="90" w:type="dxa"/>
            </w:tcMar>
            <w:vAlign w:val="top"/>
          </w:tcPr>
          <w:p>
            <w:pPr>
              <w:spacing w:after="0"/>
            </w:pPr>
            <w:r>
              <w:rPr>
                <w:sz w:val="17"/>
              </w:rPr>
              <w:t>Seed safety, registration, quality control and related regulatory functions.</w:t>
            </w:r>
          </w:p>
        </w:tc>
      </w:tr>
      <w:tr>
        <w:tc>
          <w:tcPr>
            <w:tcW w:type="dxa" w:w="2448"/>
            <w:tcMar>
              <w:top w:w="80" w:type="dxa"/>
              <w:start w:w="90" w:type="dxa"/>
              <w:bottom w:w="80" w:type="dxa"/>
              <w:end w:w="90" w:type="dxa"/>
            </w:tcMar>
            <w:vAlign w:val="top"/>
          </w:tcPr>
          <w:p>
            <w:pPr>
              <w:spacing w:after="0"/>
            </w:pPr>
            <w:r>
              <w:rPr>
                <w:sz w:val="17"/>
              </w:rPr>
              <w:t>UM6P/OCP initiatives and Mucemi</w:t>
            </w:r>
          </w:p>
        </w:tc>
        <w:tc>
          <w:tcPr>
            <w:tcW w:type="dxa" w:w="7056"/>
            <w:tcMar>
              <w:top w:w="80" w:type="dxa"/>
              <w:start w:w="90" w:type="dxa"/>
              <w:bottom w:w="80" w:type="dxa"/>
              <w:end w:w="90" w:type="dxa"/>
            </w:tcMar>
            <w:vAlign w:val="top"/>
          </w:tcPr>
          <w:p>
            <w:pPr>
              <w:spacing w:after="0"/>
            </w:pPr>
            <w:r>
              <w:rPr>
                <w:sz w:val="17"/>
              </w:rPr>
              <w:t>Support dissemination, innovation and partner engagement.</w:t>
            </w:r>
          </w:p>
        </w:tc>
      </w:tr>
      <w:tr>
        <w:tc>
          <w:tcPr>
            <w:tcW w:type="dxa" w:w="2448"/>
            <w:shd w:fill="F8FAFC"/>
            <w:tcMar>
              <w:top w:w="80" w:type="dxa"/>
              <w:start w:w="90" w:type="dxa"/>
              <w:bottom w:w="80" w:type="dxa"/>
              <w:end w:w="90" w:type="dxa"/>
            </w:tcMar>
            <w:vAlign w:val="top"/>
          </w:tcPr>
          <w:p>
            <w:pPr>
              <w:spacing w:after="0"/>
            </w:pPr>
            <w:r>
              <w:rPr>
                <w:sz w:val="17"/>
              </w:rPr>
              <w:t>Torba and carbon initiatives</w:t>
            </w:r>
          </w:p>
        </w:tc>
        <w:tc>
          <w:tcPr>
            <w:tcW w:type="dxa" w:w="7056"/>
            <w:shd w:fill="F8FAFC"/>
            <w:tcMar>
              <w:top w:w="80" w:type="dxa"/>
              <w:start w:w="90" w:type="dxa"/>
              <w:bottom w:w="80" w:type="dxa"/>
              <w:end w:w="90" w:type="dxa"/>
            </w:tcMar>
            <w:vAlign w:val="top"/>
          </w:tcPr>
          <w:p>
            <w:pPr>
              <w:spacing w:after="0"/>
            </w:pPr>
            <w:r>
              <w:rPr>
                <w:sz w:val="17"/>
              </w:rPr>
              <w:t>Explore carbon-farming incentives and alternative financing.</w:t>
            </w:r>
          </w:p>
        </w:tc>
      </w:tr>
      <w:tr>
        <w:tc>
          <w:tcPr>
            <w:tcW w:type="dxa" w:w="2448"/>
            <w:tcMar>
              <w:top w:w="80" w:type="dxa"/>
              <w:start w:w="90" w:type="dxa"/>
              <w:bottom w:w="80" w:type="dxa"/>
              <w:end w:w="90" w:type="dxa"/>
            </w:tcMar>
            <w:vAlign w:val="top"/>
          </w:tcPr>
          <w:p>
            <w:pPr>
              <w:spacing w:after="0"/>
            </w:pPr>
            <w:r>
              <w:rPr>
                <w:sz w:val="17"/>
              </w:rPr>
              <w:t>Universities and science programs</w:t>
            </w:r>
          </w:p>
        </w:tc>
        <w:tc>
          <w:tcPr>
            <w:tcW w:type="dxa" w:w="7056"/>
            <w:tcMar>
              <w:top w:w="80" w:type="dxa"/>
              <w:start w:w="90" w:type="dxa"/>
              <w:bottom w:w="80" w:type="dxa"/>
              <w:end w:w="90" w:type="dxa"/>
            </w:tcMar>
            <w:vAlign w:val="top"/>
          </w:tcPr>
          <w:p>
            <w:pPr>
              <w:spacing w:after="0"/>
            </w:pPr>
            <w:r>
              <w:rPr>
                <w:sz w:val="17"/>
              </w:rPr>
              <w:t>Support research, training, validation and integration with Sustainable Farming and Breeding for Tomorrow.</w:t>
            </w:r>
          </w:p>
        </w:tc>
      </w:tr>
      <w:tr>
        <w:tc>
          <w:tcPr>
            <w:tcW w:type="dxa" w:w="2448"/>
            <w:shd w:fill="F8FAFC"/>
            <w:tcMar>
              <w:top w:w="80" w:type="dxa"/>
              <w:start w:w="90" w:type="dxa"/>
              <w:bottom w:w="80" w:type="dxa"/>
              <w:end w:w="90" w:type="dxa"/>
            </w:tcMar>
            <w:vAlign w:val="top"/>
          </w:tcPr>
          <w:p>
            <w:pPr>
              <w:spacing w:after="0"/>
            </w:pPr>
            <w:r>
              <w:rPr>
                <w:sz w:val="17"/>
              </w:rPr>
              <w:t>S4I</w:t>
            </w:r>
          </w:p>
        </w:tc>
        <w:tc>
          <w:tcPr>
            <w:tcW w:type="dxa" w:w="7056"/>
            <w:shd w:fill="F8FAFC"/>
            <w:tcMar>
              <w:top w:w="80" w:type="dxa"/>
              <w:start w:w="90" w:type="dxa"/>
              <w:bottom w:w="80" w:type="dxa"/>
              <w:end w:w="90" w:type="dxa"/>
            </w:tcMar>
            <w:vAlign w:val="top"/>
          </w:tcPr>
          <w:p>
            <w:pPr>
              <w:spacing w:after="0"/>
            </w:pPr>
            <w:r>
              <w:rPr>
                <w:sz w:val="17"/>
              </w:rPr>
              <w:t>Catalytic support to strengthen pathways, learning, business models, partner coordination and future investment rather than direct implementation of the national program.</w:t>
            </w:r>
          </w:p>
        </w:tc>
      </w:tr>
    </w:tbl>
    <w:p>
      <w:pPr>
        <w:spacing w:after="0"/>
      </w:pPr>
    </w:p>
    <w:p>
      <w:pPr>
        <w:pStyle w:val="Heading1"/>
      </w:pPr>
      <w:r>
        <w:t>11. Current activities and implementation progress</w:t>
      </w:r>
    </w:p>
    <w:p>
      <w:r>
        <w:t>The team described a substantial set of 2026 activities that combine technical development, convening, training, policy engagement and evidence generation.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F4E78"/>
            <w:tcMar>
              <w:top w:w="80" w:type="dxa"/>
              <w:start w:w="90" w:type="dxa"/>
              <w:bottom w:w="80" w:type="dxa"/>
              <w:end w:w="90" w:type="dxa"/>
            </w:tcMar>
            <w:vAlign w:val="center"/>
          </w:tcPr>
          <w:p>
            <w:pPr>
              <w:jc w:val="left"/>
            </w:pPr>
            <w:r>
              <w:rPr>
                <w:b/>
                <w:color w:val="FFFFFF"/>
                <w:sz w:val="17"/>
              </w:rPr>
              <w:t>Activity</w:t>
            </w:r>
          </w:p>
        </w:tc>
        <w:tc>
          <w:tcPr>
            <w:tcW w:type="dxa" w:w="6624"/>
            <w:shd w:fill="1F4E78"/>
            <w:tcMar>
              <w:top w:w="80" w:type="dxa"/>
              <w:start w:w="90" w:type="dxa"/>
              <w:bottom w:w="80" w:type="dxa"/>
              <w:end w:w="90" w:type="dxa"/>
            </w:tcMar>
            <w:vAlign w:val="center"/>
          </w:tcPr>
          <w:p>
            <w:pPr>
              <w:jc w:val="left"/>
            </w:pPr>
            <w:r>
              <w:rPr>
                <w:b/>
                <w:color w:val="FFFFFF"/>
                <w:sz w:val="17"/>
              </w:rPr>
              <w:t>Purpose and status</w:t>
            </w:r>
          </w:p>
        </w:tc>
      </w:tr>
      <w:tr>
        <w:tc>
          <w:tcPr>
            <w:tcW w:type="dxa" w:w="2880"/>
            <w:tcMar>
              <w:top w:w="80" w:type="dxa"/>
              <w:start w:w="90" w:type="dxa"/>
              <w:bottom w:w="80" w:type="dxa"/>
              <w:end w:w="90" w:type="dxa"/>
            </w:tcMar>
            <w:vAlign w:val="top"/>
          </w:tcPr>
          <w:p>
            <w:pPr>
              <w:spacing w:after="0"/>
            </w:pPr>
            <w:r>
              <w:rPr>
                <w:sz w:val="17"/>
              </w:rPr>
              <w:t>SIAM agricultural expo, April 2026</w:t>
            </w:r>
          </w:p>
        </w:tc>
        <w:tc>
          <w:tcPr>
            <w:tcW w:type="dxa" w:w="6624"/>
            <w:tcMar>
              <w:top w:w="80" w:type="dxa"/>
              <w:start w:w="90" w:type="dxa"/>
              <w:bottom w:w="80" w:type="dxa"/>
              <w:end w:w="90" w:type="dxa"/>
            </w:tcMar>
            <w:vAlign w:val="top"/>
          </w:tcPr>
          <w:p>
            <w:pPr>
              <w:spacing w:after="0"/>
            </w:pPr>
            <w:r>
              <w:rPr>
                <w:sz w:val="17"/>
              </w:rPr>
              <w:t>Six side events related to conservation agriculture and seed systems; engagement with farmers, suppliers, partners and wider market actors.</w:t>
            </w:r>
          </w:p>
        </w:tc>
      </w:tr>
      <w:tr>
        <w:tc>
          <w:tcPr>
            <w:tcW w:type="dxa" w:w="2880"/>
            <w:shd w:fill="F8FAFC"/>
            <w:tcMar>
              <w:top w:w="80" w:type="dxa"/>
              <w:start w:w="90" w:type="dxa"/>
              <w:bottom w:w="80" w:type="dxa"/>
              <w:end w:w="90" w:type="dxa"/>
            </w:tcMar>
            <w:vAlign w:val="top"/>
          </w:tcPr>
          <w:p>
            <w:pPr>
              <w:spacing w:after="0"/>
            </w:pPr>
            <w:r>
              <w:rPr>
                <w:sz w:val="17"/>
              </w:rPr>
              <w:t>Service-provider event, April 2026</w:t>
            </w:r>
          </w:p>
        </w:tc>
        <w:tc>
          <w:tcPr>
            <w:tcW w:type="dxa" w:w="6624"/>
            <w:shd w:fill="F8FAFC"/>
            <w:tcMar>
              <w:top w:w="80" w:type="dxa"/>
              <w:start w:w="90" w:type="dxa"/>
              <w:bottom w:w="80" w:type="dxa"/>
              <w:end w:w="90" w:type="dxa"/>
            </w:tcMar>
            <w:vAlign w:val="top"/>
          </w:tcPr>
          <w:p>
            <w:pPr>
              <w:spacing w:after="0"/>
            </w:pPr>
            <w:r>
              <w:rPr>
                <w:sz w:val="17"/>
              </w:rPr>
              <w:t>Interviews and training with no-till machinery and service providers; explored farmer and provider economics.</w:t>
            </w:r>
          </w:p>
        </w:tc>
      </w:tr>
      <w:tr>
        <w:tc>
          <w:tcPr>
            <w:tcW w:type="dxa" w:w="2880"/>
            <w:tcMar>
              <w:top w:w="80" w:type="dxa"/>
              <w:start w:w="90" w:type="dxa"/>
              <w:bottom w:w="80" w:type="dxa"/>
              <w:end w:w="90" w:type="dxa"/>
            </w:tcMar>
            <w:vAlign w:val="top"/>
          </w:tcPr>
          <w:p>
            <w:pPr>
              <w:spacing w:after="0"/>
            </w:pPr>
            <w:r>
              <w:rPr>
                <w:sz w:val="17"/>
              </w:rPr>
              <w:t>High-level field day, 25 May 2026</w:t>
            </w:r>
          </w:p>
        </w:tc>
        <w:tc>
          <w:tcPr>
            <w:tcW w:type="dxa" w:w="6624"/>
            <w:tcMar>
              <w:top w:w="80" w:type="dxa"/>
              <w:start w:w="90" w:type="dxa"/>
              <w:bottom w:w="80" w:type="dxa"/>
              <w:end w:w="90" w:type="dxa"/>
            </w:tcMar>
            <w:vAlign w:val="top"/>
          </w:tcPr>
          <w:p>
            <w:pPr>
              <w:spacing w:after="0"/>
            </w:pPr>
            <w:r>
              <w:rPr>
                <w:sz w:val="17"/>
              </w:rPr>
              <w:t>More than 300 participants, including the Minister of Agriculture, donors and diverse stakeholders; showcased long-term and on-farm evidence.</w:t>
            </w:r>
          </w:p>
        </w:tc>
      </w:tr>
      <w:tr>
        <w:tc>
          <w:tcPr>
            <w:tcW w:type="dxa" w:w="2880"/>
            <w:shd w:fill="F8FAFC"/>
            <w:tcMar>
              <w:top w:w="80" w:type="dxa"/>
              <w:start w:w="90" w:type="dxa"/>
              <w:bottom w:w="80" w:type="dxa"/>
              <w:end w:w="90" w:type="dxa"/>
            </w:tcMar>
            <w:vAlign w:val="top"/>
          </w:tcPr>
          <w:p>
            <w:pPr>
              <w:spacing w:after="0"/>
            </w:pPr>
            <w:r>
              <w:rPr>
                <w:sz w:val="17"/>
              </w:rPr>
              <w:t>Additional service-provider training</w:t>
            </w:r>
          </w:p>
        </w:tc>
        <w:tc>
          <w:tcPr>
            <w:tcW w:type="dxa" w:w="6624"/>
            <w:shd w:fill="F8FAFC"/>
            <w:tcMar>
              <w:top w:w="80" w:type="dxa"/>
              <w:start w:w="90" w:type="dxa"/>
              <w:bottom w:w="80" w:type="dxa"/>
              <w:end w:w="90" w:type="dxa"/>
            </w:tcMar>
            <w:vAlign w:val="top"/>
          </w:tcPr>
          <w:p>
            <w:pPr>
              <w:spacing w:after="0"/>
            </w:pPr>
            <w:r>
              <w:rPr>
                <w:sz w:val="17"/>
              </w:rPr>
              <w:t>Further training planned before the next sowing season, including machine operation and bundled service models.</w:t>
            </w:r>
          </w:p>
        </w:tc>
      </w:tr>
      <w:tr>
        <w:tc>
          <w:tcPr>
            <w:tcW w:type="dxa" w:w="2880"/>
            <w:tcMar>
              <w:top w:w="80" w:type="dxa"/>
              <w:start w:w="90" w:type="dxa"/>
              <w:bottom w:w="80" w:type="dxa"/>
              <w:end w:w="90" w:type="dxa"/>
            </w:tcMar>
            <w:vAlign w:val="top"/>
          </w:tcPr>
          <w:p>
            <w:pPr>
              <w:spacing w:after="0"/>
            </w:pPr>
            <w:r>
              <w:rPr>
                <w:sz w:val="17"/>
              </w:rPr>
              <w:t>Small-seeder development</w:t>
            </w:r>
          </w:p>
        </w:tc>
        <w:tc>
          <w:tcPr>
            <w:tcW w:type="dxa" w:w="6624"/>
            <w:tcMar>
              <w:top w:w="80" w:type="dxa"/>
              <w:start w:w="90" w:type="dxa"/>
              <w:bottom w:w="80" w:type="dxa"/>
              <w:end w:w="90" w:type="dxa"/>
            </w:tcMar>
            <w:vAlign w:val="top"/>
          </w:tcPr>
          <w:p>
            <w:pPr>
              <w:spacing w:after="0"/>
            </w:pPr>
            <w:r>
              <w:rPr>
                <w:sz w:val="17"/>
              </w:rPr>
              <w:t>Local customization of smaller machines, field testing, feedback to manufacturers and plans for improved or mass production.</w:t>
            </w:r>
          </w:p>
        </w:tc>
      </w:tr>
      <w:tr>
        <w:tc>
          <w:tcPr>
            <w:tcW w:type="dxa" w:w="2880"/>
            <w:shd w:fill="F8FAFC"/>
            <w:tcMar>
              <w:top w:w="80" w:type="dxa"/>
              <w:start w:w="90" w:type="dxa"/>
              <w:bottom w:w="80" w:type="dxa"/>
              <w:end w:w="90" w:type="dxa"/>
            </w:tcMar>
            <w:vAlign w:val="top"/>
          </w:tcPr>
          <w:p>
            <w:pPr>
              <w:spacing w:after="0"/>
            </w:pPr>
            <w:r>
              <w:rPr>
                <w:sz w:val="17"/>
              </w:rPr>
              <w:t>Business-model workshop, October</w:t>
            </w:r>
          </w:p>
        </w:tc>
        <w:tc>
          <w:tcPr>
            <w:tcW w:type="dxa" w:w="6624"/>
            <w:shd w:fill="F8FAFC"/>
            <w:tcMar>
              <w:top w:w="80" w:type="dxa"/>
              <w:start w:w="90" w:type="dxa"/>
              <w:bottom w:w="80" w:type="dxa"/>
              <w:end w:w="90" w:type="dxa"/>
            </w:tcMar>
            <w:vAlign w:val="top"/>
          </w:tcPr>
          <w:p>
            <w:pPr>
              <w:spacing w:after="0"/>
            </w:pPr>
            <w:r>
              <w:rPr>
                <w:sz w:val="17"/>
              </w:rPr>
              <w:t>Planned event to develop country-specific no-till service-provider business models with experts and stakeholders.</w:t>
            </w:r>
          </w:p>
        </w:tc>
      </w:tr>
      <w:tr>
        <w:tc>
          <w:tcPr>
            <w:tcW w:type="dxa" w:w="2880"/>
            <w:tcMar>
              <w:top w:w="80" w:type="dxa"/>
              <w:start w:w="90" w:type="dxa"/>
              <w:bottom w:w="80" w:type="dxa"/>
              <w:end w:w="90" w:type="dxa"/>
            </w:tcMar>
            <w:vAlign w:val="top"/>
          </w:tcPr>
          <w:p>
            <w:pPr>
              <w:spacing w:after="0"/>
            </w:pPr>
            <w:r>
              <w:rPr>
                <w:sz w:val="17"/>
              </w:rPr>
              <w:t>Policy dialogue, approximately November</w:t>
            </w:r>
          </w:p>
        </w:tc>
        <w:tc>
          <w:tcPr>
            <w:tcW w:type="dxa" w:w="6624"/>
            <w:tcMar>
              <w:top w:w="80" w:type="dxa"/>
              <w:start w:w="90" w:type="dxa"/>
              <w:bottom w:w="80" w:type="dxa"/>
              <w:end w:w="90" w:type="dxa"/>
            </w:tcMar>
            <w:vAlign w:val="top"/>
          </w:tcPr>
          <w:p>
            <w:pPr>
              <w:spacing w:after="0"/>
            </w:pPr>
            <w:r>
              <w:rPr>
                <w:sz w:val="17"/>
              </w:rPr>
              <w:t>Planned review of the conservation-agriculture roadmap and policy bottlenecks with key actors.</w:t>
            </w:r>
          </w:p>
        </w:tc>
      </w:tr>
      <w:tr>
        <w:tc>
          <w:tcPr>
            <w:tcW w:type="dxa" w:w="2880"/>
            <w:shd w:fill="F8FAFC"/>
            <w:tcMar>
              <w:top w:w="80" w:type="dxa"/>
              <w:start w:w="90" w:type="dxa"/>
              <w:bottom w:w="80" w:type="dxa"/>
              <w:end w:w="90" w:type="dxa"/>
            </w:tcMar>
            <w:vAlign w:val="top"/>
          </w:tcPr>
          <w:p>
            <w:pPr>
              <w:spacing w:after="0"/>
            </w:pPr>
            <w:r>
              <w:rPr>
                <w:sz w:val="17"/>
              </w:rPr>
              <w:t>World Soil Day and awareness activities</w:t>
            </w:r>
          </w:p>
        </w:tc>
        <w:tc>
          <w:tcPr>
            <w:tcW w:type="dxa" w:w="6624"/>
            <w:shd w:fill="F8FAFC"/>
            <w:tcMar>
              <w:top w:w="80" w:type="dxa"/>
              <w:start w:w="90" w:type="dxa"/>
              <w:bottom w:w="80" w:type="dxa"/>
              <w:end w:w="90" w:type="dxa"/>
            </w:tcMar>
            <w:vAlign w:val="top"/>
          </w:tcPr>
          <w:p>
            <w:pPr>
              <w:spacing w:after="0"/>
            </w:pPr>
            <w:r>
              <w:rPr>
                <w:sz w:val="17"/>
              </w:rPr>
              <w:t>Continued campaigns on conservation agriculture and soil health with INRA, universities and partners.</w:t>
            </w:r>
          </w:p>
        </w:tc>
      </w:tr>
      <w:tr>
        <w:tc>
          <w:tcPr>
            <w:tcW w:type="dxa" w:w="2880"/>
            <w:tcMar>
              <w:top w:w="80" w:type="dxa"/>
              <w:start w:w="90" w:type="dxa"/>
              <w:bottom w:w="80" w:type="dxa"/>
              <w:end w:w="90" w:type="dxa"/>
            </w:tcMar>
            <w:vAlign w:val="top"/>
          </w:tcPr>
          <w:p>
            <w:pPr>
              <w:spacing w:after="0"/>
            </w:pPr>
            <w:r>
              <w:rPr>
                <w:sz w:val="17"/>
              </w:rPr>
              <w:t>Context-specific management research</w:t>
            </w:r>
          </w:p>
        </w:tc>
        <w:tc>
          <w:tcPr>
            <w:tcW w:type="dxa" w:w="6624"/>
            <w:tcMar>
              <w:top w:w="80" w:type="dxa"/>
              <w:start w:w="90" w:type="dxa"/>
              <w:bottom w:w="80" w:type="dxa"/>
              <w:end w:w="90" w:type="dxa"/>
            </w:tcMar>
            <w:vAlign w:val="top"/>
          </w:tcPr>
          <w:p>
            <w:pPr>
              <w:spacing w:after="0"/>
            </w:pPr>
            <w:r>
              <w:rPr>
                <w:sz w:val="17"/>
              </w:rPr>
              <w:t>Digital sowing-date and fertilizer advisory, variety recommendations, GxExM work and location-specific packages.</w:t>
            </w:r>
          </w:p>
        </w:tc>
      </w:tr>
      <w:tr>
        <w:tc>
          <w:tcPr>
            <w:tcW w:type="dxa" w:w="2880"/>
            <w:shd w:fill="F8FAFC"/>
            <w:tcMar>
              <w:top w:w="80" w:type="dxa"/>
              <w:start w:w="90" w:type="dxa"/>
              <w:bottom w:w="80" w:type="dxa"/>
              <w:end w:w="90" w:type="dxa"/>
            </w:tcMar>
            <w:vAlign w:val="top"/>
          </w:tcPr>
          <w:p>
            <w:pPr>
              <w:spacing w:after="0"/>
            </w:pPr>
            <w:r>
              <w:rPr>
                <w:sz w:val="17"/>
              </w:rPr>
              <w:t>Early-generation seed production</w:t>
            </w:r>
          </w:p>
        </w:tc>
        <w:tc>
          <w:tcPr>
            <w:tcW w:type="dxa" w:w="6624"/>
            <w:shd w:fill="F8FAFC"/>
            <w:tcMar>
              <w:top w:w="80" w:type="dxa"/>
              <w:start w:w="90" w:type="dxa"/>
              <w:bottom w:w="80" w:type="dxa"/>
              <w:end w:w="90" w:type="dxa"/>
            </w:tcMar>
            <w:vAlign w:val="top"/>
          </w:tcPr>
          <w:p>
            <w:pPr>
              <w:spacing w:after="0"/>
            </w:pPr>
            <w:r>
              <w:rPr>
                <w:sz w:val="17"/>
              </w:rPr>
              <w:t>Production of G0/G1 seed under irrigation and support to certification and seed cleaning.</w:t>
            </w:r>
          </w:p>
        </w:tc>
      </w:tr>
      <w:tr>
        <w:tc>
          <w:tcPr>
            <w:tcW w:type="dxa" w:w="2880"/>
            <w:tcMar>
              <w:top w:w="80" w:type="dxa"/>
              <w:start w:w="90" w:type="dxa"/>
              <w:bottom w:w="80" w:type="dxa"/>
              <w:end w:w="90" w:type="dxa"/>
            </w:tcMar>
            <w:vAlign w:val="top"/>
          </w:tcPr>
          <w:p>
            <w:pPr>
              <w:spacing w:after="0"/>
            </w:pPr>
            <w:r>
              <w:rPr>
                <w:sz w:val="17"/>
              </w:rPr>
              <w:t>Seed Alliance</w:t>
            </w:r>
          </w:p>
        </w:tc>
        <w:tc>
          <w:tcPr>
            <w:tcW w:type="dxa" w:w="6624"/>
            <w:tcMar>
              <w:top w:w="80" w:type="dxa"/>
              <w:start w:w="90" w:type="dxa"/>
              <w:bottom w:w="80" w:type="dxa"/>
              <w:end w:w="90" w:type="dxa"/>
            </w:tcMar>
            <w:vAlign w:val="top"/>
          </w:tcPr>
          <w:p>
            <w:pPr>
              <w:spacing w:after="0"/>
            </w:pPr>
            <w:r>
              <w:rPr>
                <w:sz w:val="17"/>
              </w:rPr>
              <w:t>Multi-actor platform to reform the seed system and strengthen national varieties.</w:t>
            </w:r>
          </w:p>
        </w:tc>
      </w:tr>
      <w:tr>
        <w:tc>
          <w:tcPr>
            <w:tcW w:type="dxa" w:w="2880"/>
            <w:shd w:fill="F8FAFC"/>
            <w:tcMar>
              <w:top w:w="80" w:type="dxa"/>
              <w:start w:w="90" w:type="dxa"/>
              <w:bottom w:w="80" w:type="dxa"/>
              <w:end w:w="90" w:type="dxa"/>
            </w:tcMar>
            <w:vAlign w:val="top"/>
          </w:tcPr>
          <w:p>
            <w:pPr>
              <w:spacing w:after="0"/>
            </w:pPr>
            <w:r>
              <w:rPr>
                <w:sz w:val="17"/>
              </w:rPr>
              <w:t>MRV and data systems</w:t>
            </w:r>
          </w:p>
        </w:tc>
        <w:tc>
          <w:tcPr>
            <w:tcW w:type="dxa" w:w="6624"/>
            <w:shd w:fill="F8FAFC"/>
            <w:tcMar>
              <w:top w:w="80" w:type="dxa"/>
              <w:start w:w="90" w:type="dxa"/>
              <w:bottom w:w="80" w:type="dxa"/>
              <w:end w:w="90" w:type="dxa"/>
            </w:tcMar>
            <w:vAlign w:val="top"/>
          </w:tcPr>
          <w:p>
            <w:pPr>
              <w:spacing w:after="0"/>
            </w:pPr>
            <w:r>
              <w:rPr>
                <w:sz w:val="17"/>
              </w:rPr>
              <w:t>Prototype monitoring architecture linked to national and regional reporting.</w:t>
            </w:r>
          </w:p>
        </w:tc>
      </w:tr>
    </w:tbl>
    <w:p>
      <w:pPr>
        <w:spacing w:after="0"/>
      </w:pPr>
    </w:p>
    <w:p>
      <w:pPr>
        <w:pStyle w:val="Heading1"/>
      </w:pPr>
      <w:r>
        <w:t>12. Realism of the one-million-hectare ambition</w:t>
      </w:r>
    </w:p>
    <w:p>
      <w:r>
        <w:t>Richard explicitly challenged the team to explain how the program will move from roughly 360,000 hectares to one million hectares by 2030. The target requires an additional 640,000 hectares in approximately three to four growing seasons - on the order of 160,000-210,000 additional hectares per year, depending on the exact endpoint and baseline.</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r>
              <w:rPr>
                <w:b/>
                <w:color w:val="1F374E"/>
              </w:rPr>
              <w:t>Why simple extrapolation is risky</w:t>
            </w:r>
            <w:r>
              <w:br/>
              <w:t>The early adopters have generally been medium and large farmers with more suitable land, tractors and access to larger machines. The next phase shifts toward smaller holdings, sloping or fragmented land and farmers who depend on service providers. This may increase the number of farmers reached while reducing hectares added per machine and increasing support requirements.</w:t>
            </w:r>
          </w:p>
        </w:tc>
      </w:tr>
    </w:tbl>
    <w:p>
      <w:pPr>
        <w:spacing w:after="0"/>
      </w:pPr>
    </w:p>
    <w:p>
      <w:pPr>
        <w:pStyle w:val="Heading2"/>
      </w:pPr>
      <w:r>
        <w:t>Factors supporting acceleration</w:t>
      </w:r>
    </w:p>
    <w:p>
      <w:pPr>
        <w:pStyle w:val="ListBullet"/>
        <w:spacing w:after="56"/>
      </w:pPr>
      <w:r>
        <w:t>Strong national political ownership and continued public subsidy.</w:t>
      </w:r>
    </w:p>
    <w:p>
      <w:pPr>
        <w:pStyle w:val="ListBullet"/>
        <w:spacing w:after="56"/>
      </w:pPr>
      <w:r>
        <w:t>Growing demand after repeated drought and higher fuel prices.</w:t>
      </w:r>
    </w:p>
    <w:p>
      <w:pPr>
        <w:pStyle w:val="ListBullet"/>
        <w:spacing w:after="56"/>
      </w:pPr>
      <w:r>
        <w:t>Active local and international machinery market.</w:t>
      </w:r>
    </w:p>
    <w:p>
      <w:pPr>
        <w:pStyle w:val="ListBullet"/>
        <w:spacing w:after="56"/>
      </w:pPr>
      <w:r>
        <w:t>Local production and adaptation of smaller seeders.</w:t>
      </w:r>
    </w:p>
    <w:p>
      <w:pPr>
        <w:pStyle w:val="ListBullet"/>
        <w:spacing w:after="56"/>
      </w:pPr>
      <w:r>
        <w:t>Established service-provider culture in a highly mechanized agricultural system.</w:t>
      </w:r>
    </w:p>
    <w:p>
      <w:pPr>
        <w:pStyle w:val="ListBullet"/>
        <w:spacing w:after="56"/>
      </w:pPr>
      <w:r>
        <w:t>Large national events, demonstrations and organized farmer associations.</w:t>
      </w:r>
    </w:p>
    <w:p>
      <w:pPr>
        <w:pStyle w:val="ListBullet"/>
        <w:spacing w:after="56"/>
      </w:pPr>
      <w:r>
        <w:t>Private sales and emerging farmer-led service enterprises.</w:t>
      </w:r>
    </w:p>
    <w:p>
      <w:pPr>
        <w:pStyle w:val="Heading2"/>
      </w:pPr>
      <w:r>
        <w:t>Factors that may slow acceleration</w:t>
      </w:r>
    </w:p>
    <w:p>
      <w:pPr>
        <w:pStyle w:val="ListBullet"/>
        <w:spacing w:after="56"/>
      </w:pPr>
      <w:r>
        <w:t>Remaining farmers may be harder and more expensive to serve.</w:t>
      </w:r>
    </w:p>
    <w:p>
      <w:pPr>
        <w:pStyle w:val="ListBullet"/>
        <w:spacing w:after="56"/>
      </w:pPr>
      <w:r>
        <w:t>Smaller machines cover fewer hectares and may face more travel and coordination costs.</w:t>
      </w:r>
    </w:p>
    <w:p>
      <w:pPr>
        <w:pStyle w:val="ListBullet"/>
        <w:spacing w:after="56"/>
      </w:pPr>
      <w:r>
        <w:t>Service-provider profitability for new segments is not yet fully established.</w:t>
      </w:r>
    </w:p>
    <w:p>
      <w:pPr>
        <w:pStyle w:val="ListBullet"/>
        <w:spacing w:after="56"/>
      </w:pPr>
      <w:r>
        <w:t>Free or subsidized machines may be underutilized.</w:t>
      </w:r>
    </w:p>
    <w:p>
      <w:pPr>
        <w:pStyle w:val="ListBullet"/>
        <w:spacing w:after="56"/>
      </w:pPr>
      <w:r>
        <w:t>Machine quality and fit differ by soil, residue load and agroecology.</w:t>
      </w:r>
    </w:p>
    <w:p>
      <w:pPr>
        <w:pStyle w:val="ListBullet"/>
        <w:spacing w:after="56"/>
      </w:pPr>
      <w:r>
        <w:t>Extreme drought can stop farmers planting altogether, even though drought increases long-term interest in CA.</w:t>
      </w:r>
    </w:p>
    <w:p>
      <w:pPr>
        <w:pStyle w:val="ListBullet"/>
        <w:spacing w:after="56"/>
      </w:pPr>
      <w:r>
        <w:t>Seed-system transformation and full-package adoption will likely move more slowly than no-till hectares.</w:t>
      </w:r>
    </w:p>
    <w:p>
      <w:pPr>
        <w:pStyle w:val="Heading2"/>
      </w:pPr>
      <w:r>
        <w:t>Recommended scenario approach</w:t>
      </w:r>
    </w:p>
    <w:p>
      <w:r>
        <w:t>The track should model at least three trajectories: a machinery-led base case; an accelerated case with rapid small-seeder production and expanded provider incentives; and a constrained case reflecting slower uptake among smallholders, underutilization and drought-related non-planting. Each scenario should specify machines, utilization, hectares per machine, provider types, farmer segments, geographic expansion and public/private financing.</w:t>
      </w:r>
    </w:p>
    <w:p>
      <w:pPr>
        <w:pStyle w:val="Heading1"/>
      </w:pPr>
      <w:r>
        <w:t>13. Monitoring, evaluation, verification and learning</w:t>
      </w:r>
    </w:p>
    <w:p>
      <w:r>
        <w:t>The discussion revealed an unusually rich natural laboratory: multiple machine sizes, public and private ownership, different provider types, regions, subsidies, crops and adoption depths. The track should use this variation to learn what works, not only report aggregate hectares.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F4E78"/>
            <w:tcMar>
              <w:top w:w="80" w:type="dxa"/>
              <w:start w:w="90" w:type="dxa"/>
              <w:bottom w:w="80" w:type="dxa"/>
              <w:end w:w="90" w:type="dxa"/>
            </w:tcMar>
            <w:vAlign w:val="center"/>
          </w:tcPr>
          <w:p>
            <w:pPr>
              <w:jc w:val="left"/>
            </w:pPr>
            <w:r>
              <w:rPr>
                <w:b/>
                <w:color w:val="FFFFFF"/>
                <w:sz w:val="17"/>
              </w:rPr>
              <w:t>Priority learning question</w:t>
            </w:r>
          </w:p>
        </w:tc>
        <w:tc>
          <w:tcPr>
            <w:tcW w:type="dxa" w:w="6624"/>
            <w:shd w:fill="1F4E78"/>
            <w:tcMar>
              <w:top w:w="80" w:type="dxa"/>
              <w:start w:w="90" w:type="dxa"/>
              <w:bottom w:w="80" w:type="dxa"/>
              <w:end w:w="90" w:type="dxa"/>
            </w:tcMar>
            <w:vAlign w:val="center"/>
          </w:tcPr>
          <w:p>
            <w:pPr>
              <w:jc w:val="left"/>
            </w:pPr>
            <w:r>
              <w:rPr>
                <w:b/>
                <w:color w:val="FFFFFF"/>
                <w:sz w:val="17"/>
              </w:rPr>
              <w:t>Suggested evidence</w:t>
            </w:r>
          </w:p>
        </w:tc>
      </w:tr>
      <w:tr>
        <w:tc>
          <w:tcPr>
            <w:tcW w:type="dxa" w:w="2880"/>
            <w:tcMar>
              <w:top w:w="80" w:type="dxa"/>
              <w:start w:w="90" w:type="dxa"/>
              <w:bottom w:w="80" w:type="dxa"/>
              <w:end w:w="90" w:type="dxa"/>
            </w:tcMar>
            <w:vAlign w:val="top"/>
          </w:tcPr>
          <w:p>
            <w:pPr>
              <w:spacing w:after="0"/>
            </w:pPr>
            <w:r>
              <w:rPr>
                <w:sz w:val="17"/>
              </w:rPr>
              <w:t>Who adopts, who does not and who disadopts?</w:t>
            </w:r>
          </w:p>
        </w:tc>
        <w:tc>
          <w:tcPr>
            <w:tcW w:type="dxa" w:w="6624"/>
            <w:tcMar>
              <w:top w:w="80" w:type="dxa"/>
              <w:start w:w="90" w:type="dxa"/>
              <w:bottom w:w="80" w:type="dxa"/>
              <w:end w:w="90" w:type="dxa"/>
            </w:tcMar>
            <w:vAlign w:val="top"/>
          </w:tcPr>
          <w:p>
            <w:pPr>
              <w:spacing w:after="0"/>
            </w:pPr>
            <w:r>
              <w:rPr>
                <w:sz w:val="17"/>
              </w:rPr>
              <w:t>Panel or repeat surveys by farm size, rainfall zone, service access, subsidy status and package components.</w:t>
            </w:r>
          </w:p>
        </w:tc>
      </w:tr>
      <w:tr>
        <w:tc>
          <w:tcPr>
            <w:tcW w:type="dxa" w:w="2880"/>
            <w:shd w:fill="F8FAFC"/>
            <w:tcMar>
              <w:top w:w="80" w:type="dxa"/>
              <w:start w:w="90" w:type="dxa"/>
              <w:bottom w:w="80" w:type="dxa"/>
              <w:end w:w="90" w:type="dxa"/>
            </w:tcMar>
            <w:vAlign w:val="top"/>
          </w:tcPr>
          <w:p>
            <w:pPr>
              <w:spacing w:after="0"/>
            </w:pPr>
            <w:r>
              <w:rPr>
                <w:sz w:val="17"/>
              </w:rPr>
              <w:t>Which machines work where?</w:t>
            </w:r>
          </w:p>
        </w:tc>
        <w:tc>
          <w:tcPr>
            <w:tcW w:type="dxa" w:w="6624"/>
            <w:shd w:fill="F8FAFC"/>
            <w:tcMar>
              <w:top w:w="80" w:type="dxa"/>
              <w:start w:w="90" w:type="dxa"/>
              <w:bottom w:w="80" w:type="dxa"/>
              <w:end w:w="90" w:type="dxa"/>
            </w:tcMar>
            <w:vAlign w:val="top"/>
          </w:tcPr>
          <w:p>
            <w:pPr>
              <w:spacing w:after="0"/>
            </w:pPr>
            <w:r>
              <w:rPr>
                <w:sz w:val="17"/>
              </w:rPr>
              <w:t>User feedback and performance records by soil, slope, residue level, tractor size, breakdowns and repair time.</w:t>
            </w:r>
          </w:p>
        </w:tc>
      </w:tr>
      <w:tr>
        <w:tc>
          <w:tcPr>
            <w:tcW w:type="dxa" w:w="2880"/>
            <w:tcMar>
              <w:top w:w="80" w:type="dxa"/>
              <w:start w:w="90" w:type="dxa"/>
              <w:bottom w:w="80" w:type="dxa"/>
              <w:end w:w="90" w:type="dxa"/>
            </w:tcMar>
            <w:vAlign w:val="top"/>
          </w:tcPr>
          <w:p>
            <w:pPr>
              <w:spacing w:after="0"/>
            </w:pPr>
            <w:r>
              <w:rPr>
                <w:sz w:val="17"/>
              </w:rPr>
              <w:t>Which service providers succeed?</w:t>
            </w:r>
          </w:p>
        </w:tc>
        <w:tc>
          <w:tcPr>
            <w:tcW w:type="dxa" w:w="6624"/>
            <w:tcMar>
              <w:top w:w="80" w:type="dxa"/>
              <w:start w:w="90" w:type="dxa"/>
              <w:bottom w:w="80" w:type="dxa"/>
              <w:end w:w="90" w:type="dxa"/>
            </w:tcMar>
            <w:vAlign w:val="top"/>
          </w:tcPr>
          <w:p>
            <w:pPr>
              <w:spacing w:after="0"/>
            </w:pPr>
            <w:r>
              <w:rPr>
                <w:sz w:val="17"/>
              </w:rPr>
              <w:t>Utilization, hectares, revenue, costs, customer retention, travel distance, maintenance and bundled services by provider type.</w:t>
            </w:r>
          </w:p>
        </w:tc>
      </w:tr>
      <w:tr>
        <w:tc>
          <w:tcPr>
            <w:tcW w:type="dxa" w:w="2880"/>
            <w:shd w:fill="F8FAFC"/>
            <w:tcMar>
              <w:top w:w="80" w:type="dxa"/>
              <w:start w:w="90" w:type="dxa"/>
              <w:bottom w:w="80" w:type="dxa"/>
              <w:end w:w="90" w:type="dxa"/>
            </w:tcMar>
            <w:vAlign w:val="top"/>
          </w:tcPr>
          <w:p>
            <w:pPr>
              <w:spacing w:after="0"/>
            </w:pPr>
            <w:r>
              <w:rPr>
                <w:sz w:val="17"/>
              </w:rPr>
              <w:t>Does free machinery increase use?</w:t>
            </w:r>
          </w:p>
        </w:tc>
        <w:tc>
          <w:tcPr>
            <w:tcW w:type="dxa" w:w="6624"/>
            <w:shd w:fill="F8FAFC"/>
            <w:tcMar>
              <w:top w:w="80" w:type="dxa"/>
              <w:start w:w="90" w:type="dxa"/>
              <w:bottom w:w="80" w:type="dxa"/>
              <w:end w:w="90" w:type="dxa"/>
            </w:tcMar>
            <w:vAlign w:val="top"/>
          </w:tcPr>
          <w:p>
            <w:pPr>
              <w:spacing w:after="0"/>
            </w:pPr>
            <w:r>
              <w:rPr>
                <w:sz w:val="17"/>
              </w:rPr>
              <w:t>Compare cooperative/association machines, 50 percent subsidized individual machines and private purchases.</w:t>
            </w:r>
          </w:p>
        </w:tc>
      </w:tr>
      <w:tr>
        <w:tc>
          <w:tcPr>
            <w:tcW w:type="dxa" w:w="2880"/>
            <w:tcMar>
              <w:top w:w="80" w:type="dxa"/>
              <w:start w:w="90" w:type="dxa"/>
              <w:bottom w:w="80" w:type="dxa"/>
              <w:end w:w="90" w:type="dxa"/>
            </w:tcMar>
            <w:vAlign w:val="top"/>
          </w:tcPr>
          <w:p>
            <w:pPr>
              <w:spacing w:after="0"/>
            </w:pPr>
            <w:r>
              <w:rPr>
                <w:sz w:val="17"/>
              </w:rPr>
              <w:t>How much of the package is adopted?</w:t>
            </w:r>
          </w:p>
        </w:tc>
        <w:tc>
          <w:tcPr>
            <w:tcW w:type="dxa" w:w="6624"/>
            <w:tcMar>
              <w:top w:w="80" w:type="dxa"/>
              <w:start w:w="90" w:type="dxa"/>
              <w:bottom w:w="80" w:type="dxa"/>
              <w:end w:w="90" w:type="dxa"/>
            </w:tcMar>
            <w:vAlign w:val="top"/>
          </w:tcPr>
          <w:p>
            <w:pPr>
              <w:spacing w:after="0"/>
            </w:pPr>
            <w:r>
              <w:rPr>
                <w:sz w:val="17"/>
              </w:rPr>
              <w:t>Track no-till, rotation, residue retention, improved varieties and advisory use separately and in combination.</w:t>
            </w:r>
          </w:p>
        </w:tc>
      </w:tr>
      <w:tr>
        <w:tc>
          <w:tcPr>
            <w:tcW w:type="dxa" w:w="2880"/>
            <w:shd w:fill="F8FAFC"/>
            <w:tcMar>
              <w:top w:w="80" w:type="dxa"/>
              <w:start w:w="90" w:type="dxa"/>
              <w:bottom w:w="80" w:type="dxa"/>
              <w:end w:w="90" w:type="dxa"/>
            </w:tcMar>
            <w:vAlign w:val="top"/>
          </w:tcPr>
          <w:p>
            <w:pPr>
              <w:spacing w:after="0"/>
            </w:pPr>
            <w:r>
              <w:rPr>
                <w:sz w:val="17"/>
              </w:rPr>
              <w:t>Is adoption sustained?</w:t>
            </w:r>
          </w:p>
        </w:tc>
        <w:tc>
          <w:tcPr>
            <w:tcW w:type="dxa" w:w="6624"/>
            <w:shd w:fill="F8FAFC"/>
            <w:tcMar>
              <w:top w:w="80" w:type="dxa"/>
              <w:start w:w="90" w:type="dxa"/>
              <w:bottom w:w="80" w:type="dxa"/>
              <w:end w:w="90" w:type="dxa"/>
            </w:tcMar>
            <w:vAlign w:val="top"/>
          </w:tcPr>
          <w:p>
            <w:pPr>
              <w:spacing w:after="0"/>
            </w:pPr>
            <w:r>
              <w:rPr>
                <w:sz w:val="17"/>
              </w:rPr>
              <w:t>Follow the same farmers and hectares over multiple seasons, including wet and dry years.</w:t>
            </w:r>
          </w:p>
        </w:tc>
      </w:tr>
      <w:tr>
        <w:tc>
          <w:tcPr>
            <w:tcW w:type="dxa" w:w="2880"/>
            <w:tcMar>
              <w:top w:w="80" w:type="dxa"/>
              <w:start w:w="90" w:type="dxa"/>
              <w:bottom w:w="80" w:type="dxa"/>
              <w:end w:w="90" w:type="dxa"/>
            </w:tcMar>
            <w:vAlign w:val="top"/>
          </w:tcPr>
          <w:p>
            <w:pPr>
              <w:spacing w:after="0"/>
            </w:pPr>
            <w:r>
              <w:rPr>
                <w:sz w:val="17"/>
              </w:rPr>
              <w:t>What drives demand?</w:t>
            </w:r>
          </w:p>
        </w:tc>
        <w:tc>
          <w:tcPr>
            <w:tcW w:type="dxa" w:w="6624"/>
            <w:tcMar>
              <w:top w:w="80" w:type="dxa"/>
              <w:start w:w="90" w:type="dxa"/>
              <w:bottom w:w="80" w:type="dxa"/>
              <w:end w:w="90" w:type="dxa"/>
            </w:tcMar>
            <w:vAlign w:val="top"/>
          </w:tcPr>
          <w:p>
            <w:pPr>
              <w:spacing w:after="0"/>
            </w:pPr>
            <w:r>
              <w:rPr>
                <w:sz w:val="17"/>
              </w:rPr>
              <w:t>Assess fuel price, drought experience, neighbor effects, field demonstrations, service price and risk perception.</w:t>
            </w:r>
          </w:p>
        </w:tc>
      </w:tr>
      <w:tr>
        <w:tc>
          <w:tcPr>
            <w:tcW w:type="dxa" w:w="2880"/>
            <w:shd w:fill="F8FAFC"/>
            <w:tcMar>
              <w:top w:w="80" w:type="dxa"/>
              <w:start w:w="90" w:type="dxa"/>
              <w:bottom w:w="80" w:type="dxa"/>
              <w:end w:w="90" w:type="dxa"/>
            </w:tcMar>
            <w:vAlign w:val="top"/>
          </w:tcPr>
          <w:p>
            <w:pPr>
              <w:spacing w:after="0"/>
            </w:pPr>
            <w:r>
              <w:rPr>
                <w:sz w:val="17"/>
              </w:rPr>
              <w:t>What is the outcome?</w:t>
            </w:r>
          </w:p>
        </w:tc>
        <w:tc>
          <w:tcPr>
            <w:tcW w:type="dxa" w:w="6624"/>
            <w:shd w:fill="F8FAFC"/>
            <w:tcMar>
              <w:top w:w="80" w:type="dxa"/>
              <w:start w:w="90" w:type="dxa"/>
              <w:bottom w:w="80" w:type="dxa"/>
              <w:end w:w="90" w:type="dxa"/>
            </w:tcMar>
            <w:vAlign w:val="top"/>
          </w:tcPr>
          <w:p>
            <w:pPr>
              <w:spacing w:after="0"/>
            </w:pPr>
            <w:r>
              <w:rPr>
                <w:sz w:val="17"/>
              </w:rPr>
              <w:t>Yield, profit, production risk, soil cover, erosion, water retention and resilience, with package and rainfall conditions clearly specified.</w:t>
            </w:r>
          </w:p>
        </w:tc>
      </w:tr>
      <w:tr>
        <w:tc>
          <w:tcPr>
            <w:tcW w:type="dxa" w:w="2880"/>
            <w:tcMar>
              <w:top w:w="80" w:type="dxa"/>
              <w:start w:w="90" w:type="dxa"/>
              <w:bottom w:w="80" w:type="dxa"/>
              <w:end w:w="90" w:type="dxa"/>
            </w:tcMar>
            <w:vAlign w:val="top"/>
          </w:tcPr>
          <w:p>
            <w:pPr>
              <w:spacing w:after="0"/>
            </w:pPr>
            <w:r>
              <w:rPr>
                <w:sz w:val="17"/>
              </w:rPr>
              <w:t>What is attributable to S4I/ICARDA support?</w:t>
            </w:r>
          </w:p>
        </w:tc>
        <w:tc>
          <w:tcPr>
            <w:tcW w:type="dxa" w:w="6624"/>
            <w:tcMar>
              <w:top w:w="80" w:type="dxa"/>
              <w:start w:w="90" w:type="dxa"/>
              <w:bottom w:w="80" w:type="dxa"/>
              <w:end w:w="90" w:type="dxa"/>
            </w:tcMar>
            <w:vAlign w:val="top"/>
          </w:tcPr>
          <w:p>
            <w:pPr>
              <w:spacing w:after="0"/>
            </w:pPr>
            <w:r>
              <w:rPr>
                <w:sz w:val="17"/>
              </w:rPr>
              <w:t>Document technical changes, policies, business models, partner behavior and investments directly influenced by the track.</w:t>
            </w:r>
          </w:p>
        </w:tc>
      </w:tr>
    </w:tbl>
    <w:p>
      <w:pPr>
        <w:spacing w:after="0"/>
      </w:pPr>
    </w:p>
    <w:p>
      <w:pPr>
        <w:pStyle w:val="Heading2"/>
      </w:pPr>
      <w:r>
        <w:t>Minimum monitoring architecture recommended</w:t>
      </w:r>
    </w:p>
    <w:p>
      <w:pPr>
        <w:pStyle w:val="ListNumber"/>
        <w:spacing w:after="60"/>
      </w:pPr>
      <w:r>
        <w:t>Maintain the national administrative hectare and machinery database.</w:t>
      </w:r>
    </w:p>
    <w:p>
      <w:pPr>
        <w:pStyle w:val="ListNumber"/>
        <w:spacing w:after="60"/>
      </w:pPr>
      <w:r>
        <w:t>Create a machine registry with ownership, subsidy, size, location, annual hectares, downtime and service model.</w:t>
      </w:r>
    </w:p>
    <w:p>
      <w:pPr>
        <w:pStyle w:val="ListNumber"/>
        <w:spacing w:after="60"/>
      </w:pPr>
      <w:r>
        <w:t>Sample farmers served by different provider types to verify practices and continued use.</w:t>
      </w:r>
    </w:p>
    <w:p>
      <w:pPr>
        <w:pStyle w:val="ListNumber"/>
        <w:spacing w:after="60"/>
      </w:pPr>
      <w:r>
        <w:t>Classify adoption by conservation-agriculture component and maturity level.</w:t>
      </w:r>
    </w:p>
    <w:p>
      <w:pPr>
        <w:pStyle w:val="ListNumber"/>
        <w:spacing w:after="60"/>
      </w:pPr>
      <w:r>
        <w:t>Collect standardized provider accounts and user-satisfaction data from a purposeful sample.</w:t>
      </w:r>
    </w:p>
    <w:p>
      <w:pPr>
        <w:pStyle w:val="ListNumber"/>
        <w:spacing w:after="60"/>
      </w:pPr>
      <w:r>
        <w:t>Link MRV outputs to annual learning reviews and roadmap adjustments, not only reporting.</w:t>
      </w:r>
    </w:p>
    <w:p>
      <w:pPr>
        <w:pStyle w:val="Heading1"/>
      </w:pPr>
      <w:r>
        <w:t>14. Subsidies, incentives and sustainable financing</w:t>
      </w:r>
    </w:p>
    <w:p>
      <w:r>
        <w:t>The session distinguished between subsidies that reduce acquisition cost and incentives that reward actual use or environmental outcomes. Mohamed argued that free machines do not guarantee 400 hectares of annual utilization, and that farmer investment is a stronger signal of commitment.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F4E78"/>
            <w:tcMar>
              <w:top w:w="80" w:type="dxa"/>
              <w:start w:w="90" w:type="dxa"/>
              <w:bottom w:w="80" w:type="dxa"/>
              <w:end w:w="90" w:type="dxa"/>
            </w:tcMar>
            <w:vAlign w:val="center"/>
          </w:tcPr>
          <w:p>
            <w:pPr>
              <w:jc w:val="left"/>
            </w:pPr>
            <w:r>
              <w:rPr>
                <w:b/>
                <w:color w:val="FFFFFF"/>
                <w:sz w:val="18"/>
              </w:rPr>
              <w:t>Current or proposed mechanism</w:t>
            </w:r>
          </w:p>
        </w:tc>
        <w:tc>
          <w:tcPr>
            <w:tcW w:type="dxa" w:w="6624"/>
            <w:shd w:fill="1F4E78"/>
            <w:tcMar>
              <w:top w:w="80" w:type="dxa"/>
              <w:start w:w="90" w:type="dxa"/>
              <w:bottom w:w="80" w:type="dxa"/>
              <w:end w:w="90" w:type="dxa"/>
            </w:tcMar>
            <w:vAlign w:val="center"/>
          </w:tcPr>
          <w:p>
            <w:pPr>
              <w:jc w:val="left"/>
            </w:pPr>
            <w:r>
              <w:rPr>
                <w:b/>
                <w:color w:val="FFFFFF"/>
                <w:sz w:val="18"/>
              </w:rPr>
              <w:t>Coaching interpretation</w:t>
            </w:r>
          </w:p>
        </w:tc>
      </w:tr>
      <w:tr>
        <w:tc>
          <w:tcPr>
            <w:tcW w:type="dxa" w:w="2880"/>
            <w:tcMar>
              <w:top w:w="80" w:type="dxa"/>
              <w:start w:w="90" w:type="dxa"/>
              <w:bottom w:w="80" w:type="dxa"/>
              <w:end w:w="90" w:type="dxa"/>
            </w:tcMar>
            <w:vAlign w:val="top"/>
          </w:tcPr>
          <w:p>
            <w:pPr>
              <w:spacing w:after="0"/>
            </w:pPr>
            <w:r>
              <w:rPr>
                <w:sz w:val="18"/>
              </w:rPr>
              <w:t>Free seeders to associations/cooperatives</w:t>
            </w:r>
          </w:p>
        </w:tc>
        <w:tc>
          <w:tcPr>
            <w:tcW w:type="dxa" w:w="6624"/>
            <w:tcMar>
              <w:top w:w="80" w:type="dxa"/>
              <w:start w:w="90" w:type="dxa"/>
              <w:bottom w:w="80" w:type="dxa"/>
              <w:end w:w="90" w:type="dxa"/>
            </w:tcMar>
            <w:vAlign w:val="top"/>
          </w:tcPr>
          <w:p>
            <w:pPr>
              <w:spacing w:after="0"/>
            </w:pPr>
            <w:r>
              <w:rPr>
                <w:sz w:val="18"/>
              </w:rPr>
              <w:t>Improves access but may weaken ownership and utilization incentives if governance and demand are poor.</w:t>
            </w:r>
          </w:p>
        </w:tc>
      </w:tr>
      <w:tr>
        <w:tc>
          <w:tcPr>
            <w:tcW w:type="dxa" w:w="2880"/>
            <w:shd w:fill="F8FAFC"/>
            <w:tcMar>
              <w:top w:w="80" w:type="dxa"/>
              <w:start w:w="90" w:type="dxa"/>
              <w:bottom w:w="80" w:type="dxa"/>
              <w:end w:w="90" w:type="dxa"/>
            </w:tcMar>
            <w:vAlign w:val="top"/>
          </w:tcPr>
          <w:p>
            <w:pPr>
              <w:spacing w:after="0"/>
            </w:pPr>
            <w:r>
              <w:rPr>
                <w:sz w:val="18"/>
              </w:rPr>
              <w:t>50 percent purchase subsidy</w:t>
            </w:r>
          </w:p>
        </w:tc>
        <w:tc>
          <w:tcPr>
            <w:tcW w:type="dxa" w:w="6624"/>
            <w:shd w:fill="F8FAFC"/>
            <w:tcMar>
              <w:top w:w="80" w:type="dxa"/>
              <w:start w:w="90" w:type="dxa"/>
              <w:bottom w:w="80" w:type="dxa"/>
              <w:end w:w="90" w:type="dxa"/>
            </w:tcMar>
            <w:vAlign w:val="top"/>
          </w:tcPr>
          <w:p>
            <w:pPr>
              <w:spacing w:after="0"/>
            </w:pPr>
            <w:r>
              <w:rPr>
                <w:sz w:val="18"/>
              </w:rPr>
              <w:t>Requires co-investment and may generate stronger commitment, but may still exclude non-farmer service entrepreneurs and poorer groups.</w:t>
            </w:r>
          </w:p>
        </w:tc>
      </w:tr>
      <w:tr>
        <w:tc>
          <w:tcPr>
            <w:tcW w:type="dxa" w:w="2880"/>
            <w:tcMar>
              <w:top w:w="80" w:type="dxa"/>
              <w:start w:w="90" w:type="dxa"/>
              <w:bottom w:w="80" w:type="dxa"/>
              <w:end w:w="90" w:type="dxa"/>
            </w:tcMar>
            <w:vAlign w:val="top"/>
          </w:tcPr>
          <w:p>
            <w:pPr>
              <w:spacing w:after="0"/>
            </w:pPr>
            <w:r>
              <w:rPr>
                <w:sz w:val="18"/>
              </w:rPr>
              <w:t>Performance-based rebate</w:t>
            </w:r>
          </w:p>
        </w:tc>
        <w:tc>
          <w:tcPr>
            <w:tcW w:type="dxa" w:w="6624"/>
            <w:tcMar>
              <w:top w:w="80" w:type="dxa"/>
              <w:start w:w="90" w:type="dxa"/>
              <w:bottom w:w="80" w:type="dxa"/>
              <w:end w:w="90" w:type="dxa"/>
            </w:tcMar>
            <w:vAlign w:val="top"/>
          </w:tcPr>
          <w:p>
            <w:pPr>
              <w:spacing w:after="0"/>
            </w:pPr>
            <w:r>
              <w:rPr>
                <w:sz w:val="18"/>
              </w:rPr>
              <w:t>Richard suggested reimbursing portions of the machine cost over time when the owner demonstrates specified annual hectares and sustained use.</w:t>
            </w:r>
          </w:p>
        </w:tc>
      </w:tr>
      <w:tr>
        <w:tc>
          <w:tcPr>
            <w:tcW w:type="dxa" w:w="2880"/>
            <w:shd w:fill="F8FAFC"/>
            <w:tcMar>
              <w:top w:w="80" w:type="dxa"/>
              <w:start w:w="90" w:type="dxa"/>
              <w:bottom w:w="80" w:type="dxa"/>
              <w:end w:w="90" w:type="dxa"/>
            </w:tcMar>
            <w:vAlign w:val="top"/>
          </w:tcPr>
          <w:p>
            <w:pPr>
              <w:spacing w:after="0"/>
            </w:pPr>
            <w:r>
              <w:rPr>
                <w:sz w:val="18"/>
              </w:rPr>
              <w:t>Service-provider eligibility reform</w:t>
            </w:r>
          </w:p>
        </w:tc>
        <w:tc>
          <w:tcPr>
            <w:tcW w:type="dxa" w:w="6624"/>
            <w:shd w:fill="F8FAFC"/>
            <w:tcMar>
              <w:top w:w="80" w:type="dxa"/>
              <w:start w:w="90" w:type="dxa"/>
              <w:bottom w:w="80" w:type="dxa"/>
              <w:end w:w="90" w:type="dxa"/>
            </w:tcMar>
            <w:vAlign w:val="top"/>
          </w:tcPr>
          <w:p>
            <w:pPr>
              <w:spacing w:after="0"/>
            </w:pPr>
            <w:r>
              <w:rPr>
                <w:sz w:val="18"/>
              </w:rPr>
              <w:t>Extend machinery incentives to viable non-farmer entrepreneurs who can serve many farmers.</w:t>
            </w:r>
          </w:p>
        </w:tc>
      </w:tr>
      <w:tr>
        <w:tc>
          <w:tcPr>
            <w:tcW w:type="dxa" w:w="2880"/>
            <w:tcMar>
              <w:top w:w="80" w:type="dxa"/>
              <w:start w:w="90" w:type="dxa"/>
              <w:bottom w:w="80" w:type="dxa"/>
              <w:end w:w="90" w:type="dxa"/>
            </w:tcMar>
            <w:vAlign w:val="top"/>
          </w:tcPr>
          <w:p>
            <w:pPr>
              <w:spacing w:after="0"/>
            </w:pPr>
            <w:r>
              <w:rPr>
                <w:sz w:val="18"/>
              </w:rPr>
              <w:t>Payments for ecosystem services</w:t>
            </w:r>
          </w:p>
        </w:tc>
        <w:tc>
          <w:tcPr>
            <w:tcW w:type="dxa" w:w="6624"/>
            <w:tcMar>
              <w:top w:w="80" w:type="dxa"/>
              <w:start w:w="90" w:type="dxa"/>
              <w:bottom w:w="80" w:type="dxa"/>
              <w:end w:w="90" w:type="dxa"/>
            </w:tcMar>
            <w:vAlign w:val="top"/>
          </w:tcPr>
          <w:p>
            <w:pPr>
              <w:spacing w:after="0"/>
            </w:pPr>
            <w:r>
              <w:rPr>
                <w:sz w:val="18"/>
              </w:rPr>
              <w:t>Reward carbon sequestration, soil cover and other environmental outcomes rather than only asset purchase.</w:t>
            </w:r>
          </w:p>
        </w:tc>
      </w:tr>
      <w:tr>
        <w:tc>
          <w:tcPr>
            <w:tcW w:type="dxa" w:w="2880"/>
            <w:shd w:fill="F8FAFC"/>
            <w:tcMar>
              <w:top w:w="80" w:type="dxa"/>
              <w:start w:w="90" w:type="dxa"/>
              <w:bottom w:w="80" w:type="dxa"/>
              <w:end w:w="90" w:type="dxa"/>
            </w:tcMar>
            <w:vAlign w:val="top"/>
          </w:tcPr>
          <w:p>
            <w:pPr>
              <w:spacing w:after="0"/>
            </w:pPr>
            <w:r>
              <w:rPr>
                <w:sz w:val="18"/>
              </w:rPr>
              <w:t>Carbon farming</w:t>
            </w:r>
          </w:p>
        </w:tc>
        <w:tc>
          <w:tcPr>
            <w:tcW w:type="dxa" w:w="6624"/>
            <w:shd w:fill="F8FAFC"/>
            <w:tcMar>
              <w:top w:w="80" w:type="dxa"/>
              <w:start w:w="90" w:type="dxa"/>
              <w:bottom w:w="80" w:type="dxa"/>
              <w:end w:w="90" w:type="dxa"/>
            </w:tcMar>
            <w:vAlign w:val="top"/>
          </w:tcPr>
          <w:p>
            <w:pPr>
              <w:spacing w:after="0"/>
            </w:pPr>
            <w:r>
              <w:rPr>
                <w:sz w:val="18"/>
              </w:rPr>
              <w:t>Could provide a sustainable source of incentives, although current experience in Morocco is still limited.</w:t>
            </w:r>
          </w:p>
        </w:tc>
      </w:tr>
      <w:tr>
        <w:tc>
          <w:tcPr>
            <w:tcW w:type="dxa" w:w="2880"/>
            <w:tcMar>
              <w:top w:w="80" w:type="dxa"/>
              <w:start w:w="90" w:type="dxa"/>
              <w:bottom w:w="80" w:type="dxa"/>
              <w:end w:w="90" w:type="dxa"/>
            </w:tcMar>
            <w:vAlign w:val="top"/>
          </w:tcPr>
          <w:p>
            <w:pPr>
              <w:spacing w:after="0"/>
            </w:pPr>
            <w:r>
              <w:rPr>
                <w:sz w:val="18"/>
              </w:rPr>
              <w:t>Bundled revenue model</w:t>
            </w:r>
          </w:p>
        </w:tc>
        <w:tc>
          <w:tcPr>
            <w:tcW w:type="dxa" w:w="6624"/>
            <w:tcMar>
              <w:top w:w="80" w:type="dxa"/>
              <w:start w:w="90" w:type="dxa"/>
              <w:bottom w:w="80" w:type="dxa"/>
              <w:end w:w="90" w:type="dxa"/>
            </w:tcMar>
            <w:vAlign w:val="top"/>
          </w:tcPr>
          <w:p>
            <w:pPr>
              <w:spacing w:after="0"/>
            </w:pPr>
            <w:r>
              <w:rPr>
                <w:sz w:val="18"/>
              </w:rPr>
              <w:t>Providers can combine direct seeding with fertilizer, weed control, advisory, repair, inputs or other services.</w:t>
            </w:r>
          </w:p>
        </w:tc>
      </w:tr>
      <w:tr>
        <w:tc>
          <w:tcPr>
            <w:tcW w:type="dxa" w:w="2880"/>
            <w:shd w:fill="F8FAFC"/>
            <w:tcMar>
              <w:top w:w="80" w:type="dxa"/>
              <w:start w:w="90" w:type="dxa"/>
              <w:bottom w:w="80" w:type="dxa"/>
              <w:end w:w="90" w:type="dxa"/>
            </w:tcMar>
            <w:vAlign w:val="top"/>
          </w:tcPr>
          <w:p>
            <w:pPr>
              <w:spacing w:after="0"/>
            </w:pPr>
            <w:r>
              <w:rPr>
                <w:sz w:val="18"/>
              </w:rPr>
              <w:t>Seed subsidy differentiation</w:t>
            </w:r>
          </w:p>
        </w:tc>
        <w:tc>
          <w:tcPr>
            <w:tcW w:type="dxa" w:w="6624"/>
            <w:shd w:fill="F8FAFC"/>
            <w:tcMar>
              <w:top w:w="80" w:type="dxa"/>
              <w:start w:w="90" w:type="dxa"/>
              <w:bottom w:w="80" w:type="dxa"/>
              <w:end w:w="90" w:type="dxa"/>
            </w:tcMar>
            <w:vAlign w:val="top"/>
          </w:tcPr>
          <w:p>
            <w:pPr>
              <w:spacing w:after="0"/>
            </w:pPr>
            <w:r>
              <w:rPr>
                <w:sz w:val="18"/>
              </w:rPr>
              <w:t>Retain affordability support for certified seed while shifting relative incentives toward locally developed varieties.</w:t>
            </w:r>
          </w:p>
        </w:tc>
      </w:tr>
    </w:tbl>
    <w:p>
      <w:pPr>
        <w:spacing w:after="0"/>
      </w:pPr>
    </w:p>
    <w:p>
      <w:pPr>
        <w:pStyle w:val="Heading2"/>
      </w:pPr>
      <w:r>
        <w:t>Design principle</w:t>
      </w:r>
    </w:p>
    <w:p>
      <w:r>
        <w:t>Public support should reward the behavior and outcome the program wants - high machine utilization, broad smallholder service, sustained conservation-agriculture practice, domestic seed multiplication and ecosystem benefits - rather than only financing equipment or imported supply.</w:t>
      </w:r>
    </w:p>
    <w:p>
      <w:pPr>
        <w:pStyle w:val="Heading1"/>
      </w:pPr>
      <w:r>
        <w:t>15. Inclusion, youth and differentiated farmer segments</w:t>
      </w:r>
    </w:p>
    <w:p>
      <w:r>
        <w:t>Inclusion was discussed mainly through farm size, access to machinery, topography and youth employment. Gender was not substantively explored and remains a gap for the track to address.</w:t>
      </w:r>
    </w:p>
    <w:p>
      <w:pPr>
        <w:pStyle w:val="ListBullet"/>
        <w:spacing w:after="56"/>
      </w:pPr>
      <w:r>
        <w:t>Large and medium farmers have led early adoption because they can purchase machines, own compatible tractors, fence fields and manage rotations more easily.</w:t>
      </w:r>
    </w:p>
    <w:p>
      <w:pPr>
        <w:pStyle w:val="ListBullet"/>
        <w:spacing w:after="56"/>
      </w:pPr>
      <w:r>
        <w:t>Smallholders often access mechanization through service providers; approximately 70 percent of small farmers were said to rely on hired mechanization services.</w:t>
      </w:r>
    </w:p>
    <w:p>
      <w:pPr>
        <w:pStyle w:val="ListBullet"/>
        <w:spacing w:after="56"/>
      </w:pPr>
      <w:r>
        <w:t>Smaller and cheaper machines are critical for fragmented, sloping and mountainous land and smaller tractors.</w:t>
      </w:r>
    </w:p>
    <w:p>
      <w:pPr>
        <w:pStyle w:val="ListBullet"/>
        <w:spacing w:after="56"/>
      </w:pPr>
      <w:r>
        <w:t>Associations and cooperatives can aggregate demand, but their governance and machine-use performance should not be assumed.</w:t>
      </w:r>
    </w:p>
    <w:p>
      <w:pPr>
        <w:pStyle w:val="ListBullet"/>
        <w:spacing w:after="56"/>
      </w:pPr>
      <w:r>
        <w:t>Youth employment is a government priority, and machinery-service enterprises - including businesses created for farmers' sons - offer a practical pathway.</w:t>
      </w:r>
    </w:p>
    <w:p>
      <w:pPr>
        <w:pStyle w:val="ListBullet"/>
        <w:spacing w:after="56"/>
      </w:pPr>
      <w:r>
        <w:t>Future analysis should examine women's access to machinery services, membership and decision-making in cooperatives, control over crop residues, access to finance, and whether service pricing and scheduling disadvantage women-managed farms.</w:t>
      </w:r>
    </w:p>
    <w:p>
      <w:pPr>
        <w:pStyle w:val="Heading1"/>
      </w:pPr>
      <w:r>
        <w:t>16. Consolidated coaching recommendations</w:t>
      </w:r>
    </w:p>
    <w:p>
      <w:pPr>
        <w:pStyle w:val="Heading3"/>
      </w:pPr>
      <w:r>
        <w:t>1. Disaggregate the solution into three linked scaling tracks</w:t>
      </w:r>
    </w:p>
    <w:p>
      <w:r>
        <w:t>Present separate strategies, targets and bottlenecks for machinery/no-till services, resilient seed systems, and rotation/residue/crop-livestock integration. Retain the integrated vision, but stop treating the package as a single homogeneous adoption pathway.</w:t>
      </w:r>
    </w:p>
    <w:p>
      <w:pPr>
        <w:pStyle w:val="Heading3"/>
      </w:pPr>
      <w:r>
        <w:t>2. Define adoption and reporting rules</w:t>
      </w:r>
    </w:p>
    <w:p>
      <w:r>
        <w:t>Agree on a minimum national definition for direct-seeding hectares and additional categories for two-pillar, three-pillar and enhanced bundle adoption. Report new, repeat and sustained hectares separately.</w:t>
      </w:r>
    </w:p>
    <w:p>
      <w:pPr>
        <w:pStyle w:val="Heading3"/>
      </w:pPr>
      <w:r>
        <w:t>3. Build an explicit pathway to one million hectares</w:t>
      </w:r>
    </w:p>
    <w:p>
      <w:r>
        <w:t>Translate the target into annual hectares, machines, utilization, provider types, regions, farm segments and financing. Develop base, accelerated and constrained scenarios.</w:t>
      </w:r>
    </w:p>
    <w:p>
      <w:pPr>
        <w:pStyle w:val="Heading3"/>
      </w:pPr>
      <w:r>
        <w:t>4. Differentiate service-provider business models</w:t>
      </w:r>
    </w:p>
    <w:p>
      <w:r>
        <w:t>Test which ownership and delivery models work best for large farms, smallholders, sloping land and different demand densities. Produce business cases with realistic revenues, costs, utilization and break-even points.</w:t>
      </w:r>
    </w:p>
    <w:p>
      <w:pPr>
        <w:pStyle w:val="Heading3"/>
      </w:pPr>
      <w:r>
        <w:t>5. Expand and improve the machinery portfolio</w:t>
      </w:r>
    </w:p>
    <w:p>
      <w:r>
        <w:t>Support small-seeder mass production, adapt machines by soil and residue condition, and develop a structured quality, repair, spare-parts and user-feedback system.</w:t>
      </w:r>
    </w:p>
    <w:p>
      <w:pPr>
        <w:pStyle w:val="Heading3"/>
      </w:pPr>
      <w:r>
        <w:t>6. Change subsidy design</w:t>
      </w:r>
    </w:p>
    <w:p>
      <w:r>
        <w:t>Move from asset distribution alone toward co-investment and performance-linked incentives. Extend eligibility to capable non-farmer service providers and consider ecosystem-service payments.</w:t>
      </w:r>
    </w:p>
    <w:p>
      <w:pPr>
        <w:pStyle w:val="Heading3"/>
      </w:pPr>
      <w:r>
        <w:t>7. Use the provider network as a bundled delivery channel</w:t>
      </w:r>
    </w:p>
    <w:p>
      <w:r>
        <w:t>Enable providers to earn from agronomic advice, fertilizer or weed-management services, input linkages, maintenance and other functions, not only a single planting operation.</w:t>
      </w:r>
    </w:p>
    <w:p>
      <w:pPr>
        <w:pStyle w:val="Heading3"/>
      </w:pPr>
      <w:r>
        <w:t>8. Strengthen the domestic seed-system transition plan</w:t>
      </w:r>
    </w:p>
    <w:p>
      <w:r>
        <w:t>Quantify G0-G4, multiplication and certification bottlenecks; protect seed supply in drought; create demand signals; reform royalties and subsidies; and clarify the pathway from the Seed Alliance to policy change.</w:t>
      </w:r>
    </w:p>
    <w:p>
      <w:pPr>
        <w:pStyle w:val="Heading3"/>
      </w:pPr>
      <w:r>
        <w:t>9. Make the seed system demand-responsive</w:t>
      </w:r>
    </w:p>
    <w:p>
      <w:r>
        <w:t>Collect and communicate farmer varietal preferences and require the distribution system to respond rather than supplying only what is easiest to import or multiply.</w:t>
      </w:r>
    </w:p>
    <w:p>
      <w:pPr>
        <w:pStyle w:val="Heading3"/>
      </w:pPr>
      <w:r>
        <w:t>10. Treat rotation as a value-chain intervention</w:t>
      </w:r>
    </w:p>
    <w:p>
      <w:r>
        <w:t>Address food-legume machinery, seed, weed control, harvesting, prices, procurement, risk and livestock feed together.</w:t>
      </w:r>
    </w:p>
    <w:p>
      <w:pPr>
        <w:pStyle w:val="Heading3"/>
      </w:pPr>
      <w:r>
        <w:t>11. Invest in comparative learning</w:t>
      </w:r>
    </w:p>
    <w:p>
      <w:r>
        <w:t>Study successful and unsuccessful providers, machine types, cooperatives, regions and farmer segments. Use the natural variation in the program to improve resource allocation.</w:t>
      </w:r>
    </w:p>
    <w:p>
      <w:pPr>
        <w:pStyle w:val="Heading3"/>
      </w:pPr>
      <w:r>
        <w:t>12. Be candid in future proposals</w:t>
      </w:r>
    </w:p>
    <w:p>
      <w:r>
        <w:t>Do not oversell the national target or imply equal progress across all components. Explain what is advancing quickly, what is structurally slower, and what 2027 funding will unlock.</w:t>
      </w:r>
    </w:p>
    <w:p>
      <w:pPr>
        <w:pStyle w:val="Heading3"/>
      </w:pPr>
      <w:r>
        <w:t>13. Clarify S4I contribution</w:t>
      </w:r>
    </w:p>
    <w:p>
      <w:r>
        <w:t>Frame the track's value around system change, technical backstopping, policy reform, learning tools, business models and partner investment rather than claiming direct implementation of all national hectares.</w:t>
      </w:r>
    </w:p>
    <w:p>
      <w:pPr>
        <w:pStyle w:val="Heading3"/>
      </w:pPr>
      <w:r>
        <w:t>14. Integrate GESI more explicitly</w:t>
      </w:r>
    </w:p>
    <w:p>
      <w:r>
        <w:t>Add gender-disaggregated analysis and inclusive service design to the otherwise strong segmentation by farm size and youth.</w:t>
      </w:r>
    </w:p>
    <w:p>
      <w:pPr>
        <w:pStyle w:val="Heading1"/>
      </w:pPr>
      <w:r>
        <w:t>17. Follow-up actions and commitments</w:t>
      </w:r>
    </w:p>
    <w:p>
      <w:r>
        <w:t>The table distinguishes actions explicitly described or accepted during the session from coaching suggestions that require confirmation. Suggested ownership reflects the roles discussed and should be validated by the team.</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4536"/>
            <w:shd w:fill="1F4E78"/>
            <w:tcMar>
              <w:top w:w="80" w:type="dxa"/>
              <w:start w:w="90" w:type="dxa"/>
              <w:bottom w:w="80" w:type="dxa"/>
              <w:end w:w="90" w:type="dxa"/>
            </w:tcMar>
            <w:vAlign w:val="center"/>
          </w:tcPr>
          <w:p>
            <w:pPr>
              <w:jc w:val="left"/>
            </w:pPr>
            <w:r>
              <w:rPr>
                <w:b/>
                <w:color w:val="FFFFFF"/>
                <w:sz w:val="16"/>
              </w:rPr>
              <w:t>Action</w:t>
            </w:r>
          </w:p>
        </w:tc>
        <w:tc>
          <w:tcPr>
            <w:tcW w:type="dxa" w:w="1944"/>
            <w:shd w:fill="1F4E78"/>
            <w:tcMar>
              <w:top w:w="80" w:type="dxa"/>
              <w:start w:w="90" w:type="dxa"/>
              <w:bottom w:w="80" w:type="dxa"/>
              <w:end w:w="90" w:type="dxa"/>
            </w:tcMar>
            <w:vAlign w:val="center"/>
          </w:tcPr>
          <w:p>
            <w:pPr>
              <w:jc w:val="left"/>
            </w:pPr>
            <w:r>
              <w:rPr>
                <w:b/>
                <w:color w:val="FFFFFF"/>
                <w:sz w:val="16"/>
              </w:rPr>
              <w:t>Suggested lead</w:t>
            </w:r>
          </w:p>
        </w:tc>
        <w:tc>
          <w:tcPr>
            <w:tcW w:type="dxa" w:w="1512"/>
            <w:shd w:fill="1F4E78"/>
            <w:tcMar>
              <w:top w:w="80" w:type="dxa"/>
              <w:start w:w="90" w:type="dxa"/>
              <w:bottom w:w="80" w:type="dxa"/>
              <w:end w:w="90" w:type="dxa"/>
            </w:tcMar>
            <w:vAlign w:val="center"/>
          </w:tcPr>
          <w:p>
            <w:pPr>
              <w:jc w:val="left"/>
            </w:pPr>
            <w:r>
              <w:rPr>
                <w:b/>
                <w:color w:val="FFFFFF"/>
                <w:sz w:val="16"/>
              </w:rPr>
              <w:t>Timing</w:t>
            </w:r>
          </w:p>
        </w:tc>
        <w:tc>
          <w:tcPr>
            <w:tcW w:type="dxa" w:w="1512"/>
            <w:shd w:fill="1F4E78"/>
            <w:tcMar>
              <w:top w:w="80" w:type="dxa"/>
              <w:start w:w="90" w:type="dxa"/>
              <w:bottom w:w="80" w:type="dxa"/>
              <w:end w:w="90" w:type="dxa"/>
            </w:tcMar>
            <w:vAlign w:val="center"/>
          </w:tcPr>
          <w:p>
            <w:pPr>
              <w:jc w:val="left"/>
            </w:pPr>
            <w:r>
              <w:rPr>
                <w:b/>
                <w:color w:val="FFFFFF"/>
                <w:sz w:val="16"/>
              </w:rPr>
              <w:t>Status</w:t>
            </w:r>
          </w:p>
        </w:tc>
      </w:tr>
      <w:tr>
        <w:tc>
          <w:tcPr>
            <w:tcW w:type="dxa" w:w="4536"/>
            <w:tcMar>
              <w:top w:w="80" w:type="dxa"/>
              <w:start w:w="90" w:type="dxa"/>
              <w:bottom w:w="80" w:type="dxa"/>
              <w:end w:w="90" w:type="dxa"/>
            </w:tcMar>
            <w:vAlign w:val="top"/>
          </w:tcPr>
          <w:p>
            <w:pPr>
              <w:spacing w:after="0"/>
            </w:pPr>
            <w:r>
              <w:rPr>
                <w:sz w:val="16"/>
              </w:rPr>
              <w:t>Confirm the exact public and private seeder inventory and annual hectares by machine.</w:t>
            </w:r>
          </w:p>
        </w:tc>
        <w:tc>
          <w:tcPr>
            <w:tcW w:type="dxa" w:w="1944"/>
            <w:tcMar>
              <w:top w:w="80" w:type="dxa"/>
              <w:start w:w="90" w:type="dxa"/>
              <w:bottom w:w="80" w:type="dxa"/>
              <w:end w:w="90" w:type="dxa"/>
            </w:tcMar>
            <w:vAlign w:val="top"/>
          </w:tcPr>
          <w:p>
            <w:pPr>
              <w:spacing w:after="0"/>
            </w:pPr>
            <w:r>
              <w:rPr>
                <w:sz w:val="16"/>
              </w:rPr>
              <w:t>INRA/Ministry/MRV team</w:t>
            </w:r>
          </w:p>
        </w:tc>
        <w:tc>
          <w:tcPr>
            <w:tcW w:type="dxa" w:w="1512"/>
            <w:tcMar>
              <w:top w:w="80" w:type="dxa"/>
              <w:start w:w="90" w:type="dxa"/>
              <w:bottom w:w="80" w:type="dxa"/>
              <w:end w:w="90" w:type="dxa"/>
            </w:tcMar>
            <w:vAlign w:val="top"/>
          </w:tcPr>
          <w:p>
            <w:pPr>
              <w:spacing w:after="0"/>
            </w:pPr>
            <w:r>
              <w:rPr>
                <w:sz w:val="16"/>
              </w:rPr>
              <w:t>Immediate data clarification</w:t>
            </w:r>
          </w:p>
        </w:tc>
        <w:tc>
          <w:tcPr>
            <w:tcW w:type="dxa" w:w="1512"/>
            <w:tcMar>
              <w:top w:w="80" w:type="dxa"/>
              <w:start w:w="90" w:type="dxa"/>
              <w:bottom w:w="80" w:type="dxa"/>
              <w:end w:w="90" w:type="dxa"/>
            </w:tcMar>
            <w:vAlign w:val="top"/>
          </w:tcPr>
          <w:p>
            <w:pPr>
              <w:spacing w:after="0"/>
            </w:pPr>
            <w:r>
              <w:rPr>
                <w:sz w:val="16"/>
              </w:rPr>
              <w:t>Explicit information gap</w:t>
            </w:r>
          </w:p>
        </w:tc>
      </w:tr>
      <w:tr>
        <w:tc>
          <w:tcPr>
            <w:tcW w:type="dxa" w:w="4536"/>
            <w:shd w:fill="F8FAFC"/>
            <w:tcMar>
              <w:top w:w="80" w:type="dxa"/>
              <w:start w:w="90" w:type="dxa"/>
              <w:bottom w:w="80" w:type="dxa"/>
              <w:end w:w="90" w:type="dxa"/>
            </w:tcMar>
            <w:vAlign w:val="top"/>
          </w:tcPr>
          <w:p>
            <w:pPr>
              <w:spacing w:after="0"/>
            </w:pPr>
            <w:r>
              <w:rPr>
                <w:sz w:val="16"/>
              </w:rPr>
              <w:t>Continue testing the locally adapted small seeder and provide technical feedback to the manufacturer before mass production.</w:t>
            </w:r>
          </w:p>
        </w:tc>
        <w:tc>
          <w:tcPr>
            <w:tcW w:type="dxa" w:w="1944"/>
            <w:shd w:fill="F8FAFC"/>
            <w:tcMar>
              <w:top w:w="80" w:type="dxa"/>
              <w:start w:w="90" w:type="dxa"/>
              <w:bottom w:w="80" w:type="dxa"/>
              <w:end w:w="90" w:type="dxa"/>
            </w:tcMar>
            <w:vAlign w:val="top"/>
          </w:tcPr>
          <w:p>
            <w:pPr>
              <w:spacing w:after="0"/>
            </w:pPr>
            <w:r>
              <w:rPr>
                <w:sz w:val="16"/>
              </w:rPr>
              <w:t>INRA/ICARDA/manufacturer</w:t>
            </w:r>
          </w:p>
        </w:tc>
        <w:tc>
          <w:tcPr>
            <w:tcW w:type="dxa" w:w="1512"/>
            <w:shd w:fill="F8FAFC"/>
            <w:tcMar>
              <w:top w:w="80" w:type="dxa"/>
              <w:start w:w="90" w:type="dxa"/>
              <w:bottom w:w="80" w:type="dxa"/>
              <w:end w:w="90" w:type="dxa"/>
            </w:tcMar>
            <w:vAlign w:val="top"/>
          </w:tcPr>
          <w:p>
            <w:pPr>
              <w:spacing w:after="0"/>
            </w:pPr>
            <w:r>
              <w:rPr>
                <w:sz w:val="16"/>
              </w:rPr>
              <w:t>2026, ongoing</w:t>
            </w:r>
          </w:p>
        </w:tc>
        <w:tc>
          <w:tcPr>
            <w:tcW w:type="dxa" w:w="1512"/>
            <w:shd w:fill="F8FAFC"/>
            <w:tcMar>
              <w:top w:w="80" w:type="dxa"/>
              <w:start w:w="90" w:type="dxa"/>
              <w:bottom w:w="80" w:type="dxa"/>
              <w:end w:w="90" w:type="dxa"/>
            </w:tcMar>
            <w:vAlign w:val="top"/>
          </w:tcPr>
          <w:p>
            <w:pPr>
              <w:spacing w:after="0"/>
            </w:pPr>
            <w:r>
              <w:rPr>
                <w:sz w:val="16"/>
              </w:rPr>
              <w:t>Explicit commitment</w:t>
            </w:r>
          </w:p>
        </w:tc>
      </w:tr>
      <w:tr>
        <w:tc>
          <w:tcPr>
            <w:tcW w:type="dxa" w:w="4536"/>
            <w:tcMar>
              <w:top w:w="80" w:type="dxa"/>
              <w:start w:w="90" w:type="dxa"/>
              <w:bottom w:w="80" w:type="dxa"/>
              <w:end w:w="90" w:type="dxa"/>
            </w:tcMar>
            <w:vAlign w:val="top"/>
          </w:tcPr>
          <w:p>
            <w:pPr>
              <w:spacing w:after="0"/>
            </w:pPr>
            <w:r>
              <w:rPr>
                <w:sz w:val="16"/>
              </w:rPr>
              <w:t>Develop mass-production and regional-supply options for small, low-cost seeders.</w:t>
            </w:r>
          </w:p>
        </w:tc>
        <w:tc>
          <w:tcPr>
            <w:tcW w:type="dxa" w:w="1944"/>
            <w:tcMar>
              <w:top w:w="80" w:type="dxa"/>
              <w:start w:w="90" w:type="dxa"/>
              <w:bottom w:w="80" w:type="dxa"/>
              <w:end w:w="90" w:type="dxa"/>
            </w:tcMar>
            <w:vAlign w:val="top"/>
          </w:tcPr>
          <w:p>
            <w:pPr>
              <w:spacing w:after="0"/>
            </w:pPr>
            <w:r>
              <w:rPr>
                <w:sz w:val="16"/>
              </w:rPr>
              <w:t>INRA/ICARDA/private sector/Ministry</w:t>
            </w:r>
          </w:p>
        </w:tc>
        <w:tc>
          <w:tcPr>
            <w:tcW w:type="dxa" w:w="1512"/>
            <w:tcMar>
              <w:top w:w="80" w:type="dxa"/>
              <w:start w:w="90" w:type="dxa"/>
              <w:bottom w:w="80" w:type="dxa"/>
              <w:end w:w="90" w:type="dxa"/>
            </w:tcMar>
            <w:vAlign w:val="top"/>
          </w:tcPr>
          <w:p>
            <w:pPr>
              <w:spacing w:after="0"/>
            </w:pPr>
            <w:r>
              <w:rPr>
                <w:sz w:val="16"/>
              </w:rPr>
              <w:t>2026-2027</w:t>
            </w:r>
          </w:p>
        </w:tc>
        <w:tc>
          <w:tcPr>
            <w:tcW w:type="dxa" w:w="1512"/>
            <w:tcMar>
              <w:top w:w="80" w:type="dxa"/>
              <w:start w:w="90" w:type="dxa"/>
              <w:bottom w:w="80" w:type="dxa"/>
              <w:end w:w="90" w:type="dxa"/>
            </w:tcMar>
            <w:vAlign w:val="top"/>
          </w:tcPr>
          <w:p>
            <w:pPr>
              <w:spacing w:after="0"/>
            </w:pPr>
            <w:r>
              <w:rPr>
                <w:sz w:val="16"/>
              </w:rPr>
              <w:t>Explicit direction</w:t>
            </w:r>
          </w:p>
        </w:tc>
      </w:tr>
      <w:tr>
        <w:tc>
          <w:tcPr>
            <w:tcW w:type="dxa" w:w="4536"/>
            <w:shd w:fill="F8FAFC"/>
            <w:tcMar>
              <w:top w:w="80" w:type="dxa"/>
              <w:start w:w="90" w:type="dxa"/>
              <w:bottom w:w="80" w:type="dxa"/>
              <w:end w:w="90" w:type="dxa"/>
            </w:tcMar>
            <w:vAlign w:val="top"/>
          </w:tcPr>
          <w:p>
            <w:pPr>
              <w:spacing w:after="0"/>
            </w:pPr>
            <w:r>
              <w:rPr>
                <w:sz w:val="16"/>
              </w:rPr>
              <w:t>Hold the planned business-model event for no-till service providers.</w:t>
            </w:r>
          </w:p>
        </w:tc>
        <w:tc>
          <w:tcPr>
            <w:tcW w:type="dxa" w:w="1944"/>
            <w:shd w:fill="F8FAFC"/>
            <w:tcMar>
              <w:top w:w="80" w:type="dxa"/>
              <w:start w:w="90" w:type="dxa"/>
              <w:bottom w:w="80" w:type="dxa"/>
              <w:end w:w="90" w:type="dxa"/>
            </w:tcMar>
            <w:vAlign w:val="top"/>
          </w:tcPr>
          <w:p>
            <w:pPr>
              <w:spacing w:after="0"/>
            </w:pPr>
            <w:r>
              <w:rPr>
                <w:sz w:val="16"/>
              </w:rPr>
              <w:t>ICARDA/INRA/S4I partners</w:t>
            </w:r>
          </w:p>
        </w:tc>
        <w:tc>
          <w:tcPr>
            <w:tcW w:type="dxa" w:w="1512"/>
            <w:shd w:fill="F8FAFC"/>
            <w:tcMar>
              <w:top w:w="80" w:type="dxa"/>
              <w:start w:w="90" w:type="dxa"/>
              <w:bottom w:w="80" w:type="dxa"/>
              <w:end w:w="90" w:type="dxa"/>
            </w:tcMar>
            <w:vAlign w:val="top"/>
          </w:tcPr>
          <w:p>
            <w:pPr>
              <w:spacing w:after="0"/>
            </w:pPr>
            <w:r>
              <w:rPr>
                <w:sz w:val="16"/>
              </w:rPr>
              <w:t>October 2026</w:t>
            </w:r>
          </w:p>
        </w:tc>
        <w:tc>
          <w:tcPr>
            <w:tcW w:type="dxa" w:w="1512"/>
            <w:shd w:fill="F8FAFC"/>
            <w:tcMar>
              <w:top w:w="80" w:type="dxa"/>
              <w:start w:w="90" w:type="dxa"/>
              <w:bottom w:w="80" w:type="dxa"/>
              <w:end w:w="90" w:type="dxa"/>
            </w:tcMar>
            <w:vAlign w:val="top"/>
          </w:tcPr>
          <w:p>
            <w:pPr>
              <w:spacing w:after="0"/>
            </w:pPr>
            <w:r>
              <w:rPr>
                <w:sz w:val="16"/>
              </w:rPr>
              <w:t>Explicit plan</w:t>
            </w:r>
          </w:p>
        </w:tc>
      </w:tr>
      <w:tr>
        <w:tc>
          <w:tcPr>
            <w:tcW w:type="dxa" w:w="4536"/>
            <w:tcMar>
              <w:top w:w="80" w:type="dxa"/>
              <w:start w:w="90" w:type="dxa"/>
              <w:bottom w:w="80" w:type="dxa"/>
              <w:end w:w="90" w:type="dxa"/>
            </w:tcMar>
            <w:vAlign w:val="top"/>
          </w:tcPr>
          <w:p>
            <w:pPr>
              <w:spacing w:after="0"/>
            </w:pPr>
            <w:r>
              <w:rPr>
                <w:sz w:val="16"/>
              </w:rPr>
              <w:t>Hold a policy dialogue/review of the conservation-agriculture roadmap.</w:t>
            </w:r>
          </w:p>
        </w:tc>
        <w:tc>
          <w:tcPr>
            <w:tcW w:type="dxa" w:w="1944"/>
            <w:tcMar>
              <w:top w:w="80" w:type="dxa"/>
              <w:start w:w="90" w:type="dxa"/>
              <w:bottom w:w="80" w:type="dxa"/>
              <w:end w:w="90" w:type="dxa"/>
            </w:tcMar>
            <w:vAlign w:val="top"/>
          </w:tcPr>
          <w:p>
            <w:pPr>
              <w:spacing w:after="0"/>
            </w:pPr>
            <w:r>
              <w:rPr>
                <w:sz w:val="16"/>
              </w:rPr>
              <w:t>INRA/Ministry/ICARDA</w:t>
            </w:r>
          </w:p>
        </w:tc>
        <w:tc>
          <w:tcPr>
            <w:tcW w:type="dxa" w:w="1512"/>
            <w:tcMar>
              <w:top w:w="80" w:type="dxa"/>
              <w:start w:w="90" w:type="dxa"/>
              <w:bottom w:w="80" w:type="dxa"/>
              <w:end w:w="90" w:type="dxa"/>
            </w:tcMar>
            <w:vAlign w:val="top"/>
          </w:tcPr>
          <w:p>
            <w:pPr>
              <w:spacing w:after="0"/>
            </w:pPr>
            <w:r>
              <w:rPr>
                <w:sz w:val="16"/>
              </w:rPr>
              <w:t>Approximately November 2026</w:t>
            </w:r>
          </w:p>
        </w:tc>
        <w:tc>
          <w:tcPr>
            <w:tcW w:type="dxa" w:w="1512"/>
            <w:tcMar>
              <w:top w:w="80" w:type="dxa"/>
              <w:start w:w="90" w:type="dxa"/>
              <w:bottom w:w="80" w:type="dxa"/>
              <w:end w:w="90" w:type="dxa"/>
            </w:tcMar>
            <w:vAlign w:val="top"/>
          </w:tcPr>
          <w:p>
            <w:pPr>
              <w:spacing w:after="0"/>
            </w:pPr>
            <w:r>
              <w:rPr>
                <w:sz w:val="16"/>
              </w:rPr>
              <w:t>Explicit plan</w:t>
            </w:r>
          </w:p>
        </w:tc>
      </w:tr>
      <w:tr>
        <w:tc>
          <w:tcPr>
            <w:tcW w:type="dxa" w:w="4536"/>
            <w:shd w:fill="F8FAFC"/>
            <w:tcMar>
              <w:top w:w="80" w:type="dxa"/>
              <w:start w:w="90" w:type="dxa"/>
              <w:bottom w:w="80" w:type="dxa"/>
              <w:end w:w="90" w:type="dxa"/>
            </w:tcMar>
            <w:vAlign w:val="top"/>
          </w:tcPr>
          <w:p>
            <w:pPr>
              <w:spacing w:after="0"/>
            </w:pPr>
            <w:r>
              <w:rPr>
                <w:sz w:val="16"/>
              </w:rPr>
              <w:t>Conduct further service-provider and cooperative training before sowing.</w:t>
            </w:r>
          </w:p>
        </w:tc>
        <w:tc>
          <w:tcPr>
            <w:tcW w:type="dxa" w:w="1944"/>
            <w:shd w:fill="F8FAFC"/>
            <w:tcMar>
              <w:top w:w="80" w:type="dxa"/>
              <w:start w:w="90" w:type="dxa"/>
              <w:bottom w:w="80" w:type="dxa"/>
              <w:end w:w="90" w:type="dxa"/>
            </w:tcMar>
            <w:vAlign w:val="top"/>
          </w:tcPr>
          <w:p>
            <w:pPr>
              <w:spacing w:after="0"/>
            </w:pPr>
            <w:r>
              <w:rPr>
                <w:sz w:val="16"/>
              </w:rPr>
              <w:t>ONCA/INRA/ICARDA</w:t>
            </w:r>
          </w:p>
        </w:tc>
        <w:tc>
          <w:tcPr>
            <w:tcW w:type="dxa" w:w="1512"/>
            <w:shd w:fill="F8FAFC"/>
            <w:tcMar>
              <w:top w:w="80" w:type="dxa"/>
              <w:start w:w="90" w:type="dxa"/>
              <w:bottom w:w="80" w:type="dxa"/>
              <w:end w:w="90" w:type="dxa"/>
            </w:tcMar>
            <w:vAlign w:val="top"/>
          </w:tcPr>
          <w:p>
            <w:pPr>
              <w:spacing w:after="0"/>
            </w:pPr>
            <w:r>
              <w:rPr>
                <w:sz w:val="16"/>
              </w:rPr>
              <w:t>Before next planting season</w:t>
            </w:r>
          </w:p>
        </w:tc>
        <w:tc>
          <w:tcPr>
            <w:tcW w:type="dxa" w:w="1512"/>
            <w:shd w:fill="F8FAFC"/>
            <w:tcMar>
              <w:top w:w="80" w:type="dxa"/>
              <w:start w:w="90" w:type="dxa"/>
              <w:bottom w:w="80" w:type="dxa"/>
              <w:end w:w="90" w:type="dxa"/>
            </w:tcMar>
            <w:vAlign w:val="top"/>
          </w:tcPr>
          <w:p>
            <w:pPr>
              <w:spacing w:after="0"/>
            </w:pPr>
            <w:r>
              <w:rPr>
                <w:sz w:val="16"/>
              </w:rPr>
              <w:t>Explicit plan</w:t>
            </w:r>
          </w:p>
        </w:tc>
      </w:tr>
      <w:tr>
        <w:tc>
          <w:tcPr>
            <w:tcW w:type="dxa" w:w="4536"/>
            <w:tcMar>
              <w:top w:w="80" w:type="dxa"/>
              <w:start w:w="90" w:type="dxa"/>
              <w:bottom w:w="80" w:type="dxa"/>
              <w:end w:w="90" w:type="dxa"/>
            </w:tcMar>
            <w:vAlign w:val="top"/>
          </w:tcPr>
          <w:p>
            <w:pPr>
              <w:spacing w:after="0"/>
            </w:pPr>
            <w:r>
              <w:rPr>
                <w:sz w:val="16"/>
              </w:rPr>
              <w:t>Continue lobbying to extend machinery subsidies to non-farmer service providers.</w:t>
            </w:r>
          </w:p>
        </w:tc>
        <w:tc>
          <w:tcPr>
            <w:tcW w:type="dxa" w:w="1944"/>
            <w:tcMar>
              <w:top w:w="80" w:type="dxa"/>
              <w:start w:w="90" w:type="dxa"/>
              <w:bottom w:w="80" w:type="dxa"/>
              <w:end w:w="90" w:type="dxa"/>
            </w:tcMar>
            <w:vAlign w:val="top"/>
          </w:tcPr>
          <w:p>
            <w:pPr>
              <w:spacing w:after="0"/>
            </w:pPr>
            <w:r>
              <w:rPr>
                <w:sz w:val="16"/>
              </w:rPr>
              <w:t>INRA economists/Ministry partners</w:t>
            </w:r>
          </w:p>
        </w:tc>
        <w:tc>
          <w:tcPr>
            <w:tcW w:type="dxa" w:w="1512"/>
            <w:tcMar>
              <w:top w:w="80" w:type="dxa"/>
              <w:start w:w="90" w:type="dxa"/>
              <w:bottom w:w="80" w:type="dxa"/>
              <w:end w:w="90" w:type="dxa"/>
            </w:tcMar>
            <w:vAlign w:val="top"/>
          </w:tcPr>
          <w:p>
            <w:pPr>
              <w:spacing w:after="0"/>
            </w:pPr>
            <w:r>
              <w:rPr>
                <w:sz w:val="16"/>
              </w:rPr>
              <w:t>Policy follow-up</w:t>
            </w:r>
          </w:p>
        </w:tc>
        <w:tc>
          <w:tcPr>
            <w:tcW w:type="dxa" w:w="1512"/>
            <w:tcMar>
              <w:top w:w="80" w:type="dxa"/>
              <w:start w:w="90" w:type="dxa"/>
              <w:bottom w:w="80" w:type="dxa"/>
              <w:end w:w="90" w:type="dxa"/>
            </w:tcMar>
            <w:vAlign w:val="top"/>
          </w:tcPr>
          <w:p>
            <w:pPr>
              <w:spacing w:after="0"/>
            </w:pPr>
            <w:r>
              <w:rPr>
                <w:sz w:val="16"/>
              </w:rPr>
              <w:t>Explicit advocacy</w:t>
            </w:r>
          </w:p>
        </w:tc>
      </w:tr>
      <w:tr>
        <w:tc>
          <w:tcPr>
            <w:tcW w:type="dxa" w:w="4536"/>
            <w:shd w:fill="F8FAFC"/>
            <w:tcMar>
              <w:top w:w="80" w:type="dxa"/>
              <w:start w:w="90" w:type="dxa"/>
              <w:bottom w:w="80" w:type="dxa"/>
              <w:end w:w="90" w:type="dxa"/>
            </w:tcMar>
            <w:vAlign w:val="top"/>
          </w:tcPr>
          <w:p>
            <w:pPr>
              <w:spacing w:after="0"/>
            </w:pPr>
            <w:r>
              <w:rPr>
                <w:sz w:val="16"/>
              </w:rPr>
              <w:t>Investigate constraints beyond machine availability, including adoption, disadoption and subsidy dependence.</w:t>
            </w:r>
          </w:p>
        </w:tc>
        <w:tc>
          <w:tcPr>
            <w:tcW w:type="dxa" w:w="1944"/>
            <w:shd w:fill="F8FAFC"/>
            <w:tcMar>
              <w:top w:w="80" w:type="dxa"/>
              <w:start w:w="90" w:type="dxa"/>
              <w:bottom w:w="80" w:type="dxa"/>
              <w:end w:w="90" w:type="dxa"/>
            </w:tcMar>
            <w:vAlign w:val="top"/>
          </w:tcPr>
          <w:p>
            <w:pPr>
              <w:spacing w:after="0"/>
            </w:pPr>
            <w:r>
              <w:rPr>
                <w:sz w:val="16"/>
              </w:rPr>
              <w:t>INRA/ICARDA social and economic team</w:t>
            </w:r>
          </w:p>
        </w:tc>
        <w:tc>
          <w:tcPr>
            <w:tcW w:type="dxa" w:w="1512"/>
            <w:shd w:fill="F8FAFC"/>
            <w:tcMar>
              <w:top w:w="80" w:type="dxa"/>
              <w:start w:w="90" w:type="dxa"/>
              <w:bottom w:w="80" w:type="dxa"/>
              <w:end w:w="90" w:type="dxa"/>
            </w:tcMar>
            <w:vAlign w:val="top"/>
          </w:tcPr>
          <w:p>
            <w:pPr>
              <w:spacing w:after="0"/>
            </w:pPr>
            <w:r>
              <w:rPr>
                <w:sz w:val="16"/>
              </w:rPr>
              <w:t>2026-2027</w:t>
            </w:r>
          </w:p>
        </w:tc>
        <w:tc>
          <w:tcPr>
            <w:tcW w:type="dxa" w:w="1512"/>
            <w:shd w:fill="F8FAFC"/>
            <w:tcMar>
              <w:top w:w="80" w:type="dxa"/>
              <w:start w:w="90" w:type="dxa"/>
              <w:bottom w:w="80" w:type="dxa"/>
              <w:end w:w="90" w:type="dxa"/>
            </w:tcMar>
            <w:vAlign w:val="top"/>
          </w:tcPr>
          <w:p>
            <w:pPr>
              <w:spacing w:after="0"/>
            </w:pPr>
            <w:r>
              <w:rPr>
                <w:sz w:val="16"/>
              </w:rPr>
              <w:t>Explicit recommendation accepted</w:t>
            </w:r>
          </w:p>
        </w:tc>
      </w:tr>
      <w:tr>
        <w:tc>
          <w:tcPr>
            <w:tcW w:type="dxa" w:w="4536"/>
            <w:tcMar>
              <w:top w:w="80" w:type="dxa"/>
              <w:start w:w="90" w:type="dxa"/>
              <w:bottom w:w="80" w:type="dxa"/>
              <w:end w:w="90" w:type="dxa"/>
            </w:tcMar>
            <w:vAlign w:val="top"/>
          </w:tcPr>
          <w:p>
            <w:pPr>
              <w:spacing w:after="0"/>
            </w:pPr>
            <w:r>
              <w:rPr>
                <w:sz w:val="16"/>
              </w:rPr>
              <w:t>Develop provider-specific business cases and compare performance across provider types.</w:t>
            </w:r>
          </w:p>
        </w:tc>
        <w:tc>
          <w:tcPr>
            <w:tcW w:type="dxa" w:w="1944"/>
            <w:tcMar>
              <w:top w:w="80" w:type="dxa"/>
              <w:start w:w="90" w:type="dxa"/>
              <w:bottom w:w="80" w:type="dxa"/>
              <w:end w:w="90" w:type="dxa"/>
            </w:tcMar>
            <w:vAlign w:val="top"/>
          </w:tcPr>
          <w:p>
            <w:pPr>
              <w:spacing w:after="0"/>
            </w:pPr>
            <w:r>
              <w:rPr>
                <w:sz w:val="16"/>
              </w:rPr>
              <w:t>ICARDA/INRA economists</w:t>
            </w:r>
          </w:p>
        </w:tc>
        <w:tc>
          <w:tcPr>
            <w:tcW w:type="dxa" w:w="1512"/>
            <w:tcMar>
              <w:top w:w="80" w:type="dxa"/>
              <w:start w:w="90" w:type="dxa"/>
              <w:bottom w:w="80" w:type="dxa"/>
              <w:end w:w="90" w:type="dxa"/>
            </w:tcMar>
            <w:vAlign w:val="top"/>
          </w:tcPr>
          <w:p>
            <w:pPr>
              <w:spacing w:after="0"/>
            </w:pPr>
            <w:r>
              <w:rPr>
                <w:sz w:val="16"/>
              </w:rPr>
              <w:t>2026-2027</w:t>
            </w:r>
          </w:p>
        </w:tc>
        <w:tc>
          <w:tcPr>
            <w:tcW w:type="dxa" w:w="1512"/>
            <w:tcMar>
              <w:top w:w="80" w:type="dxa"/>
              <w:start w:w="90" w:type="dxa"/>
              <w:bottom w:w="80" w:type="dxa"/>
              <w:end w:w="90" w:type="dxa"/>
            </w:tcMar>
            <w:vAlign w:val="top"/>
          </w:tcPr>
          <w:p>
            <w:pPr>
              <w:spacing w:after="0"/>
            </w:pPr>
            <w:r>
              <w:rPr>
                <w:sz w:val="16"/>
              </w:rPr>
              <w:t>Coaching recommendation</w:t>
            </w:r>
          </w:p>
        </w:tc>
      </w:tr>
      <w:tr>
        <w:tc>
          <w:tcPr>
            <w:tcW w:type="dxa" w:w="4536"/>
            <w:shd w:fill="F8FAFC"/>
            <w:tcMar>
              <w:top w:w="80" w:type="dxa"/>
              <w:start w:w="90" w:type="dxa"/>
              <w:bottom w:w="80" w:type="dxa"/>
              <w:end w:w="90" w:type="dxa"/>
            </w:tcMar>
            <w:vAlign w:val="top"/>
          </w:tcPr>
          <w:p>
            <w:pPr>
              <w:spacing w:after="0"/>
            </w:pPr>
            <w:r>
              <w:rPr>
                <w:sz w:val="16"/>
              </w:rPr>
              <w:t>Build a structured farmer-feedback and machine-quality system.</w:t>
            </w:r>
          </w:p>
        </w:tc>
        <w:tc>
          <w:tcPr>
            <w:tcW w:type="dxa" w:w="1944"/>
            <w:shd w:fill="F8FAFC"/>
            <w:tcMar>
              <w:top w:w="80" w:type="dxa"/>
              <w:start w:w="90" w:type="dxa"/>
              <w:bottom w:w="80" w:type="dxa"/>
              <w:end w:w="90" w:type="dxa"/>
            </w:tcMar>
            <w:vAlign w:val="top"/>
          </w:tcPr>
          <w:p>
            <w:pPr>
              <w:spacing w:after="0"/>
            </w:pPr>
            <w:r>
              <w:rPr>
                <w:sz w:val="16"/>
              </w:rPr>
              <w:t>INRA/ICARDA/manufacturers</w:t>
            </w:r>
          </w:p>
        </w:tc>
        <w:tc>
          <w:tcPr>
            <w:tcW w:type="dxa" w:w="1512"/>
            <w:shd w:fill="F8FAFC"/>
            <w:tcMar>
              <w:top w:w="80" w:type="dxa"/>
              <w:start w:w="90" w:type="dxa"/>
              <w:bottom w:w="80" w:type="dxa"/>
              <w:end w:w="90" w:type="dxa"/>
            </w:tcMar>
            <w:vAlign w:val="top"/>
          </w:tcPr>
          <w:p>
            <w:pPr>
              <w:spacing w:after="0"/>
            </w:pPr>
            <w:r>
              <w:rPr>
                <w:sz w:val="16"/>
              </w:rPr>
              <w:t>2026-2027</w:t>
            </w:r>
          </w:p>
        </w:tc>
        <w:tc>
          <w:tcPr>
            <w:tcW w:type="dxa" w:w="1512"/>
            <w:shd w:fill="F8FAFC"/>
            <w:tcMar>
              <w:top w:w="80" w:type="dxa"/>
              <w:start w:w="90" w:type="dxa"/>
              <w:bottom w:w="80" w:type="dxa"/>
              <w:end w:w="90" w:type="dxa"/>
            </w:tcMar>
            <w:vAlign w:val="top"/>
          </w:tcPr>
          <w:p>
            <w:pPr>
              <w:spacing w:after="0"/>
            </w:pPr>
            <w:r>
              <w:rPr>
                <w:sz w:val="16"/>
              </w:rPr>
              <w:t>Coaching recommendation</w:t>
            </w:r>
          </w:p>
        </w:tc>
      </w:tr>
      <w:tr>
        <w:tc>
          <w:tcPr>
            <w:tcW w:type="dxa" w:w="4536"/>
            <w:tcMar>
              <w:top w:w="80" w:type="dxa"/>
              <w:start w:w="90" w:type="dxa"/>
              <w:bottom w:w="80" w:type="dxa"/>
              <w:end w:w="90" w:type="dxa"/>
            </w:tcMar>
            <w:vAlign w:val="top"/>
          </w:tcPr>
          <w:p>
            <w:pPr>
              <w:spacing w:after="0"/>
            </w:pPr>
            <w:r>
              <w:rPr>
                <w:sz w:val="16"/>
              </w:rPr>
              <w:t>Continue G0/G1 production, supplementary irrigation and seed-cleaning support.</w:t>
            </w:r>
          </w:p>
        </w:tc>
        <w:tc>
          <w:tcPr>
            <w:tcW w:type="dxa" w:w="1944"/>
            <w:tcMar>
              <w:top w:w="80" w:type="dxa"/>
              <w:start w:w="90" w:type="dxa"/>
              <w:bottom w:w="80" w:type="dxa"/>
              <w:end w:w="90" w:type="dxa"/>
            </w:tcMar>
            <w:vAlign w:val="top"/>
          </w:tcPr>
          <w:p>
            <w:pPr>
              <w:spacing w:after="0"/>
            </w:pPr>
            <w:r>
              <w:rPr>
                <w:sz w:val="16"/>
              </w:rPr>
              <w:t>INRA/ICARDA/Sonacos partners</w:t>
            </w:r>
          </w:p>
        </w:tc>
        <w:tc>
          <w:tcPr>
            <w:tcW w:type="dxa" w:w="1512"/>
            <w:tcMar>
              <w:top w:w="80" w:type="dxa"/>
              <w:start w:w="90" w:type="dxa"/>
              <w:bottom w:w="80" w:type="dxa"/>
              <w:end w:w="90" w:type="dxa"/>
            </w:tcMar>
            <w:vAlign w:val="top"/>
          </w:tcPr>
          <w:p>
            <w:pPr>
              <w:spacing w:after="0"/>
            </w:pPr>
            <w:r>
              <w:rPr>
                <w:sz w:val="16"/>
              </w:rPr>
              <w:t>Ongoing</w:t>
            </w:r>
          </w:p>
        </w:tc>
        <w:tc>
          <w:tcPr>
            <w:tcW w:type="dxa" w:w="1512"/>
            <w:tcMar>
              <w:top w:w="80" w:type="dxa"/>
              <w:start w:w="90" w:type="dxa"/>
              <w:bottom w:w="80" w:type="dxa"/>
              <w:end w:w="90" w:type="dxa"/>
            </w:tcMar>
            <w:vAlign w:val="top"/>
          </w:tcPr>
          <w:p>
            <w:pPr>
              <w:spacing w:after="0"/>
            </w:pPr>
            <w:r>
              <w:rPr>
                <w:sz w:val="16"/>
              </w:rPr>
              <w:t>Explicit activity</w:t>
            </w:r>
          </w:p>
        </w:tc>
      </w:tr>
      <w:tr>
        <w:tc>
          <w:tcPr>
            <w:tcW w:type="dxa" w:w="4536"/>
            <w:shd w:fill="F8FAFC"/>
            <w:tcMar>
              <w:top w:w="80" w:type="dxa"/>
              <w:start w:w="90" w:type="dxa"/>
              <w:bottom w:w="80" w:type="dxa"/>
              <w:end w:w="90" w:type="dxa"/>
            </w:tcMar>
            <w:vAlign w:val="top"/>
          </w:tcPr>
          <w:p>
            <w:pPr>
              <w:spacing w:after="0"/>
            </w:pPr>
            <w:r>
              <w:rPr>
                <w:sz w:val="16"/>
              </w:rPr>
              <w:t>Advance the Seed Alliance and proposed reform of subsidies and seed-system incentives.</w:t>
            </w:r>
          </w:p>
        </w:tc>
        <w:tc>
          <w:tcPr>
            <w:tcW w:type="dxa" w:w="1944"/>
            <w:shd w:fill="F8FAFC"/>
            <w:tcMar>
              <w:top w:w="80" w:type="dxa"/>
              <w:start w:w="90" w:type="dxa"/>
              <w:bottom w:w="80" w:type="dxa"/>
              <w:end w:w="90" w:type="dxa"/>
            </w:tcMar>
            <w:vAlign w:val="top"/>
          </w:tcPr>
          <w:p>
            <w:pPr>
              <w:spacing w:after="0"/>
            </w:pPr>
            <w:r>
              <w:rPr>
                <w:sz w:val="16"/>
              </w:rPr>
              <w:t>INRA/ICARDA/IDRC/Ministry/Sonacos</w:t>
            </w:r>
          </w:p>
        </w:tc>
        <w:tc>
          <w:tcPr>
            <w:tcW w:type="dxa" w:w="1512"/>
            <w:shd w:fill="F8FAFC"/>
            <w:tcMar>
              <w:top w:w="80" w:type="dxa"/>
              <w:start w:w="90" w:type="dxa"/>
              <w:bottom w:w="80" w:type="dxa"/>
              <w:end w:w="90" w:type="dxa"/>
            </w:tcMar>
            <w:vAlign w:val="top"/>
          </w:tcPr>
          <w:p>
            <w:pPr>
              <w:spacing w:after="0"/>
            </w:pPr>
            <w:r>
              <w:rPr>
                <w:sz w:val="16"/>
              </w:rPr>
              <w:t>Ongoing</w:t>
            </w:r>
          </w:p>
        </w:tc>
        <w:tc>
          <w:tcPr>
            <w:tcW w:type="dxa" w:w="1512"/>
            <w:shd w:fill="F8FAFC"/>
            <w:tcMar>
              <w:top w:w="80" w:type="dxa"/>
              <w:start w:w="90" w:type="dxa"/>
              <w:bottom w:w="80" w:type="dxa"/>
              <w:end w:w="90" w:type="dxa"/>
            </w:tcMar>
            <w:vAlign w:val="top"/>
          </w:tcPr>
          <w:p>
            <w:pPr>
              <w:spacing w:after="0"/>
            </w:pPr>
            <w:r>
              <w:rPr>
                <w:sz w:val="16"/>
              </w:rPr>
              <w:t>Explicit activity</w:t>
            </w:r>
          </w:p>
        </w:tc>
      </w:tr>
      <w:tr>
        <w:tc>
          <w:tcPr>
            <w:tcW w:type="dxa" w:w="4536"/>
            <w:tcMar>
              <w:top w:w="80" w:type="dxa"/>
              <w:start w:w="90" w:type="dxa"/>
              <w:bottom w:w="80" w:type="dxa"/>
              <w:end w:w="90" w:type="dxa"/>
            </w:tcMar>
            <w:vAlign w:val="top"/>
          </w:tcPr>
          <w:p>
            <w:pPr>
              <w:spacing w:after="0"/>
            </w:pPr>
            <w:r>
              <w:rPr>
                <w:sz w:val="16"/>
              </w:rPr>
              <w:t>Develop a performance-based incentive concept for machine utilization and ecosystem services.</w:t>
            </w:r>
          </w:p>
        </w:tc>
        <w:tc>
          <w:tcPr>
            <w:tcW w:type="dxa" w:w="1944"/>
            <w:tcMar>
              <w:top w:w="80" w:type="dxa"/>
              <w:start w:w="90" w:type="dxa"/>
              <w:bottom w:w="80" w:type="dxa"/>
              <w:end w:w="90" w:type="dxa"/>
            </w:tcMar>
            <w:vAlign w:val="top"/>
          </w:tcPr>
          <w:p>
            <w:pPr>
              <w:spacing w:after="0"/>
            </w:pPr>
            <w:r>
              <w:rPr>
                <w:sz w:val="16"/>
              </w:rPr>
              <w:t>Economics/policy team</w:t>
            </w:r>
          </w:p>
        </w:tc>
        <w:tc>
          <w:tcPr>
            <w:tcW w:type="dxa" w:w="1512"/>
            <w:tcMar>
              <w:top w:w="80" w:type="dxa"/>
              <w:start w:w="90" w:type="dxa"/>
              <w:bottom w:w="80" w:type="dxa"/>
              <w:end w:w="90" w:type="dxa"/>
            </w:tcMar>
            <w:vAlign w:val="top"/>
          </w:tcPr>
          <w:p>
            <w:pPr>
              <w:spacing w:after="0"/>
            </w:pPr>
            <w:r>
              <w:rPr>
                <w:sz w:val="16"/>
              </w:rPr>
              <w:t>For testing/design</w:t>
            </w:r>
          </w:p>
        </w:tc>
        <w:tc>
          <w:tcPr>
            <w:tcW w:type="dxa" w:w="1512"/>
            <w:tcMar>
              <w:top w:w="80" w:type="dxa"/>
              <w:start w:w="90" w:type="dxa"/>
              <w:bottom w:w="80" w:type="dxa"/>
              <w:end w:w="90" w:type="dxa"/>
            </w:tcMar>
            <w:vAlign w:val="top"/>
          </w:tcPr>
          <w:p>
            <w:pPr>
              <w:spacing w:after="0"/>
            </w:pPr>
            <w:r>
              <w:rPr>
                <w:sz w:val="16"/>
              </w:rPr>
              <w:t>Coaching recommendation</w:t>
            </w:r>
          </w:p>
        </w:tc>
      </w:tr>
      <w:tr>
        <w:tc>
          <w:tcPr>
            <w:tcW w:type="dxa" w:w="4536"/>
            <w:shd w:fill="F8FAFC"/>
            <w:tcMar>
              <w:top w:w="80" w:type="dxa"/>
              <w:start w:w="90" w:type="dxa"/>
              <w:bottom w:w="80" w:type="dxa"/>
              <w:end w:w="90" w:type="dxa"/>
            </w:tcMar>
            <w:vAlign w:val="top"/>
          </w:tcPr>
          <w:p>
            <w:pPr>
              <w:spacing w:after="0"/>
            </w:pPr>
            <w:r>
              <w:rPr>
                <w:sz w:val="16"/>
              </w:rPr>
              <w:t>Prepare disaggregated annual scenarios to 2030.</w:t>
            </w:r>
          </w:p>
        </w:tc>
        <w:tc>
          <w:tcPr>
            <w:tcW w:type="dxa" w:w="1944"/>
            <w:shd w:fill="F8FAFC"/>
            <w:tcMar>
              <w:top w:w="80" w:type="dxa"/>
              <w:start w:w="90" w:type="dxa"/>
              <w:bottom w:w="80" w:type="dxa"/>
              <w:end w:w="90" w:type="dxa"/>
            </w:tcMar>
            <w:vAlign w:val="top"/>
          </w:tcPr>
          <w:p>
            <w:pPr>
              <w:spacing w:after="0"/>
            </w:pPr>
            <w:r>
              <w:rPr>
                <w:sz w:val="16"/>
              </w:rPr>
              <w:t>Solution-track leadership</w:t>
            </w:r>
          </w:p>
        </w:tc>
        <w:tc>
          <w:tcPr>
            <w:tcW w:type="dxa" w:w="1512"/>
            <w:shd w:fill="F8FAFC"/>
            <w:tcMar>
              <w:top w:w="80" w:type="dxa"/>
              <w:start w:w="90" w:type="dxa"/>
              <w:bottom w:w="80" w:type="dxa"/>
              <w:end w:w="90" w:type="dxa"/>
            </w:tcMar>
            <w:vAlign w:val="top"/>
          </w:tcPr>
          <w:p>
            <w:pPr>
              <w:spacing w:after="0"/>
            </w:pPr>
            <w:r>
              <w:rPr>
                <w:sz w:val="16"/>
              </w:rPr>
              <w:t>Before 2027 proposal</w:t>
            </w:r>
          </w:p>
        </w:tc>
        <w:tc>
          <w:tcPr>
            <w:tcW w:type="dxa" w:w="1512"/>
            <w:shd w:fill="F8FAFC"/>
            <w:tcMar>
              <w:top w:w="80" w:type="dxa"/>
              <w:start w:w="90" w:type="dxa"/>
              <w:bottom w:w="80" w:type="dxa"/>
              <w:end w:w="90" w:type="dxa"/>
            </w:tcMar>
            <w:vAlign w:val="top"/>
          </w:tcPr>
          <w:p>
            <w:pPr>
              <w:spacing w:after="0"/>
            </w:pPr>
            <w:r>
              <w:rPr>
                <w:sz w:val="16"/>
              </w:rPr>
              <w:t>Coaching recommendation</w:t>
            </w:r>
          </w:p>
        </w:tc>
      </w:tr>
      <w:tr>
        <w:tc>
          <w:tcPr>
            <w:tcW w:type="dxa" w:w="4536"/>
            <w:tcMar>
              <w:top w:w="80" w:type="dxa"/>
              <w:start w:w="90" w:type="dxa"/>
              <w:bottom w:w="80" w:type="dxa"/>
              <w:end w:w="90" w:type="dxa"/>
            </w:tcMar>
            <w:vAlign w:val="top"/>
          </w:tcPr>
          <w:p>
            <w:pPr>
              <w:spacing w:after="0"/>
            </w:pPr>
            <w:r>
              <w:rPr>
                <w:sz w:val="16"/>
              </w:rPr>
              <w:t>Arrange an in-person field and partner visit if Richard travels to Morocco.</w:t>
            </w:r>
          </w:p>
        </w:tc>
        <w:tc>
          <w:tcPr>
            <w:tcW w:type="dxa" w:w="1944"/>
            <w:tcMar>
              <w:top w:w="80" w:type="dxa"/>
              <w:start w:w="90" w:type="dxa"/>
              <w:bottom w:w="80" w:type="dxa"/>
              <w:end w:w="90" w:type="dxa"/>
            </w:tcMar>
            <w:vAlign w:val="top"/>
          </w:tcPr>
          <w:p>
            <w:pPr>
              <w:spacing w:after="0"/>
            </w:pPr>
            <w:r>
              <w:rPr>
                <w:sz w:val="16"/>
              </w:rPr>
              <w:t>Rhiannon/ICARDA/INRA</w:t>
            </w:r>
          </w:p>
        </w:tc>
        <w:tc>
          <w:tcPr>
            <w:tcW w:type="dxa" w:w="1512"/>
            <w:tcMar>
              <w:top w:w="80" w:type="dxa"/>
              <w:start w:w="90" w:type="dxa"/>
              <w:bottom w:w="80" w:type="dxa"/>
              <w:end w:w="90" w:type="dxa"/>
            </w:tcMar>
            <w:vAlign w:val="top"/>
          </w:tcPr>
          <w:p>
            <w:pPr>
              <w:spacing w:after="0"/>
            </w:pPr>
            <w:r>
              <w:rPr>
                <w:sz w:val="16"/>
              </w:rPr>
              <w:t>October-November 2026, tentative</w:t>
            </w:r>
          </w:p>
        </w:tc>
        <w:tc>
          <w:tcPr>
            <w:tcW w:type="dxa" w:w="1512"/>
            <w:tcMar>
              <w:top w:w="80" w:type="dxa"/>
              <w:start w:w="90" w:type="dxa"/>
              <w:bottom w:w="80" w:type="dxa"/>
              <w:end w:w="90" w:type="dxa"/>
            </w:tcMar>
            <w:vAlign w:val="top"/>
          </w:tcPr>
          <w:p>
            <w:pPr>
              <w:spacing w:after="0"/>
            </w:pPr>
            <w:r>
              <w:rPr>
                <w:sz w:val="16"/>
              </w:rPr>
              <w:t>Invitation discussed</w:t>
            </w:r>
          </w:p>
        </w:tc>
      </w:tr>
    </w:tbl>
    <w:p>
      <w:pPr>
        <w:spacing w:after="0"/>
      </w:pPr>
    </w:p>
    <w:p>
      <w:pPr>
        <w:pStyle w:val="Heading1"/>
      </w:pPr>
      <w:r>
        <w:t>18. Outstanding questions and evidence gaps</w:t>
      </w:r>
    </w:p>
    <w:p>
      <w:pPr>
        <w:pStyle w:val="ListBullet"/>
        <w:spacing w:after="56"/>
      </w:pPr>
      <w:r>
        <w:t>What exact practice qualifies a hectare for the national conservation-agriculture total?</w:t>
      </w:r>
    </w:p>
    <w:p>
      <w:pPr>
        <w:pStyle w:val="ListBullet"/>
        <w:spacing w:after="56"/>
      </w:pPr>
      <w:r>
        <w:t>How many hectares reflect no-till only, two pillars, all three pillars and enhanced packages?</w:t>
      </w:r>
    </w:p>
    <w:p>
      <w:pPr>
        <w:pStyle w:val="ListBullet"/>
        <w:spacing w:after="56"/>
      </w:pPr>
      <w:r>
        <w:t>How many public, private, cooperative and service-provider seeders are currently operational?</w:t>
      </w:r>
    </w:p>
    <w:p>
      <w:pPr>
        <w:pStyle w:val="ListBullet"/>
        <w:spacing w:after="56"/>
      </w:pPr>
      <w:r>
        <w:t>What proportion of distributed machines is fully utilized, underutilized, nonfunctional or used for conventional operations?</w:t>
      </w:r>
    </w:p>
    <w:p>
      <w:pPr>
        <w:pStyle w:val="ListBullet"/>
        <w:spacing w:after="56"/>
      </w:pPr>
      <w:r>
        <w:t>What annual hectare capacity is realistic by machine size, region, seeding window, field size and travel distance?</w:t>
      </w:r>
    </w:p>
    <w:p>
      <w:pPr>
        <w:pStyle w:val="ListBullet"/>
        <w:spacing w:after="56"/>
      </w:pPr>
      <w:r>
        <w:t>Which service-provider models are most profitable and inclusive in which contexts?</w:t>
      </w:r>
    </w:p>
    <w:p>
      <w:pPr>
        <w:pStyle w:val="ListBullet"/>
        <w:spacing w:after="56"/>
      </w:pPr>
      <w:r>
        <w:t>How strong and geographically accessible are spare-parts and repair networks?</w:t>
      </w:r>
    </w:p>
    <w:p>
      <w:pPr>
        <w:pStyle w:val="ListBullet"/>
        <w:spacing w:after="56"/>
      </w:pPr>
      <w:r>
        <w:t>How do farmers rate local and imported machines for reliability, quality, residue handling and soil-specific performance?</w:t>
      </w:r>
    </w:p>
    <w:p>
      <w:pPr>
        <w:pStyle w:val="ListBullet"/>
        <w:spacing w:after="56"/>
      </w:pPr>
      <w:r>
        <w:t>How many farmers disadopt after trying no-till, and why?</w:t>
      </w:r>
    </w:p>
    <w:p>
      <w:pPr>
        <w:pStyle w:val="ListBullet"/>
        <w:spacing w:after="56"/>
      </w:pPr>
      <w:r>
        <w:t>Would adoption continue if machinery subsidies were reduced or removed?</w:t>
      </w:r>
    </w:p>
    <w:p>
      <w:pPr>
        <w:pStyle w:val="ListBullet"/>
        <w:spacing w:after="56"/>
      </w:pPr>
      <w:r>
        <w:t>What incentive design would maximize sustained hectares per public dollar?</w:t>
      </w:r>
    </w:p>
    <w:p>
      <w:pPr>
        <w:pStyle w:val="ListBullet"/>
        <w:spacing w:after="56"/>
      </w:pPr>
      <w:r>
        <w:t>What quantities of G0, G1 and later generations are required annually to reach the national-variety target?</w:t>
      </w:r>
    </w:p>
    <w:p>
      <w:pPr>
        <w:pStyle w:val="ListBullet"/>
        <w:spacing w:after="56"/>
      </w:pPr>
      <w:r>
        <w:t>What are the actual bottlenecks in seed certification, multiplication and release, and which institution owns each solution?</w:t>
      </w:r>
    </w:p>
    <w:p>
      <w:pPr>
        <w:pStyle w:val="ListBullet"/>
        <w:spacing w:after="56"/>
      </w:pPr>
      <w:r>
        <w:t>How will Morocco guarantee adequate national seed supply after severe drought?</w:t>
      </w:r>
    </w:p>
    <w:p>
      <w:pPr>
        <w:pStyle w:val="ListBullet"/>
        <w:spacing w:after="56"/>
      </w:pPr>
      <w:r>
        <w:t>What specific policy compromise can reduce imported-seed distortion without creating shortages or unaffordable prices?</w:t>
      </w:r>
    </w:p>
    <w:p>
      <w:pPr>
        <w:pStyle w:val="ListBullet"/>
        <w:spacing w:after="56"/>
      </w:pPr>
      <w:r>
        <w:t>What market, machinery and risk-management package would make legume rotation commercially attractive?</w:t>
      </w:r>
    </w:p>
    <w:p>
      <w:pPr>
        <w:pStyle w:val="ListBullet"/>
        <w:spacing w:after="56"/>
      </w:pPr>
      <w:r>
        <w:t>How will the program compensate for residue retained on soil when livestock need feed?</w:t>
      </w:r>
    </w:p>
    <w:p>
      <w:pPr>
        <w:pStyle w:val="ListBullet"/>
        <w:spacing w:after="56"/>
      </w:pPr>
      <w:r>
        <w:t>What are the adoption, service-access and benefit patterns for women farmers and women-managed plots?</w:t>
      </w:r>
    </w:p>
    <w:p>
      <w:pPr>
        <w:pStyle w:val="ListBullet"/>
        <w:spacing w:after="56"/>
      </w:pPr>
      <w:r>
        <w:t>What outcomes can be credibly attributed to S4I support rather than the national program as a whole?</w:t>
      </w:r>
    </w:p>
    <w:p>
      <w:pPr>
        <w:pStyle w:val="ListBullet"/>
        <w:spacing w:after="56"/>
      </w:pPr>
      <w:r>
        <w:t>What annual trajectory should trigger adaptive management if the one-million-hectare target is falling behind?</w:t>
      </w:r>
    </w:p>
    <w:p>
      <w:pPr>
        <w:pStyle w:val="Heading1"/>
      </w:pPr>
      <w:r>
        <w:t>19. Overall assessment of the solution track</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50" w:type="dxa"/>
              <w:bottom w:w="120" w:type="dxa"/>
              <w:end w:w="150" w:type="dxa"/>
            </w:tcMar>
          </w:tcPr>
          <w:p>
            <w:r>
              <w:rPr>
                <w:b/>
                <w:color w:val="1F374E"/>
              </w:rPr>
              <w:t>Overall assessment: strong transition-to-scale track with a complex execution challenge</w:t>
            </w:r>
            <w:r>
              <w:br/>
              <w:t>The Morocco conservation-agriculture initiative is substantially more mature than a conventional pilot. It has government ownership, a national roadmap, accumulated evidence, active market actors and an expanding implementation footprint. The team also demonstrated unusually strong economic and systems thinking, openly recognizing that machinery is not the only bottleneck and that adoption, disadoption, incentives, seed-system structure and crop-livestock trade-offs require continued learning.</w:t>
            </w:r>
          </w:p>
        </w:tc>
      </w:tr>
    </w:tbl>
    <w:p>
      <w:pPr>
        <w:spacing w:after="0"/>
      </w:pPr>
    </w:p>
    <w:p>
      <w:pPr>
        <w:pStyle w:val="Heading2"/>
      </w:pPr>
      <w:r>
        <w:t>Principal strengths</w:t>
      </w:r>
    </w:p>
    <w:p>
      <w:pPr>
        <w:pStyle w:val="ListBullet"/>
        <w:spacing w:after="56"/>
      </w:pPr>
      <w:r>
        <w:t>High-level national political commitment and an explicit 2030 target.</w:t>
      </w:r>
    </w:p>
    <w:p>
      <w:pPr>
        <w:pStyle w:val="ListBullet"/>
        <w:spacing w:after="56"/>
      </w:pPr>
      <w:r>
        <w:t>Decades of ICARDA-INRA technical evidence and field experience.</w:t>
      </w:r>
    </w:p>
    <w:p>
      <w:pPr>
        <w:pStyle w:val="ListBullet"/>
        <w:spacing w:after="56"/>
      </w:pPr>
      <w:r>
        <w:t>Strong integration of agronomy, economics and institutional analysis.</w:t>
      </w:r>
    </w:p>
    <w:p>
      <w:pPr>
        <w:pStyle w:val="ListBullet"/>
        <w:spacing w:after="56"/>
      </w:pPr>
      <w:r>
        <w:t>A functioning, active machinery market with both local and international suppliers.</w:t>
      </w:r>
    </w:p>
    <w:p>
      <w:pPr>
        <w:pStyle w:val="ListBullet"/>
        <w:spacing w:after="56"/>
      </w:pPr>
      <w:r>
        <w:t>Emerging locally manufactured, lower-cost and smaller seeder options.</w:t>
      </w:r>
    </w:p>
    <w:p>
      <w:pPr>
        <w:pStyle w:val="ListBullet"/>
        <w:spacing w:after="56"/>
      </w:pPr>
      <w:r>
        <w:t>Established service-provider culture and high general mechanization levels.</w:t>
      </w:r>
    </w:p>
    <w:p>
      <w:pPr>
        <w:pStyle w:val="ListBullet"/>
        <w:spacing w:after="56"/>
      </w:pPr>
      <w:r>
        <w:t>National and regional coordination architecture and an emerging MRV system.</w:t>
      </w:r>
    </w:p>
    <w:p>
      <w:pPr>
        <w:pStyle w:val="ListBullet"/>
        <w:spacing w:after="56"/>
      </w:pPr>
      <w:r>
        <w:t>A multi-actor Seed Alliance and willingness to confront difficult policy incentives.</w:t>
      </w:r>
    </w:p>
    <w:p>
      <w:pPr>
        <w:pStyle w:val="ListBullet"/>
        <w:spacing w:after="56"/>
      </w:pPr>
      <w:r>
        <w:t>Team candor, adaptive thinking and recognition that scaling is a systems process.</w:t>
      </w:r>
    </w:p>
    <w:p>
      <w:pPr>
        <w:pStyle w:val="Heading2"/>
      </w:pPr>
      <w:r>
        <w:t>Principal risks</w:t>
      </w:r>
    </w:p>
    <w:p>
      <w:pPr>
        <w:pStyle w:val="ListBullet"/>
        <w:spacing w:after="56"/>
      </w:pPr>
      <w:r>
        <w:t>Conflating direct seeding with complete conservation-agriculture adoption.</w:t>
      </w:r>
    </w:p>
    <w:p>
      <w:pPr>
        <w:pStyle w:val="ListBullet"/>
        <w:spacing w:after="56"/>
      </w:pPr>
      <w:r>
        <w:t>Assuming an S-curve acceleration when the next farmer segments may be harder to reach.</w:t>
      </w:r>
    </w:p>
    <w:p>
      <w:pPr>
        <w:pStyle w:val="ListBullet"/>
        <w:spacing w:after="56"/>
      </w:pPr>
      <w:r>
        <w:t>Underutilization of free or subsidized machines.</w:t>
      </w:r>
    </w:p>
    <w:p>
      <w:pPr>
        <w:pStyle w:val="ListBullet"/>
        <w:spacing w:after="56"/>
      </w:pPr>
      <w:r>
        <w:t>Inadequate differentiation of machinery and business models across farm and agroecological contexts.</w:t>
      </w:r>
    </w:p>
    <w:p>
      <w:pPr>
        <w:pStyle w:val="ListBullet"/>
        <w:spacing w:after="56"/>
      </w:pPr>
      <w:r>
        <w:t>Quality and after-sales gaps that could weaken farmer confidence.</w:t>
      </w:r>
    </w:p>
    <w:p>
      <w:pPr>
        <w:pStyle w:val="ListBullet"/>
        <w:spacing w:after="56"/>
      </w:pPr>
      <w:r>
        <w:t>A monopolistic, supply-driven seed system and contradictory subsidy incentives.</w:t>
      </w:r>
    </w:p>
    <w:p>
      <w:pPr>
        <w:pStyle w:val="ListBullet"/>
        <w:spacing w:after="56"/>
      </w:pPr>
      <w:r>
        <w:t>Insufficient domestic seed capacity during drought.</w:t>
      </w:r>
    </w:p>
    <w:p>
      <w:pPr>
        <w:pStyle w:val="ListBullet"/>
        <w:spacing w:after="56"/>
      </w:pPr>
      <w:r>
        <w:t>Slow progress on rotation and residue retention because of markets, mechanization and livestock needs.</w:t>
      </w:r>
    </w:p>
    <w:p>
      <w:pPr>
        <w:pStyle w:val="ListBullet"/>
        <w:spacing w:after="56"/>
      </w:pPr>
      <w:r>
        <w:t>Limited gender analysis and unclear inclusion outcomes beyond farm-size segmentation.</w:t>
      </w:r>
    </w:p>
    <w:p>
      <w:pPr>
        <w:pStyle w:val="Heading2"/>
      </w:pPr>
      <w:r>
        <w:t>Recommended positioning for a 2027 proposal</w:t>
      </w:r>
    </w:p>
    <w:p>
      <w:r>
        <w:t>A strong 2027 proposal should not simply request money to distribute more seeders or run more demonstrations. It should position S4I funding as catalytic investment in the systems bottlenecks that determine whether the national program reaches scale with quality and sustainability: differentiated service-provider models, small-seeder commercialization, performance-based incentives, machine quality and user-feedback systems, seed-system reform, drought-resilient early-generation seed, crop-rotation value chains and verified adoption learning.</w:t>
      </w:r>
    </w:p>
    <w:p>
      <w:pPr>
        <w:pStyle w:val="KeyQuote"/>
      </w:pPr>
      <w:r>
        <w:t>"Scaling is not about having a strategy and implementing it. It is about implementing, discovering the bottlenecks that were not expected, and adjusting across the agronomic, social, financial and institutional system."</w:t>
      </w:r>
    </w:p>
    <w:p>
      <w:r>
        <w:br w:type="page"/>
      </w:r>
    </w:p>
    <w:p>
      <w:pPr>
        <w:pStyle w:val="Heading1"/>
      </w:pPr>
      <w:r>
        <w:t>Annex A. Key figures mentioned in the session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F4E78"/>
            <w:tcMar>
              <w:top w:w="80" w:type="dxa"/>
              <w:start w:w="90" w:type="dxa"/>
              <w:bottom w:w="80" w:type="dxa"/>
              <w:end w:w="90" w:type="dxa"/>
            </w:tcMar>
            <w:vAlign w:val="center"/>
          </w:tcPr>
          <w:p>
            <w:pPr>
              <w:jc w:val="left"/>
            </w:pPr>
            <w:r>
              <w:rPr>
                <w:b/>
                <w:color w:val="FFFFFF"/>
                <w:sz w:val="17"/>
              </w:rPr>
              <w:t>Figure</w:t>
            </w:r>
          </w:p>
        </w:tc>
        <w:tc>
          <w:tcPr>
            <w:tcW w:type="dxa" w:w="7056"/>
            <w:shd w:fill="1F4E78"/>
            <w:tcMar>
              <w:top w:w="80" w:type="dxa"/>
              <w:start w:w="90" w:type="dxa"/>
              <w:bottom w:w="80" w:type="dxa"/>
              <w:end w:w="90" w:type="dxa"/>
            </w:tcMar>
            <w:vAlign w:val="center"/>
          </w:tcPr>
          <w:p>
            <w:pPr>
              <w:jc w:val="left"/>
            </w:pPr>
            <w:r>
              <w:rPr>
                <w:b/>
                <w:color w:val="FFFFFF"/>
                <w:sz w:val="17"/>
              </w:rPr>
              <w:t>Meaning and caveat</w:t>
            </w:r>
          </w:p>
        </w:tc>
      </w:tr>
      <w:tr>
        <w:tc>
          <w:tcPr>
            <w:tcW w:type="dxa" w:w="2448"/>
            <w:tcMar>
              <w:top w:w="80" w:type="dxa"/>
              <w:start w:w="90" w:type="dxa"/>
              <w:bottom w:w="80" w:type="dxa"/>
              <w:end w:w="90" w:type="dxa"/>
            </w:tcMar>
            <w:vAlign w:val="top"/>
          </w:tcPr>
          <w:p>
            <w:pPr>
              <w:spacing w:after="0"/>
            </w:pPr>
            <w:r>
              <w:rPr>
                <w:sz w:val="17"/>
              </w:rPr>
              <w:t>One million hectares</w:t>
            </w:r>
          </w:p>
        </w:tc>
        <w:tc>
          <w:tcPr>
            <w:tcW w:type="dxa" w:w="7056"/>
            <w:tcMar>
              <w:top w:w="80" w:type="dxa"/>
              <w:start w:w="90" w:type="dxa"/>
              <w:bottom w:w="80" w:type="dxa"/>
              <w:end w:w="90" w:type="dxa"/>
            </w:tcMar>
            <w:vAlign w:val="top"/>
          </w:tcPr>
          <w:p>
            <w:pPr>
              <w:spacing w:after="0"/>
            </w:pPr>
            <w:r>
              <w:rPr>
                <w:sz w:val="17"/>
              </w:rPr>
              <w:t>National conservation-agriculture ambition for 2030.</w:t>
            </w:r>
          </w:p>
        </w:tc>
      </w:tr>
      <w:tr>
        <w:tc>
          <w:tcPr>
            <w:tcW w:type="dxa" w:w="2448"/>
            <w:shd w:fill="F8FAFC"/>
            <w:tcMar>
              <w:top w:w="80" w:type="dxa"/>
              <w:start w:w="90" w:type="dxa"/>
              <w:bottom w:w="80" w:type="dxa"/>
              <w:end w:w="90" w:type="dxa"/>
            </w:tcMar>
            <w:vAlign w:val="top"/>
          </w:tcPr>
          <w:p>
            <w:pPr>
              <w:spacing w:after="0"/>
            </w:pPr>
            <w:r>
              <w:rPr>
                <w:sz w:val="17"/>
              </w:rPr>
              <w:t>Approximately 360,000 hectares</w:t>
            </w:r>
          </w:p>
        </w:tc>
        <w:tc>
          <w:tcPr>
            <w:tcW w:type="dxa" w:w="7056"/>
            <w:shd w:fill="F8FAFC"/>
            <w:tcMar>
              <w:top w:w="80" w:type="dxa"/>
              <w:start w:w="90" w:type="dxa"/>
              <w:bottom w:w="80" w:type="dxa"/>
              <w:end w:w="90" w:type="dxa"/>
            </w:tcMar>
            <w:vAlign w:val="top"/>
          </w:tcPr>
          <w:p>
            <w:pPr>
              <w:spacing w:after="0"/>
            </w:pPr>
            <w:r>
              <w:rPr>
                <w:sz w:val="17"/>
              </w:rPr>
              <w:t>Reported area under conservation agriculture in the 2026 growing season.</w:t>
            </w:r>
          </w:p>
        </w:tc>
      </w:tr>
      <w:tr>
        <w:tc>
          <w:tcPr>
            <w:tcW w:type="dxa" w:w="2448"/>
            <w:tcMar>
              <w:top w:w="80" w:type="dxa"/>
              <w:start w:w="90" w:type="dxa"/>
              <w:bottom w:w="80" w:type="dxa"/>
              <w:end w:w="90" w:type="dxa"/>
            </w:tcMar>
            <w:vAlign w:val="top"/>
          </w:tcPr>
          <w:p>
            <w:pPr>
              <w:spacing w:after="0"/>
            </w:pPr>
            <w:r>
              <w:rPr>
                <w:sz w:val="17"/>
              </w:rPr>
              <w:t>Approximately 25 percent</w:t>
            </w:r>
          </w:p>
        </w:tc>
        <w:tc>
          <w:tcPr>
            <w:tcW w:type="dxa" w:w="7056"/>
            <w:tcMar>
              <w:top w:w="80" w:type="dxa"/>
              <w:start w:w="90" w:type="dxa"/>
              <w:bottom w:w="80" w:type="dxa"/>
              <w:end w:w="90" w:type="dxa"/>
            </w:tcMar>
            <w:vAlign w:val="top"/>
          </w:tcPr>
          <w:p>
            <w:pPr>
              <w:spacing w:after="0"/>
            </w:pPr>
            <w:r>
              <w:rPr>
                <w:sz w:val="17"/>
              </w:rPr>
              <w:t>Share of Morocco's cereal area represented by one million hectares, according to the discussion.</w:t>
            </w:r>
          </w:p>
        </w:tc>
      </w:tr>
      <w:tr>
        <w:tc>
          <w:tcPr>
            <w:tcW w:type="dxa" w:w="2448"/>
            <w:shd w:fill="F8FAFC"/>
            <w:tcMar>
              <w:top w:w="80" w:type="dxa"/>
              <w:start w:w="90" w:type="dxa"/>
              <w:bottom w:w="80" w:type="dxa"/>
              <w:end w:w="90" w:type="dxa"/>
            </w:tcMar>
            <w:vAlign w:val="top"/>
          </w:tcPr>
          <w:p>
            <w:pPr>
              <w:spacing w:after="0"/>
            </w:pPr>
            <w:r>
              <w:rPr>
                <w:sz w:val="17"/>
              </w:rPr>
              <w:t>60-70 percent</w:t>
            </w:r>
          </w:p>
        </w:tc>
        <w:tc>
          <w:tcPr>
            <w:tcW w:type="dxa" w:w="7056"/>
            <w:shd w:fill="F8FAFC"/>
            <w:tcMar>
              <w:top w:w="80" w:type="dxa"/>
              <w:start w:w="90" w:type="dxa"/>
              <w:bottom w:w="80" w:type="dxa"/>
              <w:end w:w="90" w:type="dxa"/>
            </w:tcMar>
            <w:vAlign w:val="top"/>
          </w:tcPr>
          <w:p>
            <w:pPr>
              <w:spacing w:after="0"/>
            </w:pPr>
            <w:r>
              <w:rPr>
                <w:sz w:val="17"/>
              </w:rPr>
              <w:t>Estimated share of relevant area potentially suitable for no-till/conservation agriculture.</w:t>
            </w:r>
          </w:p>
        </w:tc>
      </w:tr>
      <w:tr>
        <w:tc>
          <w:tcPr>
            <w:tcW w:type="dxa" w:w="2448"/>
            <w:tcMar>
              <w:top w:w="80" w:type="dxa"/>
              <w:start w:w="90" w:type="dxa"/>
              <w:bottom w:w="80" w:type="dxa"/>
              <w:end w:w="90" w:type="dxa"/>
            </w:tcMar>
            <w:vAlign w:val="top"/>
          </w:tcPr>
          <w:p>
            <w:pPr>
              <w:spacing w:after="0"/>
            </w:pPr>
            <w:r>
              <w:rPr>
                <w:sz w:val="17"/>
              </w:rPr>
              <w:t>More than 80 percent</w:t>
            </w:r>
          </w:p>
        </w:tc>
        <w:tc>
          <w:tcPr>
            <w:tcW w:type="dxa" w:w="7056"/>
            <w:tcMar>
              <w:top w:w="80" w:type="dxa"/>
              <w:start w:w="90" w:type="dxa"/>
              <w:bottom w:w="80" w:type="dxa"/>
              <w:end w:w="90" w:type="dxa"/>
            </w:tcMar>
            <w:vAlign w:val="top"/>
          </w:tcPr>
          <w:p>
            <w:pPr>
              <w:spacing w:after="0"/>
            </w:pPr>
            <w:r>
              <w:rPr>
                <w:sz w:val="17"/>
              </w:rPr>
              <w:t>Share of agricultural production described as rainfed; also the approximate share of cereal systems described as monocropping.</w:t>
            </w:r>
          </w:p>
        </w:tc>
      </w:tr>
      <w:tr>
        <w:tc>
          <w:tcPr>
            <w:tcW w:type="dxa" w:w="2448"/>
            <w:shd w:fill="F8FAFC"/>
            <w:tcMar>
              <w:top w:w="80" w:type="dxa"/>
              <w:start w:w="90" w:type="dxa"/>
              <w:bottom w:w="80" w:type="dxa"/>
              <w:end w:w="90" w:type="dxa"/>
            </w:tcMar>
            <w:vAlign w:val="top"/>
          </w:tcPr>
          <w:p>
            <w:pPr>
              <w:spacing w:after="0"/>
            </w:pPr>
            <w:r>
              <w:rPr>
                <w:sz w:val="17"/>
              </w:rPr>
              <w:t>Approximately 5 million hectares</w:t>
            </w:r>
          </w:p>
        </w:tc>
        <w:tc>
          <w:tcPr>
            <w:tcW w:type="dxa" w:w="7056"/>
            <w:shd w:fill="F8FAFC"/>
            <w:tcMar>
              <w:top w:w="80" w:type="dxa"/>
              <w:start w:w="90" w:type="dxa"/>
              <w:bottom w:w="80" w:type="dxa"/>
              <w:end w:w="90" w:type="dxa"/>
            </w:tcMar>
            <w:vAlign w:val="top"/>
          </w:tcPr>
          <w:p>
            <w:pPr>
              <w:spacing w:after="0"/>
            </w:pPr>
            <w:r>
              <w:rPr>
                <w:sz w:val="17"/>
              </w:rPr>
              <w:t>Cereal area cited in the discussion.</w:t>
            </w:r>
          </w:p>
        </w:tc>
      </w:tr>
      <w:tr>
        <w:tc>
          <w:tcPr>
            <w:tcW w:type="dxa" w:w="2448"/>
            <w:tcMar>
              <w:top w:w="80" w:type="dxa"/>
              <w:start w:w="90" w:type="dxa"/>
              <w:bottom w:w="80" w:type="dxa"/>
              <w:end w:w="90" w:type="dxa"/>
            </w:tcMar>
            <w:vAlign w:val="top"/>
          </w:tcPr>
          <w:p>
            <w:pPr>
              <w:spacing w:after="0"/>
            </w:pPr>
            <w:r>
              <w:rPr>
                <w:sz w:val="17"/>
              </w:rPr>
              <w:t>Seven drought-affected years</w:t>
            </w:r>
          </w:p>
        </w:tc>
        <w:tc>
          <w:tcPr>
            <w:tcW w:type="dxa" w:w="7056"/>
            <w:tcMar>
              <w:top w:w="80" w:type="dxa"/>
              <w:start w:w="90" w:type="dxa"/>
              <w:bottom w:w="80" w:type="dxa"/>
              <w:end w:w="90" w:type="dxa"/>
            </w:tcMar>
            <w:vAlign w:val="top"/>
          </w:tcPr>
          <w:p>
            <w:pPr>
              <w:spacing w:after="0"/>
            </w:pPr>
            <w:r>
              <w:rPr>
                <w:sz w:val="17"/>
              </w:rPr>
              <w:t>Recent prolonged drought context.</w:t>
            </w:r>
          </w:p>
        </w:tc>
      </w:tr>
      <w:tr>
        <w:tc>
          <w:tcPr>
            <w:tcW w:type="dxa" w:w="2448"/>
            <w:shd w:fill="F8FAFC"/>
            <w:tcMar>
              <w:top w:w="80" w:type="dxa"/>
              <w:start w:w="90" w:type="dxa"/>
              <w:bottom w:w="80" w:type="dxa"/>
              <w:end w:w="90" w:type="dxa"/>
            </w:tcMar>
            <w:vAlign w:val="top"/>
          </w:tcPr>
          <w:p>
            <w:pPr>
              <w:spacing w:after="0"/>
            </w:pPr>
            <w:r>
              <w:rPr>
                <w:sz w:val="17"/>
              </w:rPr>
              <w:t>40-60 percent</w:t>
            </w:r>
          </w:p>
        </w:tc>
        <w:tc>
          <w:tcPr>
            <w:tcW w:type="dxa" w:w="7056"/>
            <w:shd w:fill="F8FAFC"/>
            <w:tcMar>
              <w:top w:w="80" w:type="dxa"/>
              <w:start w:w="90" w:type="dxa"/>
              <w:bottom w:w="80" w:type="dxa"/>
              <w:end w:w="90" w:type="dxa"/>
            </w:tcMar>
            <w:vAlign w:val="top"/>
          </w:tcPr>
          <w:p>
            <w:pPr>
              <w:spacing w:after="0"/>
            </w:pPr>
            <w:r>
              <w:rPr>
                <w:sz w:val="17"/>
              </w:rPr>
              <w:t>Productivity gain cited for conservation agriculture, especially in dry seasons; should be reported with package and comparison details.</w:t>
            </w:r>
          </w:p>
        </w:tc>
      </w:tr>
      <w:tr>
        <w:tc>
          <w:tcPr>
            <w:tcW w:type="dxa" w:w="2448"/>
            <w:tcMar>
              <w:top w:w="80" w:type="dxa"/>
              <w:start w:w="90" w:type="dxa"/>
              <w:bottom w:w="80" w:type="dxa"/>
              <w:end w:w="90" w:type="dxa"/>
            </w:tcMar>
            <w:vAlign w:val="top"/>
          </w:tcPr>
          <w:p>
            <w:pPr>
              <w:spacing w:after="0"/>
            </w:pPr>
            <w:r>
              <w:rPr>
                <w:sz w:val="17"/>
              </w:rPr>
              <w:t>15-20 percent</w:t>
            </w:r>
          </w:p>
        </w:tc>
        <w:tc>
          <w:tcPr>
            <w:tcW w:type="dxa" w:w="7056"/>
            <w:tcMar>
              <w:top w:w="80" w:type="dxa"/>
              <w:start w:w="90" w:type="dxa"/>
              <w:bottom w:w="80" w:type="dxa"/>
              <w:end w:w="90" w:type="dxa"/>
            </w:tcMar>
            <w:vAlign w:val="top"/>
          </w:tcPr>
          <w:p>
            <w:pPr>
              <w:spacing w:after="0"/>
            </w:pPr>
            <w:r>
              <w:rPr>
                <w:sz w:val="17"/>
              </w:rPr>
              <w:t>Economic benefit cited in the presentation.</w:t>
            </w:r>
          </w:p>
        </w:tc>
      </w:tr>
      <w:tr>
        <w:tc>
          <w:tcPr>
            <w:tcW w:type="dxa" w:w="2448"/>
            <w:shd w:fill="F8FAFC"/>
            <w:tcMar>
              <w:top w:w="80" w:type="dxa"/>
              <w:start w:w="90" w:type="dxa"/>
              <w:bottom w:w="80" w:type="dxa"/>
              <w:end w:w="90" w:type="dxa"/>
            </w:tcMar>
            <w:vAlign w:val="top"/>
          </w:tcPr>
          <w:p>
            <w:pPr>
              <w:spacing w:after="0"/>
            </w:pPr>
            <w:r>
              <w:rPr>
                <w:sz w:val="17"/>
              </w:rPr>
              <w:t>USD 150-200 per hectare</w:t>
            </w:r>
          </w:p>
        </w:tc>
        <w:tc>
          <w:tcPr>
            <w:tcW w:type="dxa" w:w="7056"/>
            <w:shd w:fill="F8FAFC"/>
            <w:tcMar>
              <w:top w:w="80" w:type="dxa"/>
              <w:start w:w="90" w:type="dxa"/>
              <w:bottom w:w="80" w:type="dxa"/>
              <w:end w:w="90" w:type="dxa"/>
            </w:tcMar>
            <w:vAlign w:val="top"/>
          </w:tcPr>
          <w:p>
            <w:pPr>
              <w:spacing w:after="0"/>
            </w:pPr>
            <w:r>
              <w:rPr>
                <w:sz w:val="17"/>
              </w:rPr>
              <w:t>Estimated cost savings in good years from avoiding repeated tillage.</w:t>
            </w:r>
          </w:p>
        </w:tc>
      </w:tr>
      <w:tr>
        <w:tc>
          <w:tcPr>
            <w:tcW w:type="dxa" w:w="2448"/>
            <w:tcMar>
              <w:top w:w="80" w:type="dxa"/>
              <w:start w:w="90" w:type="dxa"/>
              <w:bottom w:w="80" w:type="dxa"/>
              <w:end w:w="90" w:type="dxa"/>
            </w:tcMar>
            <w:vAlign w:val="top"/>
          </w:tcPr>
          <w:p>
            <w:pPr>
              <w:spacing w:after="0"/>
            </w:pPr>
            <w:r>
              <w:rPr>
                <w:sz w:val="17"/>
              </w:rPr>
              <w:t>13 tonnes per hectare per year</w:t>
            </w:r>
          </w:p>
        </w:tc>
        <w:tc>
          <w:tcPr>
            <w:tcW w:type="dxa" w:w="7056"/>
            <w:tcMar>
              <w:top w:w="80" w:type="dxa"/>
              <w:start w:w="90" w:type="dxa"/>
              <w:bottom w:w="80" w:type="dxa"/>
              <w:end w:w="90" w:type="dxa"/>
            </w:tcMar>
            <w:vAlign w:val="top"/>
          </w:tcPr>
          <w:p>
            <w:pPr>
              <w:spacing w:after="0"/>
            </w:pPr>
            <w:r>
              <w:rPr>
                <w:sz w:val="17"/>
              </w:rPr>
              <w:t>Soil erosion rate cited as an alarming national challenge.</w:t>
            </w:r>
          </w:p>
        </w:tc>
      </w:tr>
      <w:tr>
        <w:tc>
          <w:tcPr>
            <w:tcW w:type="dxa" w:w="2448"/>
            <w:shd w:fill="F8FAFC"/>
            <w:tcMar>
              <w:top w:w="80" w:type="dxa"/>
              <w:start w:w="90" w:type="dxa"/>
              <w:bottom w:w="80" w:type="dxa"/>
              <w:end w:w="90" w:type="dxa"/>
            </w:tcMar>
            <w:vAlign w:val="top"/>
          </w:tcPr>
          <w:p>
            <w:pPr>
              <w:spacing w:after="0"/>
            </w:pPr>
            <w:r>
              <w:rPr>
                <w:sz w:val="17"/>
              </w:rPr>
              <w:t>700 public seeders</w:t>
            </w:r>
          </w:p>
        </w:tc>
        <w:tc>
          <w:tcPr>
            <w:tcW w:type="dxa" w:w="7056"/>
            <w:shd w:fill="F8FAFC"/>
            <w:tcMar>
              <w:top w:w="80" w:type="dxa"/>
              <w:start w:w="90" w:type="dxa"/>
              <w:bottom w:w="80" w:type="dxa"/>
              <w:end w:w="90" w:type="dxa"/>
            </w:tcMar>
            <w:vAlign w:val="top"/>
          </w:tcPr>
          <w:p>
            <w:pPr>
              <w:spacing w:after="0"/>
            </w:pPr>
            <w:r>
              <w:rPr>
                <w:sz w:val="17"/>
              </w:rPr>
              <w:t>Approximate existing government-distributed stock mentioned, expected to approach 1,000 soon.</w:t>
            </w:r>
          </w:p>
        </w:tc>
      </w:tr>
      <w:tr>
        <w:tc>
          <w:tcPr>
            <w:tcW w:type="dxa" w:w="2448"/>
            <w:tcMar>
              <w:top w:w="80" w:type="dxa"/>
              <w:start w:w="90" w:type="dxa"/>
              <w:bottom w:w="80" w:type="dxa"/>
              <w:end w:w="90" w:type="dxa"/>
            </w:tcMar>
            <w:vAlign w:val="top"/>
          </w:tcPr>
          <w:p>
            <w:pPr>
              <w:spacing w:after="0"/>
            </w:pPr>
            <w:r>
              <w:rPr>
                <w:sz w:val="17"/>
              </w:rPr>
              <w:t>250-300 seeders per year</w:t>
            </w:r>
          </w:p>
        </w:tc>
        <w:tc>
          <w:tcPr>
            <w:tcW w:type="dxa" w:w="7056"/>
            <w:tcMar>
              <w:top w:w="80" w:type="dxa"/>
              <w:start w:w="90" w:type="dxa"/>
              <w:bottom w:w="80" w:type="dxa"/>
              <w:end w:w="90" w:type="dxa"/>
            </w:tcMar>
            <w:vAlign w:val="top"/>
          </w:tcPr>
          <w:p>
            <w:pPr>
              <w:spacing w:after="0"/>
            </w:pPr>
            <w:r>
              <w:rPr>
                <w:sz w:val="17"/>
              </w:rPr>
              <w:t>Approximate annual government distribution.</w:t>
            </w:r>
          </w:p>
        </w:tc>
      </w:tr>
      <w:tr>
        <w:tc>
          <w:tcPr>
            <w:tcW w:type="dxa" w:w="2448"/>
            <w:shd w:fill="F8FAFC"/>
            <w:tcMar>
              <w:top w:w="80" w:type="dxa"/>
              <w:start w:w="90" w:type="dxa"/>
              <w:bottom w:w="80" w:type="dxa"/>
              <w:end w:w="90" w:type="dxa"/>
            </w:tcMar>
            <w:vAlign w:val="top"/>
          </w:tcPr>
          <w:p>
            <w:pPr>
              <w:spacing w:after="0"/>
            </w:pPr>
            <w:r>
              <w:rPr>
                <w:sz w:val="17"/>
              </w:rPr>
              <w:t>Approximately 500 private seeders</w:t>
            </w:r>
          </w:p>
        </w:tc>
        <w:tc>
          <w:tcPr>
            <w:tcW w:type="dxa" w:w="7056"/>
            <w:shd w:fill="F8FAFC"/>
            <w:tcMar>
              <w:top w:w="80" w:type="dxa"/>
              <w:start w:w="90" w:type="dxa"/>
              <w:bottom w:w="80" w:type="dxa"/>
              <w:end w:w="90" w:type="dxa"/>
            </w:tcMar>
            <w:vAlign w:val="top"/>
          </w:tcPr>
          <w:p>
            <w:pPr>
              <w:spacing w:after="0"/>
            </w:pPr>
            <w:r>
              <w:rPr>
                <w:sz w:val="17"/>
              </w:rPr>
              <w:t>Rough estimate mentioned; requires confirmation.</w:t>
            </w:r>
          </w:p>
        </w:tc>
      </w:tr>
      <w:tr>
        <w:tc>
          <w:tcPr>
            <w:tcW w:type="dxa" w:w="2448"/>
            <w:tcMar>
              <w:top w:w="80" w:type="dxa"/>
              <w:start w:w="90" w:type="dxa"/>
              <w:bottom w:w="80" w:type="dxa"/>
              <w:end w:w="90" w:type="dxa"/>
            </w:tcMar>
            <w:vAlign w:val="top"/>
          </w:tcPr>
          <w:p>
            <w:pPr>
              <w:spacing w:after="0"/>
            </w:pPr>
            <w:r>
              <w:rPr>
                <w:sz w:val="17"/>
              </w:rPr>
              <w:t>200-400 hectares per seeder</w:t>
            </w:r>
          </w:p>
        </w:tc>
        <w:tc>
          <w:tcPr>
            <w:tcW w:type="dxa" w:w="7056"/>
            <w:tcMar>
              <w:top w:w="80" w:type="dxa"/>
              <w:start w:w="90" w:type="dxa"/>
              <w:bottom w:w="80" w:type="dxa"/>
              <w:end w:w="90" w:type="dxa"/>
            </w:tcMar>
            <w:vAlign w:val="top"/>
          </w:tcPr>
          <w:p>
            <w:pPr>
              <w:spacing w:after="0"/>
            </w:pPr>
            <w:r>
              <w:rPr>
                <w:sz w:val="17"/>
              </w:rPr>
              <w:t>Typical annual seasonal capacity cited for many machines.</w:t>
            </w:r>
          </w:p>
        </w:tc>
      </w:tr>
      <w:tr>
        <w:tc>
          <w:tcPr>
            <w:tcW w:type="dxa" w:w="2448"/>
            <w:shd w:fill="F8FAFC"/>
            <w:tcMar>
              <w:top w:w="80" w:type="dxa"/>
              <w:start w:w="90" w:type="dxa"/>
              <w:bottom w:w="80" w:type="dxa"/>
              <w:end w:w="90" w:type="dxa"/>
            </w:tcMar>
            <w:vAlign w:val="top"/>
          </w:tcPr>
          <w:p>
            <w:pPr>
              <w:spacing w:after="0"/>
            </w:pPr>
            <w:r>
              <w:rPr>
                <w:sz w:val="17"/>
              </w:rPr>
              <w:t>150-200 hectares</w:t>
            </w:r>
          </w:p>
        </w:tc>
        <w:tc>
          <w:tcPr>
            <w:tcW w:type="dxa" w:w="7056"/>
            <w:shd w:fill="F8FAFC"/>
            <w:tcMar>
              <w:top w:w="80" w:type="dxa"/>
              <w:start w:w="90" w:type="dxa"/>
              <w:bottom w:w="80" w:type="dxa"/>
              <w:end w:w="90" w:type="dxa"/>
            </w:tcMar>
            <w:vAlign w:val="top"/>
          </w:tcPr>
          <w:p>
            <w:pPr>
              <w:spacing w:after="0"/>
            </w:pPr>
            <w:r>
              <w:rPr>
                <w:sz w:val="17"/>
              </w:rPr>
              <w:t>Indicative capacity cited for smaller seeders.</w:t>
            </w:r>
          </w:p>
        </w:tc>
      </w:tr>
      <w:tr>
        <w:tc>
          <w:tcPr>
            <w:tcW w:type="dxa" w:w="2448"/>
            <w:tcMar>
              <w:top w:w="80" w:type="dxa"/>
              <w:start w:w="90" w:type="dxa"/>
              <w:bottom w:w="80" w:type="dxa"/>
              <w:end w:w="90" w:type="dxa"/>
            </w:tcMar>
            <w:vAlign w:val="top"/>
          </w:tcPr>
          <w:p>
            <w:pPr>
              <w:spacing w:after="0"/>
            </w:pPr>
            <w:r>
              <w:rPr>
                <w:sz w:val="17"/>
              </w:rPr>
              <w:t>Approximately 3,333 seeders</w:t>
            </w:r>
          </w:p>
        </w:tc>
        <w:tc>
          <w:tcPr>
            <w:tcW w:type="dxa" w:w="7056"/>
            <w:tcMar>
              <w:top w:w="80" w:type="dxa"/>
              <w:start w:w="90" w:type="dxa"/>
              <w:bottom w:w="80" w:type="dxa"/>
              <w:end w:w="90" w:type="dxa"/>
            </w:tcMar>
            <w:vAlign w:val="top"/>
          </w:tcPr>
          <w:p>
            <w:pPr>
              <w:spacing w:after="0"/>
            </w:pPr>
            <w:r>
              <w:rPr>
                <w:sz w:val="17"/>
              </w:rPr>
              <w:t>Simple arithmetic requirement for one million hectares at 300 hectares per machine, before utilization and logistics adjustments.</w:t>
            </w:r>
          </w:p>
        </w:tc>
      </w:tr>
      <w:tr>
        <w:tc>
          <w:tcPr>
            <w:tcW w:type="dxa" w:w="2448"/>
            <w:shd w:fill="F8FAFC"/>
            <w:tcMar>
              <w:top w:w="80" w:type="dxa"/>
              <w:start w:w="90" w:type="dxa"/>
              <w:bottom w:w="80" w:type="dxa"/>
              <w:end w:w="90" w:type="dxa"/>
            </w:tcMar>
            <w:vAlign w:val="top"/>
          </w:tcPr>
          <w:p>
            <w:pPr>
              <w:spacing w:after="0"/>
            </w:pPr>
            <w:r>
              <w:rPr>
                <w:sz w:val="17"/>
              </w:rPr>
              <w:t>7,000 seeders</w:t>
            </w:r>
          </w:p>
        </w:tc>
        <w:tc>
          <w:tcPr>
            <w:tcW w:type="dxa" w:w="7056"/>
            <w:shd w:fill="F8FAFC"/>
            <w:tcMar>
              <w:top w:w="80" w:type="dxa"/>
              <w:start w:w="90" w:type="dxa"/>
              <w:bottom w:w="80" w:type="dxa"/>
              <w:end w:w="90" w:type="dxa"/>
            </w:tcMar>
            <w:vAlign w:val="top"/>
          </w:tcPr>
          <w:p>
            <w:pPr>
              <w:spacing w:after="0"/>
            </w:pPr>
            <w:r>
              <w:rPr>
                <w:sz w:val="17"/>
              </w:rPr>
              <w:t>Longer-term national equipment target mentioned.</w:t>
            </w:r>
          </w:p>
        </w:tc>
      </w:tr>
      <w:tr>
        <w:tc>
          <w:tcPr>
            <w:tcW w:type="dxa" w:w="2448"/>
            <w:tcMar>
              <w:top w:w="80" w:type="dxa"/>
              <w:start w:w="90" w:type="dxa"/>
              <w:bottom w:w="80" w:type="dxa"/>
              <w:end w:w="90" w:type="dxa"/>
            </w:tcMar>
            <w:vAlign w:val="top"/>
          </w:tcPr>
          <w:p>
            <w:pPr>
              <w:spacing w:after="0"/>
            </w:pPr>
            <w:r>
              <w:rPr>
                <w:sz w:val="17"/>
              </w:rPr>
              <w:t>50 percent subsidy</w:t>
            </w:r>
          </w:p>
        </w:tc>
        <w:tc>
          <w:tcPr>
            <w:tcW w:type="dxa" w:w="7056"/>
            <w:tcMar>
              <w:top w:w="80" w:type="dxa"/>
              <w:start w:w="90" w:type="dxa"/>
              <w:bottom w:w="80" w:type="dxa"/>
              <w:end w:w="90" w:type="dxa"/>
            </w:tcMar>
            <w:vAlign w:val="top"/>
          </w:tcPr>
          <w:p>
            <w:pPr>
              <w:spacing w:after="0"/>
            </w:pPr>
            <w:r>
              <w:rPr>
                <w:sz w:val="17"/>
              </w:rPr>
              <w:t>Individual machinery subsidy; a maximum around USD 9,000 was mentioned.</w:t>
            </w:r>
          </w:p>
        </w:tc>
      </w:tr>
      <w:tr>
        <w:tc>
          <w:tcPr>
            <w:tcW w:type="dxa" w:w="2448"/>
            <w:shd w:fill="F8FAFC"/>
            <w:tcMar>
              <w:top w:w="80" w:type="dxa"/>
              <w:start w:w="90" w:type="dxa"/>
              <w:bottom w:w="80" w:type="dxa"/>
              <w:end w:w="90" w:type="dxa"/>
            </w:tcMar>
            <w:vAlign w:val="top"/>
          </w:tcPr>
          <w:p>
            <w:pPr>
              <w:spacing w:after="0"/>
            </w:pPr>
            <w:r>
              <w:rPr>
                <w:sz w:val="17"/>
              </w:rPr>
              <w:t>Free machinery</w:t>
            </w:r>
          </w:p>
        </w:tc>
        <w:tc>
          <w:tcPr>
            <w:tcW w:type="dxa" w:w="7056"/>
            <w:shd w:fill="F8FAFC"/>
            <w:tcMar>
              <w:top w:w="80" w:type="dxa"/>
              <w:start w:w="90" w:type="dxa"/>
              <w:bottom w:w="80" w:type="dxa"/>
              <w:end w:w="90" w:type="dxa"/>
            </w:tcMar>
            <w:vAlign w:val="top"/>
          </w:tcPr>
          <w:p>
            <w:pPr>
              <w:spacing w:after="0"/>
            </w:pPr>
            <w:r>
              <w:rPr>
                <w:sz w:val="17"/>
              </w:rPr>
              <w:t>Possible for eligible associations or cooperatives.</w:t>
            </w:r>
          </w:p>
        </w:tc>
      </w:tr>
      <w:tr>
        <w:tc>
          <w:tcPr>
            <w:tcW w:type="dxa" w:w="2448"/>
            <w:tcMar>
              <w:top w:w="80" w:type="dxa"/>
              <w:start w:w="90" w:type="dxa"/>
              <w:bottom w:w="80" w:type="dxa"/>
              <w:end w:w="90" w:type="dxa"/>
            </w:tcMar>
            <w:vAlign w:val="top"/>
          </w:tcPr>
          <w:p>
            <w:pPr>
              <w:spacing w:after="0"/>
            </w:pPr>
            <w:r>
              <w:rPr>
                <w:sz w:val="17"/>
              </w:rPr>
              <w:t>USD 14,000-15,000</w:t>
            </w:r>
          </w:p>
        </w:tc>
        <w:tc>
          <w:tcPr>
            <w:tcW w:type="dxa" w:w="7056"/>
            <w:tcMar>
              <w:top w:w="80" w:type="dxa"/>
              <w:start w:w="90" w:type="dxa"/>
              <w:bottom w:w="80" w:type="dxa"/>
              <w:end w:w="90" w:type="dxa"/>
            </w:tcMar>
            <w:vAlign w:val="top"/>
          </w:tcPr>
          <w:p>
            <w:pPr>
              <w:spacing w:after="0"/>
            </w:pPr>
            <w:r>
              <w:rPr>
                <w:sz w:val="17"/>
              </w:rPr>
              <w:t>Indicative local seeder price.</w:t>
            </w:r>
          </w:p>
        </w:tc>
      </w:tr>
      <w:tr>
        <w:tc>
          <w:tcPr>
            <w:tcW w:type="dxa" w:w="2448"/>
            <w:shd w:fill="F8FAFC"/>
            <w:tcMar>
              <w:top w:w="80" w:type="dxa"/>
              <w:start w:w="90" w:type="dxa"/>
              <w:bottom w:w="80" w:type="dxa"/>
              <w:end w:w="90" w:type="dxa"/>
            </w:tcMar>
            <w:vAlign w:val="top"/>
          </w:tcPr>
          <w:p>
            <w:pPr>
              <w:spacing w:after="0"/>
            </w:pPr>
            <w:r>
              <w:rPr>
                <w:sz w:val="17"/>
              </w:rPr>
              <w:t>USD 20,000-25,000</w:t>
            </w:r>
          </w:p>
        </w:tc>
        <w:tc>
          <w:tcPr>
            <w:tcW w:type="dxa" w:w="7056"/>
            <w:shd w:fill="F8FAFC"/>
            <w:tcMar>
              <w:top w:w="80" w:type="dxa"/>
              <w:start w:w="90" w:type="dxa"/>
              <w:bottom w:w="80" w:type="dxa"/>
              <w:end w:w="90" w:type="dxa"/>
            </w:tcMar>
            <w:vAlign w:val="top"/>
          </w:tcPr>
          <w:p>
            <w:pPr>
              <w:spacing w:after="0"/>
            </w:pPr>
            <w:r>
              <w:rPr>
                <w:sz w:val="17"/>
              </w:rPr>
              <w:t>Indicative imported medium seeder price.</w:t>
            </w:r>
          </w:p>
        </w:tc>
      </w:tr>
      <w:tr>
        <w:tc>
          <w:tcPr>
            <w:tcW w:type="dxa" w:w="2448"/>
            <w:tcMar>
              <w:top w:w="80" w:type="dxa"/>
              <w:start w:w="90" w:type="dxa"/>
              <w:bottom w:w="80" w:type="dxa"/>
              <w:end w:w="90" w:type="dxa"/>
            </w:tcMar>
            <w:vAlign w:val="top"/>
          </w:tcPr>
          <w:p>
            <w:pPr>
              <w:spacing w:after="0"/>
            </w:pPr>
            <w:r>
              <w:rPr>
                <w:sz w:val="17"/>
              </w:rPr>
              <w:t>Approximately 80 percent</w:t>
            </w:r>
          </w:p>
        </w:tc>
        <w:tc>
          <w:tcPr>
            <w:tcW w:type="dxa" w:w="7056"/>
            <w:tcMar>
              <w:top w:w="80" w:type="dxa"/>
              <w:start w:w="90" w:type="dxa"/>
              <w:bottom w:w="80" w:type="dxa"/>
              <w:end w:w="90" w:type="dxa"/>
            </w:tcMar>
            <w:vAlign w:val="top"/>
          </w:tcPr>
          <w:p>
            <w:pPr>
              <w:spacing w:after="0"/>
            </w:pPr>
            <w:r>
              <w:rPr>
                <w:sz w:val="17"/>
              </w:rPr>
              <w:t>Share of seeders reportedly purchased through government channels/subsidies.</w:t>
            </w:r>
          </w:p>
        </w:tc>
      </w:tr>
      <w:tr>
        <w:tc>
          <w:tcPr>
            <w:tcW w:type="dxa" w:w="2448"/>
            <w:shd w:fill="F8FAFC"/>
            <w:tcMar>
              <w:top w:w="80" w:type="dxa"/>
              <w:start w:w="90" w:type="dxa"/>
              <w:bottom w:w="80" w:type="dxa"/>
              <w:end w:w="90" w:type="dxa"/>
            </w:tcMar>
            <w:vAlign w:val="top"/>
          </w:tcPr>
          <w:p>
            <w:pPr>
              <w:spacing w:after="0"/>
            </w:pPr>
            <w:r>
              <w:rPr>
                <w:sz w:val="17"/>
              </w:rPr>
              <w:t>Below 10 percent</w:t>
            </w:r>
          </w:p>
        </w:tc>
        <w:tc>
          <w:tcPr>
            <w:tcW w:type="dxa" w:w="7056"/>
            <w:shd w:fill="F8FAFC"/>
            <w:tcMar>
              <w:top w:w="80" w:type="dxa"/>
              <w:start w:w="90" w:type="dxa"/>
              <w:bottom w:w="80" w:type="dxa"/>
              <w:end w:w="90" w:type="dxa"/>
            </w:tcMar>
            <w:vAlign w:val="top"/>
          </w:tcPr>
          <w:p>
            <w:pPr>
              <w:spacing w:after="0"/>
            </w:pPr>
            <w:r>
              <w:rPr>
                <w:sz w:val="17"/>
              </w:rPr>
              <w:t>Current share of nationally developed/CGIAR-derived varieties, down from about 80 percent historically.</w:t>
            </w:r>
          </w:p>
        </w:tc>
      </w:tr>
      <w:tr>
        <w:tc>
          <w:tcPr>
            <w:tcW w:type="dxa" w:w="2448"/>
            <w:tcMar>
              <w:top w:w="80" w:type="dxa"/>
              <w:start w:w="90" w:type="dxa"/>
              <w:bottom w:w="80" w:type="dxa"/>
              <w:end w:w="90" w:type="dxa"/>
            </w:tcMar>
            <w:vAlign w:val="top"/>
          </w:tcPr>
          <w:p>
            <w:pPr>
              <w:spacing w:after="0"/>
            </w:pPr>
            <w:r>
              <w:rPr>
                <w:sz w:val="17"/>
              </w:rPr>
              <w:t>50 percent by 2030</w:t>
            </w:r>
          </w:p>
        </w:tc>
        <w:tc>
          <w:tcPr>
            <w:tcW w:type="dxa" w:w="7056"/>
            <w:tcMar>
              <w:top w:w="80" w:type="dxa"/>
              <w:start w:w="90" w:type="dxa"/>
              <w:bottom w:w="80" w:type="dxa"/>
              <w:end w:w="90" w:type="dxa"/>
            </w:tcMar>
            <w:vAlign w:val="top"/>
          </w:tcPr>
          <w:p>
            <w:pPr>
              <w:spacing w:after="0"/>
            </w:pPr>
            <w:r>
              <w:rPr>
                <w:sz w:val="17"/>
              </w:rPr>
              <w:t>National target for nationally produced/developed varieties.</w:t>
            </w:r>
          </w:p>
        </w:tc>
      </w:tr>
      <w:tr>
        <w:tc>
          <w:tcPr>
            <w:tcW w:type="dxa" w:w="2448"/>
            <w:shd w:fill="F8FAFC"/>
            <w:tcMar>
              <w:top w:w="80" w:type="dxa"/>
              <w:start w:w="90" w:type="dxa"/>
              <w:bottom w:w="80" w:type="dxa"/>
              <w:end w:w="90" w:type="dxa"/>
            </w:tcMar>
            <w:vAlign w:val="top"/>
          </w:tcPr>
          <w:p>
            <w:pPr>
              <w:spacing w:after="0"/>
            </w:pPr>
            <w:r>
              <w:rPr>
                <w:sz w:val="17"/>
              </w:rPr>
              <w:t>20-40 millimeters</w:t>
            </w:r>
          </w:p>
        </w:tc>
        <w:tc>
          <w:tcPr>
            <w:tcW w:type="dxa" w:w="7056"/>
            <w:shd w:fill="F8FAFC"/>
            <w:tcMar>
              <w:top w:w="80" w:type="dxa"/>
              <w:start w:w="90" w:type="dxa"/>
              <w:bottom w:w="80" w:type="dxa"/>
              <w:end w:w="90" w:type="dxa"/>
            </w:tcMar>
            <w:vAlign w:val="top"/>
          </w:tcPr>
          <w:p>
            <w:pPr>
              <w:spacing w:after="0"/>
            </w:pPr>
            <w:r>
              <w:rPr>
                <w:sz w:val="17"/>
              </w:rPr>
              <w:t>Supplementary irrigation amount mentioned as potentially sufficient at critical moments to stabilize production.</w:t>
            </w:r>
          </w:p>
        </w:tc>
      </w:tr>
      <w:tr>
        <w:tc>
          <w:tcPr>
            <w:tcW w:type="dxa" w:w="2448"/>
            <w:tcMar>
              <w:top w:w="80" w:type="dxa"/>
              <w:start w:w="90" w:type="dxa"/>
              <w:bottom w:w="80" w:type="dxa"/>
              <w:end w:w="90" w:type="dxa"/>
            </w:tcMar>
            <w:vAlign w:val="top"/>
          </w:tcPr>
          <w:p>
            <w:pPr>
              <w:spacing w:after="0"/>
            </w:pPr>
            <w:r>
              <w:rPr>
                <w:sz w:val="17"/>
              </w:rPr>
              <w:t>Approximately 1,200 members</w:t>
            </w:r>
          </w:p>
        </w:tc>
        <w:tc>
          <w:tcPr>
            <w:tcW w:type="dxa" w:w="7056"/>
            <w:tcMar>
              <w:top w:w="80" w:type="dxa"/>
              <w:start w:w="90" w:type="dxa"/>
              <w:bottom w:w="80" w:type="dxa"/>
              <w:end w:w="90" w:type="dxa"/>
            </w:tcMar>
            <w:vAlign w:val="top"/>
          </w:tcPr>
          <w:p>
            <w:pPr>
              <w:spacing w:after="0"/>
            </w:pPr>
            <w:r>
              <w:rPr>
                <w:sz w:val="17"/>
              </w:rPr>
              <w:t>Membership cited for AMAC.</w:t>
            </w:r>
          </w:p>
        </w:tc>
      </w:tr>
      <w:tr>
        <w:tc>
          <w:tcPr>
            <w:tcW w:type="dxa" w:w="2448"/>
            <w:shd w:fill="F8FAFC"/>
            <w:tcMar>
              <w:top w:w="80" w:type="dxa"/>
              <w:start w:w="90" w:type="dxa"/>
              <w:bottom w:w="80" w:type="dxa"/>
              <w:end w:w="90" w:type="dxa"/>
            </w:tcMar>
            <w:vAlign w:val="top"/>
          </w:tcPr>
          <w:p>
            <w:pPr>
              <w:spacing w:after="0"/>
            </w:pPr>
            <w:r>
              <w:rPr>
                <w:sz w:val="17"/>
              </w:rPr>
              <w:t>More than 300 participants</w:t>
            </w:r>
          </w:p>
        </w:tc>
        <w:tc>
          <w:tcPr>
            <w:tcW w:type="dxa" w:w="7056"/>
            <w:shd w:fill="F8FAFC"/>
            <w:tcMar>
              <w:top w:w="80" w:type="dxa"/>
              <w:start w:w="90" w:type="dxa"/>
              <w:bottom w:w="80" w:type="dxa"/>
              <w:end w:w="90" w:type="dxa"/>
            </w:tcMar>
            <w:vAlign w:val="top"/>
          </w:tcPr>
          <w:p>
            <w:pPr>
              <w:spacing w:after="0"/>
            </w:pPr>
            <w:r>
              <w:rPr>
                <w:sz w:val="17"/>
              </w:rPr>
              <w:t>Attendance at the 25 May high-level field event.</w:t>
            </w:r>
          </w:p>
        </w:tc>
      </w:tr>
    </w:tbl>
    <w:p>
      <w:pPr>
        <w:spacing w:after="0"/>
      </w:pPr>
    </w:p>
    <w:p>
      <w:pPr>
        <w:pStyle w:val="Heading1"/>
      </w:pPr>
      <w:r>
        <w:t>Annex B. Selected quotations and coaching messages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608"/>
            <w:shd w:fill="1F4E78"/>
            <w:tcMar>
              <w:top w:w="80" w:type="dxa"/>
              <w:start w:w="90" w:type="dxa"/>
              <w:bottom w:w="80" w:type="dxa"/>
              <w:end w:w="90" w:type="dxa"/>
            </w:tcMar>
            <w:vAlign w:val="center"/>
          </w:tcPr>
          <w:p>
            <w:pPr>
              <w:jc w:val="left"/>
            </w:pPr>
            <w:r>
              <w:rPr>
                <w:b/>
                <w:color w:val="FFFFFF"/>
                <w:sz w:val="17"/>
              </w:rPr>
              <w:t>Message</w:t>
            </w:r>
          </w:p>
        </w:tc>
        <w:tc>
          <w:tcPr>
            <w:tcW w:type="dxa" w:w="4896"/>
            <w:shd w:fill="1F4E78"/>
            <w:tcMar>
              <w:top w:w="80" w:type="dxa"/>
              <w:start w:w="90" w:type="dxa"/>
              <w:bottom w:w="80" w:type="dxa"/>
              <w:end w:w="90" w:type="dxa"/>
            </w:tcMar>
            <w:vAlign w:val="center"/>
          </w:tcPr>
          <w:p>
            <w:pPr>
              <w:jc w:val="left"/>
            </w:pPr>
            <w:r>
              <w:rPr>
                <w:b/>
                <w:color w:val="FFFFFF"/>
                <w:sz w:val="17"/>
              </w:rPr>
              <w:t>Context</w:t>
            </w:r>
          </w:p>
        </w:tc>
      </w:tr>
      <w:tr>
        <w:tc>
          <w:tcPr>
            <w:tcW w:type="dxa" w:w="4608"/>
            <w:tcMar>
              <w:top w:w="80" w:type="dxa"/>
              <w:start w:w="90" w:type="dxa"/>
              <w:bottom w:w="80" w:type="dxa"/>
              <w:end w:w="90" w:type="dxa"/>
            </w:tcMar>
            <w:vAlign w:val="top"/>
          </w:tcPr>
          <w:p>
            <w:pPr>
              <w:spacing w:after="0"/>
            </w:pPr>
            <w:r>
              <w:rPr>
                <w:sz w:val="17"/>
              </w:rPr>
              <w:t>"We consider adoption as progressive."</w:t>
            </w:r>
          </w:p>
        </w:tc>
        <w:tc>
          <w:tcPr>
            <w:tcW w:type="dxa" w:w="4896"/>
            <w:tcMar>
              <w:top w:w="80" w:type="dxa"/>
              <w:start w:w="90" w:type="dxa"/>
              <w:bottom w:w="80" w:type="dxa"/>
              <w:end w:w="90" w:type="dxa"/>
            </w:tcMar>
            <w:vAlign w:val="top"/>
          </w:tcPr>
          <w:p>
            <w:pPr>
              <w:spacing w:after="0"/>
            </w:pPr>
            <w:r>
              <w:rPr>
                <w:sz w:val="17"/>
              </w:rPr>
              <w:t>Mohamed Boughlala, explaining why farmers may begin with no-till before rotation and residue retention.</w:t>
            </w:r>
          </w:p>
        </w:tc>
      </w:tr>
      <w:tr>
        <w:tc>
          <w:tcPr>
            <w:tcW w:type="dxa" w:w="4608"/>
            <w:shd w:fill="F8FAFC"/>
            <w:tcMar>
              <w:top w:w="80" w:type="dxa"/>
              <w:start w:w="90" w:type="dxa"/>
              <w:bottom w:w="80" w:type="dxa"/>
              <w:end w:w="90" w:type="dxa"/>
            </w:tcMar>
            <w:vAlign w:val="top"/>
          </w:tcPr>
          <w:p>
            <w:pPr>
              <w:spacing w:after="0"/>
            </w:pPr>
            <w:r>
              <w:rPr>
                <w:sz w:val="17"/>
              </w:rPr>
              <w:t>"The early adopters are the larger commercial farmers... then we are moving to the medium- and higher-hanging fruit."</w:t>
            </w:r>
          </w:p>
        </w:tc>
        <w:tc>
          <w:tcPr>
            <w:tcW w:type="dxa" w:w="4896"/>
            <w:shd w:fill="F8FAFC"/>
            <w:tcMar>
              <w:top w:w="80" w:type="dxa"/>
              <w:start w:w="90" w:type="dxa"/>
              <w:bottom w:w="80" w:type="dxa"/>
              <w:end w:w="90" w:type="dxa"/>
            </w:tcMar>
            <w:vAlign w:val="top"/>
          </w:tcPr>
          <w:p>
            <w:pPr>
              <w:spacing w:after="0"/>
            </w:pPr>
            <w:r>
              <w:rPr>
                <w:sz w:val="17"/>
              </w:rPr>
              <w:t>Coaching discussion on sequencing and the difficulty of the remaining hectares.</w:t>
            </w:r>
          </w:p>
        </w:tc>
      </w:tr>
      <w:tr>
        <w:tc>
          <w:tcPr>
            <w:tcW w:type="dxa" w:w="4608"/>
            <w:tcMar>
              <w:top w:w="80" w:type="dxa"/>
              <w:start w:w="90" w:type="dxa"/>
              <w:bottom w:w="80" w:type="dxa"/>
              <w:end w:w="90" w:type="dxa"/>
            </w:tcMar>
            <w:vAlign w:val="top"/>
          </w:tcPr>
          <w:p>
            <w:pPr>
              <w:spacing w:after="0"/>
            </w:pPr>
            <w:r>
              <w:rPr>
                <w:sz w:val="17"/>
              </w:rPr>
              <w:t>"It is not just whether you can make money doing no-till; you are in competition with people making money tilling."</w:t>
            </w:r>
          </w:p>
        </w:tc>
        <w:tc>
          <w:tcPr>
            <w:tcW w:type="dxa" w:w="4896"/>
            <w:tcMar>
              <w:top w:w="80" w:type="dxa"/>
              <w:start w:w="90" w:type="dxa"/>
              <w:bottom w:w="80" w:type="dxa"/>
              <w:end w:w="90" w:type="dxa"/>
            </w:tcMar>
            <w:vAlign w:val="top"/>
          </w:tcPr>
          <w:p>
            <w:pPr>
              <w:spacing w:after="0"/>
            </w:pPr>
            <w:r>
              <w:rPr>
                <w:sz w:val="17"/>
              </w:rPr>
              <w:t>Richard, identifying the real service-provider business-model test.</w:t>
            </w:r>
          </w:p>
        </w:tc>
      </w:tr>
      <w:tr>
        <w:tc>
          <w:tcPr>
            <w:tcW w:type="dxa" w:w="4608"/>
            <w:shd w:fill="F8FAFC"/>
            <w:tcMar>
              <w:top w:w="80" w:type="dxa"/>
              <w:start w:w="90" w:type="dxa"/>
              <w:bottom w:w="80" w:type="dxa"/>
              <w:end w:w="90" w:type="dxa"/>
            </w:tcMar>
            <w:vAlign w:val="top"/>
          </w:tcPr>
          <w:p>
            <w:pPr>
              <w:spacing w:after="0"/>
            </w:pPr>
            <w:r>
              <w:rPr>
                <w:sz w:val="17"/>
              </w:rPr>
              <w:t>"We need to go back to the field and identify the real economic, social and agronomic constraints."</w:t>
            </w:r>
          </w:p>
        </w:tc>
        <w:tc>
          <w:tcPr>
            <w:tcW w:type="dxa" w:w="4896"/>
            <w:shd w:fill="F8FAFC"/>
            <w:tcMar>
              <w:top w:w="80" w:type="dxa"/>
              <w:start w:w="90" w:type="dxa"/>
              <w:bottom w:w="80" w:type="dxa"/>
              <w:end w:w="90" w:type="dxa"/>
            </w:tcMar>
            <w:vAlign w:val="top"/>
          </w:tcPr>
          <w:p>
            <w:pPr>
              <w:spacing w:after="0"/>
            </w:pPr>
            <w:r>
              <w:rPr>
                <w:sz w:val="17"/>
              </w:rPr>
              <w:t>Mohamed, arguing that machine supply alone will not deliver the target.</w:t>
            </w:r>
          </w:p>
        </w:tc>
      </w:tr>
      <w:tr>
        <w:tc>
          <w:tcPr>
            <w:tcW w:type="dxa" w:w="4608"/>
            <w:tcMar>
              <w:top w:w="80" w:type="dxa"/>
              <w:start w:w="90" w:type="dxa"/>
              <w:bottom w:w="80" w:type="dxa"/>
              <w:end w:w="90" w:type="dxa"/>
            </w:tcMar>
            <w:vAlign w:val="top"/>
          </w:tcPr>
          <w:p>
            <w:pPr>
              <w:spacing w:after="0"/>
            </w:pPr>
            <w:r>
              <w:rPr>
                <w:sz w:val="17"/>
              </w:rPr>
              <w:t>"Scaling is not about having a strategy and implementing it... it is about discovering the other constraints and adjusting."</w:t>
            </w:r>
          </w:p>
        </w:tc>
        <w:tc>
          <w:tcPr>
            <w:tcW w:type="dxa" w:w="4896"/>
            <w:tcMar>
              <w:top w:w="80" w:type="dxa"/>
              <w:start w:w="90" w:type="dxa"/>
              <w:bottom w:w="80" w:type="dxa"/>
              <w:end w:w="90" w:type="dxa"/>
            </w:tcMar>
            <w:vAlign w:val="top"/>
          </w:tcPr>
          <w:p>
            <w:pPr>
              <w:spacing w:after="0"/>
            </w:pPr>
            <w:r>
              <w:rPr>
                <w:sz w:val="17"/>
              </w:rPr>
              <w:t>Richard, endorsing the team's adaptive systems approach.</w:t>
            </w:r>
          </w:p>
        </w:tc>
      </w:tr>
      <w:tr>
        <w:tc>
          <w:tcPr>
            <w:tcW w:type="dxa" w:w="4608"/>
            <w:shd w:fill="F8FAFC"/>
            <w:tcMar>
              <w:top w:w="80" w:type="dxa"/>
              <w:start w:w="90" w:type="dxa"/>
              <w:bottom w:w="80" w:type="dxa"/>
              <w:end w:w="90" w:type="dxa"/>
            </w:tcMar>
            <w:vAlign w:val="top"/>
          </w:tcPr>
          <w:p>
            <w:pPr>
              <w:spacing w:after="0"/>
            </w:pPr>
            <w:r>
              <w:rPr>
                <w:sz w:val="17"/>
              </w:rPr>
              <w:t>"A free seeder is not a guarantee of reaching 400 hectares."</w:t>
            </w:r>
          </w:p>
        </w:tc>
        <w:tc>
          <w:tcPr>
            <w:tcW w:type="dxa" w:w="4896"/>
            <w:shd w:fill="F8FAFC"/>
            <w:tcMar>
              <w:top w:w="80" w:type="dxa"/>
              <w:start w:w="90" w:type="dxa"/>
              <w:bottom w:w="80" w:type="dxa"/>
              <w:end w:w="90" w:type="dxa"/>
            </w:tcMar>
            <w:vAlign w:val="top"/>
          </w:tcPr>
          <w:p>
            <w:pPr>
              <w:spacing w:after="0"/>
            </w:pPr>
            <w:r>
              <w:rPr>
                <w:sz w:val="17"/>
              </w:rPr>
              <w:t>Mohamed, motivating the shift from capital subsidy to utilization and ecosystem-service incentives.</w:t>
            </w:r>
          </w:p>
        </w:tc>
      </w:tr>
      <w:tr>
        <w:tc>
          <w:tcPr>
            <w:tcW w:type="dxa" w:w="4608"/>
            <w:tcMar>
              <w:top w:w="80" w:type="dxa"/>
              <w:start w:w="90" w:type="dxa"/>
              <w:bottom w:w="80" w:type="dxa"/>
              <w:end w:w="90" w:type="dxa"/>
            </w:tcMar>
            <w:vAlign w:val="top"/>
          </w:tcPr>
          <w:p>
            <w:pPr>
              <w:spacing w:after="0"/>
            </w:pPr>
            <w:r>
              <w:rPr>
                <w:sz w:val="17"/>
              </w:rPr>
              <w:t>"Do not oversell what you cannot deliver."</w:t>
            </w:r>
          </w:p>
        </w:tc>
        <w:tc>
          <w:tcPr>
            <w:tcW w:type="dxa" w:w="4896"/>
            <w:tcMar>
              <w:top w:w="80" w:type="dxa"/>
              <w:start w:w="90" w:type="dxa"/>
              <w:bottom w:w="80" w:type="dxa"/>
              <w:end w:w="90" w:type="dxa"/>
            </w:tcMar>
            <w:vAlign w:val="top"/>
          </w:tcPr>
          <w:p>
            <w:pPr>
              <w:spacing w:after="0"/>
            </w:pPr>
            <w:r>
              <w:rPr>
                <w:sz w:val="17"/>
              </w:rPr>
              <w:t>Final coaching guidance for future S4I proposals and target communication.</w:t>
            </w:r>
          </w:p>
        </w:tc>
      </w:tr>
      <w:tr>
        <w:tc>
          <w:tcPr>
            <w:tcW w:type="dxa" w:w="4608"/>
            <w:shd w:fill="F8FAFC"/>
            <w:tcMar>
              <w:top w:w="80" w:type="dxa"/>
              <w:start w:w="90" w:type="dxa"/>
              <w:bottom w:w="80" w:type="dxa"/>
              <w:end w:w="90" w:type="dxa"/>
            </w:tcMar>
            <w:vAlign w:val="top"/>
          </w:tcPr>
          <w:p>
            <w:pPr>
              <w:spacing w:after="0"/>
            </w:pPr>
            <w:r>
              <w:rPr>
                <w:sz w:val="17"/>
              </w:rPr>
              <w:t>"Scale down to scale up" was implicit in the discussion.</w:t>
            </w:r>
          </w:p>
        </w:tc>
        <w:tc>
          <w:tcPr>
            <w:tcW w:type="dxa" w:w="4896"/>
            <w:shd w:fill="F8FAFC"/>
            <w:tcMar>
              <w:top w:w="80" w:type="dxa"/>
              <w:start w:w="90" w:type="dxa"/>
              <w:bottom w:w="80" w:type="dxa"/>
              <w:end w:w="90" w:type="dxa"/>
            </w:tcMar>
            <w:vAlign w:val="top"/>
          </w:tcPr>
          <w:p>
            <w:pPr>
              <w:spacing w:after="0"/>
            </w:pPr>
            <w:r>
              <w:rPr>
                <w:sz w:val="17"/>
              </w:rPr>
              <w:t>The track may need fewer, clearer machinery and package options tailored to specific farm and agroecological contexts in order to scale effectively.</w:t>
            </w:r>
          </w:p>
        </w:tc>
      </w:tr>
    </w:tbl>
    <w:p>
      <w:pPr>
        <w:spacing w:after="0"/>
      </w:pPr>
    </w:p>
    <w:p>
      <w:pPr>
        <w:spacing w:before="200"/>
        <w:jc w:val="center"/>
      </w:pPr>
      <w:r>
        <w:rPr>
          <w:b/>
          <w:color w:val="266F76"/>
        </w:rPr>
        <w:t>End of notes</w:t>
      </w:r>
    </w:p>
    <w:sectPr w:rsidR="00FC693F" w:rsidRPr="0006063C" w:rsidSect="00034616">
      <w:headerReference w:type="default" r:id="rId9"/>
      <w:footerReference w:type="default" r:id="rId10"/>
      <w:pgSz w:w="12240" w:h="15840"/>
      <w:pgMar w:top="1037" w:right="1123" w:bottom="979"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 xml:space="preserve">Prepared from the 20 July 2026 coaching-session transcript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Morocco Conservation Agriculture - Comprehensive Coaching Session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6F76"/>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b/>
      <w:bCs/>
      <w:color w:val="1F37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37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i/>
      <w:iCs/>
      <w:color w:val="6464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20" w:line="269" w:lineRule="auto"/>
    </w:pPr>
    <w:rPr>
      <w:rFonts w:ascii="Aptos" w:hAnsi="Aptos"/>
      <w:color w:val="1F374E"/>
      <w:sz w:val="21"/>
    </w:rPr>
  </w:style>
  <w:style w:type="paragraph" w:customStyle="1" w:styleId="KeyQuote">
    <w:name w:val="Key Quote"/>
    <w:pPr>
      <w:spacing w:before="100" w:after="120"/>
      <w:ind w:left="403" w:right="403"/>
    </w:pPr>
    <w:rPr>
      <w:rFonts w:ascii="Aptos" w:hAnsi="Aptos"/>
      <w:i/>
      <w:color w:val="266F7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Agriculture One Million Hectares Morocco - Comprehensive Coaching Session Notes</dc:title>
  <dc:subject>Comprehensive thematic notes from the 20 July 2026 coaching session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