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25499" w14:textId="77777777" w:rsidR="00A22053" w:rsidRDefault="00000000">
      <w:pPr>
        <w:pStyle w:val="Title"/>
        <w:jc w:val="center"/>
      </w:pPr>
      <w:r>
        <w:t>One Million Ha Vietnam Coaching Session Notes</w:t>
      </w:r>
    </w:p>
    <w:p w14:paraId="46D43D56" w14:textId="77777777" w:rsidR="00A22053" w:rsidRDefault="00000000">
      <w:pPr>
        <w:jc w:val="center"/>
      </w:pPr>
      <w:r>
        <w:rPr>
          <w:b/>
          <w:color w:val="595959"/>
          <w:sz w:val="24"/>
        </w:rPr>
        <w:t>Precision Nutrient Management at Scale: Supporting Vietnam's One-Million-Ha Low-Emission Rice Program</w:t>
      </w:r>
    </w:p>
    <w:p w14:paraId="5741D838" w14:textId="136EECBA" w:rsidR="00A22053" w:rsidRDefault="00000000">
      <w:pPr>
        <w:jc w:val="center"/>
      </w:pPr>
      <w:r>
        <w:rPr>
          <w:i/>
          <w:color w:val="595959"/>
          <w:sz w:val="19"/>
        </w:rPr>
        <w:t xml:space="preserve">Meeting date: 15 July 2026 </w:t>
      </w:r>
    </w:p>
    <w:tbl>
      <w:tblPr>
        <w:tblW w:w="0" w:type="auto"/>
        <w:jc w:val="center"/>
        <w:tblLook w:val="04A0" w:firstRow="1" w:lastRow="0" w:firstColumn="1" w:lastColumn="0" w:noHBand="0" w:noVBand="1"/>
      </w:tblPr>
      <w:tblGrid>
        <w:gridCol w:w="10080"/>
      </w:tblGrid>
      <w:tr w:rsidR="00A22053" w14:paraId="43602C80" w14:textId="77777777">
        <w:trPr>
          <w:jc w:val="center"/>
        </w:trPr>
        <w:tc>
          <w:tcPr>
            <w:tcW w:w="10080" w:type="dxa"/>
            <w:shd w:val="clear" w:color="auto" w:fill="EAF2F8"/>
          </w:tcPr>
          <w:p w14:paraId="1410BD3B" w14:textId="77777777" w:rsidR="00A22053" w:rsidRDefault="00000000">
            <w:r>
              <w:rPr>
                <w:b/>
                <w:color w:val="1F4E79"/>
                <w:sz w:val="22"/>
              </w:rPr>
              <w:t>Bottom line</w:t>
            </w:r>
          </w:p>
          <w:p w14:paraId="61382E96" w14:textId="77777777" w:rsidR="00A22053" w:rsidRDefault="00000000">
            <w:r>
              <w:t>The Vietnam PNM track has strong policy alignment through the national One-Million-Ha Program and strong technical history around Rice Crop Manager / site-specific nutrient management. The coaching discussion, however, showed that the track needs a sharper scaling thesis: focus around RCM/precision nutrient recommendations, separate this from the wider machinery bundle and from the broader government program, quantify actual reach-to-adoption conversion, and strengthen the farmer and private-sector business case before making strong adoption or OICR claims.</w:t>
            </w:r>
          </w:p>
        </w:tc>
      </w:tr>
    </w:tbl>
    <w:p w14:paraId="5B97F594" w14:textId="77777777" w:rsidR="00A22053" w:rsidRDefault="00A22053"/>
    <w:p w14:paraId="6FB508C0" w14:textId="77777777" w:rsidR="00A22053" w:rsidRDefault="00000000">
      <w:pPr>
        <w:pStyle w:val="Heading1"/>
      </w:pPr>
      <w:r>
        <w:t>1. Meeting purpose and participants</w:t>
      </w:r>
    </w:p>
    <w:p w14:paraId="0F1DB3BA" w14:textId="2BFD876B" w:rsidR="00A22053" w:rsidRDefault="00000000">
      <w:r>
        <w:t>The session was a virtual scaling coaching discussion for the Vietnam Precision Nutrient Management at Scale / One-Million-Ha Low-Emission Rice Program track. Rica introduced Richard Kohl as the external scaling coach and explained that the session would focus on what is happening in the Vietnam scaling track, how the pathway is working, and what needs to be strengthened. Felix</w:t>
      </w:r>
      <w:r w:rsidR="009669D7">
        <w:t>,</w:t>
      </w:r>
      <w:r>
        <w:t xml:space="preserve"> Ojong</w:t>
      </w:r>
      <w:r w:rsidR="009669D7">
        <w:t xml:space="preserve"> and Tim </w:t>
      </w:r>
      <w:proofErr w:type="gramStart"/>
      <w:r w:rsidR="009669D7">
        <w:t xml:space="preserve">also </w:t>
      </w:r>
      <w:r>
        <w:t xml:space="preserve"> joined</w:t>
      </w:r>
      <w:proofErr w:type="gramEnd"/>
      <w:r>
        <w:t xml:space="preserve"> from the S4I team.</w:t>
      </w:r>
    </w:p>
    <w:p w14:paraId="0184915C" w14:textId="6423F6C1" w:rsidR="00A22053" w:rsidRDefault="00000000">
      <w:r>
        <w:t>The Vietnam team was represented by Dr. Hung Van Nguyen and colleagues from IRRI Vietnam. Dr. Hung introduced himself as the lead for the Precision Nutrient Management flagship in Vietnam under Scaling for Impact, with colleagues supporting partnership engagement, policy engagement, data management and reporting.</w:t>
      </w:r>
    </w:p>
    <w:p w14:paraId="55C91F08" w14:textId="77777777" w:rsidR="00A22053" w:rsidRDefault="00000000">
      <w:pPr>
        <w:pStyle w:val="Heading1"/>
      </w:pPr>
      <w:r>
        <w:t>2. Solution presented by the team</w:t>
      </w:r>
    </w:p>
    <w:p w14:paraId="1FB860FB" w14:textId="77777777" w:rsidR="00A22053" w:rsidRDefault="00000000">
      <w:r>
        <w:t>The team presented the solution as a Precision Nutrient Management (PNM) bundle aligned with Vietnam's One-Million-Hectare High-Quality and Low-Emission Rice Program. The bundle includes Rice Crop Manager (RCM), mechanized direct seeding combined with fertilizer placement, drone seeding/fertilizer application, and rice straw-based nutrient management.</w:t>
      </w:r>
    </w:p>
    <w:p w14:paraId="7F6D51C6" w14:textId="77777777" w:rsidR="00A22053" w:rsidRDefault="00000000">
      <w:r>
        <w:t>A key clarification during the discussion was that the core innovation is RCM / site-specific nutrient management, not the mechanized fertilizer placement component. Dr. Hung explained that mechanized direct seeding and fertilizer placement are supporting technologies. If the team focused only on mechanized fertilizer placement, reaching one million hectares by 2030 would be impossible.</w:t>
      </w:r>
    </w:p>
    <w:p w14:paraId="1FE71BE8" w14:textId="77777777" w:rsidR="00A22053" w:rsidRDefault="00000000">
      <w:r>
        <w:t>The scaling target is framed primarily in hectares because the Government of Vietnam reports progress under the One-Million-Ha Program by area. The team presented a pathway of reaching 100,000 ha in 2026, continuing in 2027, expanding significantly in 2028-2029, and reaching 1 million ha by 2030.</w:t>
      </w:r>
    </w:p>
    <w:p w14:paraId="00265A3E" w14:textId="77777777" w:rsidR="00A22053" w:rsidRDefault="00000000">
      <w:pPr>
        <w:pStyle w:val="Heading1"/>
      </w:pPr>
      <w:r>
        <w:t>3. Main IPSR findings presented</w:t>
      </w:r>
    </w:p>
    <w:p w14:paraId="5A60B086" w14:textId="77777777" w:rsidR="00A22053" w:rsidRDefault="00000000">
      <w:r>
        <w:t>The team shared outputs from the IPSR process. The PNM bundle was scored as relatively well developed, with an innovation readiness score around 8, but use was more limited, around 6. This means that further action is needed for farmers and partners to pick it up at scale.</w:t>
      </w:r>
    </w:p>
    <w:tbl>
      <w:tblPr>
        <w:tblStyle w:val="TableGrid"/>
        <w:tblW w:w="0" w:type="auto"/>
        <w:jc w:val="center"/>
        <w:tblLook w:val="04A0" w:firstRow="1" w:lastRow="0" w:firstColumn="1" w:lastColumn="0" w:noHBand="0" w:noVBand="1"/>
      </w:tblPr>
      <w:tblGrid>
        <w:gridCol w:w="2953"/>
        <w:gridCol w:w="7343"/>
      </w:tblGrid>
      <w:tr w:rsidR="00A22053" w14:paraId="4CCEC430" w14:textId="77777777">
        <w:trPr>
          <w:tblHeader/>
          <w:jc w:val="center"/>
        </w:trPr>
        <w:tc>
          <w:tcPr>
            <w:tcW w:w="3168" w:type="dxa"/>
            <w:shd w:val="clear" w:color="auto" w:fill="1F4E79"/>
            <w:vAlign w:val="center"/>
          </w:tcPr>
          <w:p w14:paraId="4A60E0C5" w14:textId="77777777" w:rsidR="00A22053" w:rsidRDefault="00000000">
            <w:pPr>
              <w:jc w:val="center"/>
            </w:pPr>
            <w:r>
              <w:rPr>
                <w:b/>
                <w:color w:val="FFFFFF"/>
                <w:sz w:val="18"/>
              </w:rPr>
              <w:t>Challenge group</w:t>
            </w:r>
          </w:p>
        </w:tc>
        <w:tc>
          <w:tcPr>
            <w:tcW w:w="8064" w:type="dxa"/>
            <w:shd w:val="clear" w:color="auto" w:fill="1F4E79"/>
            <w:vAlign w:val="center"/>
          </w:tcPr>
          <w:p w14:paraId="019BB080" w14:textId="77777777" w:rsidR="00A22053" w:rsidRDefault="00000000">
            <w:pPr>
              <w:jc w:val="center"/>
            </w:pPr>
            <w:r>
              <w:rPr>
                <w:b/>
                <w:color w:val="FFFFFF"/>
                <w:sz w:val="18"/>
              </w:rPr>
              <w:t>Issues raised in the meeting</w:t>
            </w:r>
          </w:p>
        </w:tc>
      </w:tr>
      <w:tr w:rsidR="00A22053" w14:paraId="562ECC63" w14:textId="77777777">
        <w:trPr>
          <w:jc w:val="center"/>
        </w:trPr>
        <w:tc>
          <w:tcPr>
            <w:tcW w:w="3168" w:type="dxa"/>
          </w:tcPr>
          <w:p w14:paraId="33494D4A" w14:textId="77777777" w:rsidR="00A22053" w:rsidRDefault="00000000">
            <w:r>
              <w:rPr>
                <w:sz w:val="18"/>
              </w:rPr>
              <w:lastRenderedPageBreak/>
              <w:t>Farmers and cooperatives</w:t>
            </w:r>
          </w:p>
        </w:tc>
        <w:tc>
          <w:tcPr>
            <w:tcW w:w="8064" w:type="dxa"/>
          </w:tcPr>
          <w:p w14:paraId="1E26EBBF" w14:textId="77777777" w:rsidR="00A22053" w:rsidRDefault="00000000">
            <w:r>
              <w:rPr>
                <w:sz w:val="18"/>
              </w:rPr>
              <w:t>Limited knowledge, skills and capital; skepticism about adopting a large bundle without concrete evidence of benefits.</w:t>
            </w:r>
          </w:p>
        </w:tc>
      </w:tr>
      <w:tr w:rsidR="00A22053" w14:paraId="04B944B3" w14:textId="77777777">
        <w:trPr>
          <w:jc w:val="center"/>
        </w:trPr>
        <w:tc>
          <w:tcPr>
            <w:tcW w:w="3168" w:type="dxa"/>
          </w:tcPr>
          <w:p w14:paraId="5C63CF2D" w14:textId="77777777" w:rsidR="00A22053" w:rsidRDefault="00000000">
            <w:r>
              <w:rPr>
                <w:sz w:val="18"/>
              </w:rPr>
              <w:t>Value chain and market incentives</w:t>
            </w:r>
          </w:p>
        </w:tc>
        <w:tc>
          <w:tcPr>
            <w:tcW w:w="8064" w:type="dxa"/>
          </w:tcPr>
          <w:p w14:paraId="7C0FC9AF" w14:textId="77777777" w:rsidR="00A22053" w:rsidRDefault="00000000">
            <w:r>
              <w:rPr>
                <w:sz w:val="18"/>
              </w:rPr>
              <w:t>Farmers may invest in improved or low-emission practices but still sell at the same price as conventional rice; the premium or market-pull logic is not yet clear.</w:t>
            </w:r>
          </w:p>
        </w:tc>
      </w:tr>
      <w:tr w:rsidR="00A22053" w14:paraId="19F5814A" w14:textId="77777777">
        <w:trPr>
          <w:jc w:val="center"/>
        </w:trPr>
        <w:tc>
          <w:tcPr>
            <w:tcW w:w="3168" w:type="dxa"/>
          </w:tcPr>
          <w:p w14:paraId="528D3FE6" w14:textId="77777777" w:rsidR="00A22053" w:rsidRDefault="00000000">
            <w:r>
              <w:rPr>
                <w:sz w:val="18"/>
              </w:rPr>
              <w:t>Governance and finance</w:t>
            </w:r>
          </w:p>
        </w:tc>
        <w:tc>
          <w:tcPr>
            <w:tcW w:w="8064" w:type="dxa"/>
          </w:tcPr>
          <w:p w14:paraId="0FD92F3A" w14:textId="77777777" w:rsidR="00A22053" w:rsidRDefault="00000000">
            <w:r>
              <w:rPr>
                <w:sz w:val="18"/>
              </w:rPr>
              <w:t>Limited or difficult-to-access government incentives and credit for cooperatives and farmers; finance and legal/governance issues still need support.</w:t>
            </w:r>
          </w:p>
        </w:tc>
      </w:tr>
      <w:tr w:rsidR="00A22053" w14:paraId="6282ABC4" w14:textId="77777777">
        <w:trPr>
          <w:jc w:val="center"/>
        </w:trPr>
        <w:tc>
          <w:tcPr>
            <w:tcW w:w="3168" w:type="dxa"/>
          </w:tcPr>
          <w:p w14:paraId="7A6DB6B7" w14:textId="77777777" w:rsidR="00A22053" w:rsidRDefault="00000000">
            <w:r>
              <w:rPr>
                <w:sz w:val="18"/>
              </w:rPr>
              <w:t>Gender</w:t>
            </w:r>
          </w:p>
        </w:tc>
        <w:tc>
          <w:tcPr>
            <w:tcW w:w="8064" w:type="dxa"/>
          </w:tcPr>
          <w:p w14:paraId="5E078B95" w14:textId="77777777" w:rsidR="00A22053" w:rsidRDefault="00000000">
            <w:r>
              <w:rPr>
                <w:sz w:val="18"/>
              </w:rPr>
              <w:t>Gender-related solutions were described as both underdeveloped and limited in adoption. More substantive GESI analysis is needed.</w:t>
            </w:r>
          </w:p>
        </w:tc>
      </w:tr>
    </w:tbl>
    <w:p w14:paraId="4A0479D6" w14:textId="77777777" w:rsidR="00A22053" w:rsidRDefault="00A22053"/>
    <w:p w14:paraId="28C2D558" w14:textId="77777777" w:rsidR="00A22053" w:rsidRDefault="00000000">
      <w:pPr>
        <w:pStyle w:val="Heading1"/>
      </w:pPr>
      <w:r>
        <w:t>4. What the team said is already happening</w:t>
      </w:r>
    </w:p>
    <w:p w14:paraId="557F5933" w14:textId="77777777" w:rsidR="00A22053" w:rsidRDefault="00000000">
      <w:r>
        <w:t>The team highlighted several activities under implementation or alignment with the national program:</w:t>
      </w:r>
    </w:p>
    <w:p w14:paraId="118DD744" w14:textId="77777777" w:rsidR="00A22053" w:rsidRDefault="00000000">
      <w:pPr>
        <w:pStyle w:val="ListBullet"/>
        <w:spacing w:after="40"/>
        <w:ind w:left="0"/>
      </w:pPr>
      <w:r>
        <w:t>Support to the Ministry of Agriculture and Environment to develop technical guidelines for high-quality and low-emission rice, including precision nutrient management.</w:t>
      </w:r>
    </w:p>
    <w:p w14:paraId="09880819" w14:textId="77777777" w:rsidR="00A22053" w:rsidRDefault="00000000">
      <w:pPr>
        <w:pStyle w:val="ListBullet"/>
        <w:spacing w:after="40"/>
        <w:ind w:left="0"/>
      </w:pPr>
      <w:r>
        <w:t>Distribution of One-Million-Ha technical guidelines across the Mekong River Delta, with PNM said to cover roughly 40-50% of the guideline content.</w:t>
      </w:r>
    </w:p>
    <w:p w14:paraId="42AB69FE" w14:textId="77777777" w:rsidR="00A22053" w:rsidRDefault="00000000">
      <w:pPr>
        <w:pStyle w:val="ListBullet"/>
        <w:spacing w:after="40"/>
        <w:ind w:left="0"/>
      </w:pPr>
      <w:r>
        <w:t>Fine-tuning and validation of RCM for precision nutrient management in the Mekong River Delta.</w:t>
      </w:r>
    </w:p>
    <w:p w14:paraId="450E16FB" w14:textId="77777777" w:rsidR="00A22053" w:rsidRDefault="00000000">
      <w:pPr>
        <w:pStyle w:val="ListBullet"/>
        <w:spacing w:after="40"/>
        <w:ind w:left="0"/>
      </w:pPr>
      <w:r>
        <w:t>Development of a printed fertilizer calendar for farmers, fertilizer dealers and extension workers who cannot or do not want to use a smartphone-based application.</w:t>
      </w:r>
    </w:p>
    <w:p w14:paraId="48946FA1" w14:textId="77777777" w:rsidR="00A22053" w:rsidRDefault="00000000">
      <w:pPr>
        <w:pStyle w:val="ListBullet"/>
        <w:spacing w:after="40"/>
        <w:ind w:left="0"/>
      </w:pPr>
      <w:r>
        <w:t>Development of an AI-based rice advisory chatbot linked to RCM data.</w:t>
      </w:r>
    </w:p>
    <w:p w14:paraId="018B422B" w14:textId="77777777" w:rsidR="00A22053" w:rsidRDefault="00000000">
      <w:pPr>
        <w:pStyle w:val="ListBullet"/>
        <w:spacing w:after="40"/>
        <w:ind w:left="0"/>
      </w:pPr>
      <w:r>
        <w:t>Work with the National Extension Centre, provincial departments, fertilizer companies, the Vietnam Rice Sector Association, the Vietnam Fertilizer Association, universities and government actors.</w:t>
      </w:r>
    </w:p>
    <w:p w14:paraId="56761475" w14:textId="77777777" w:rsidR="00A22053" w:rsidRDefault="00000000">
      <w:pPr>
        <w:pStyle w:val="ListBullet"/>
        <w:spacing w:after="40"/>
        <w:ind w:left="0"/>
      </w:pPr>
      <w:r>
        <w:t>Training, field demonstrations, forums, technical guideline development, fertilizer supply-chain models, and support for low-emission rice branding and compliance assessment.</w:t>
      </w:r>
    </w:p>
    <w:p w14:paraId="0AFBA61F" w14:textId="77777777" w:rsidR="00A22053" w:rsidRDefault="00000000">
      <w:pPr>
        <w:pStyle w:val="Heading1"/>
      </w:pPr>
      <w:r>
        <w:t>5. Richard's main challenge: evidence of adoption</w:t>
      </w:r>
    </w:p>
    <w:p w14:paraId="7320BB7D" w14:textId="77777777" w:rsidR="00A22053" w:rsidRDefault="00000000">
      <w:r>
        <w:t>Richard's first major concern was that the theory of change seemed to assume that demonstrations, media coverage and awareness creation will lead to adoption. He asked what evidence the team had that these activities are actually leading to adoption.</w:t>
      </w:r>
    </w:p>
    <w:p w14:paraId="49C5AE82" w14:textId="77777777" w:rsidR="00A22053" w:rsidRDefault="00000000">
      <w:r>
        <w:t>When the team referred to targets, Richard pushed back that he was seeing targets rather than actual evidence. He asked whether the team already had 100,000 hectares adopted in 2026. The team clarified that 100,000 ha is an end-year target and that actual 2026 adoption had not yet been counted.</w:t>
      </w:r>
    </w:p>
    <w:p w14:paraId="3FC4940F" w14:textId="77777777" w:rsidR="00A22053" w:rsidRDefault="00000000">
      <w:r>
        <w:t>Richard also raised a concern that the pilot evidence and current farmer feedback were not fully aligned. Pilot evidence suggested reductions in seeding rates, nitrogen fertilizer and pesticide use, while maintaining or increasing yields and profitability. However, IPSR feedback suggested farmers were concerned about costs, limited incentives, and selling at the same price as conventional rice. Richard therefore asked why farmers would adopt if the financial case is not clear.</w:t>
      </w:r>
    </w:p>
    <w:p w14:paraId="7370CD53" w14:textId="77777777" w:rsidR="00A22053" w:rsidRDefault="00000000">
      <w:pPr>
        <w:pStyle w:val="Heading1"/>
      </w:pPr>
      <w:r>
        <w:t>6. Demonstrations, reach and conversion</w:t>
      </w:r>
    </w:p>
    <w:p w14:paraId="4981ED1A" w14:textId="77777777" w:rsidR="00A22053" w:rsidRDefault="00000000">
      <w:r>
        <w:t>Richard repeatedly asked for concrete numbers: how many demonstrations have been run this year, how many farmers attended, and how many used any part of the package after attending. The team indicated that real demonstrations in the recent three-month period had reached around 1,000 farmers, but agreed to quantify and share more precise numbers later.</w:t>
      </w:r>
    </w:p>
    <w:p w14:paraId="1871D358" w14:textId="77777777" w:rsidR="00A22053" w:rsidRDefault="00000000">
      <w:r>
        <w:lastRenderedPageBreak/>
        <w:t>The key point was that the team needs to distinguish between reach, training, demonstration attendance, trial, adoption and continued use. A proper conversion ratio is needed from demonstrations and awareness to actual adoption.</w:t>
      </w:r>
    </w:p>
    <w:tbl>
      <w:tblPr>
        <w:tblStyle w:val="TableGrid"/>
        <w:tblW w:w="0" w:type="auto"/>
        <w:jc w:val="center"/>
        <w:tblLook w:val="04A0" w:firstRow="1" w:lastRow="0" w:firstColumn="1" w:lastColumn="0" w:noHBand="0" w:noVBand="1"/>
      </w:tblPr>
      <w:tblGrid>
        <w:gridCol w:w="2397"/>
        <w:gridCol w:w="7899"/>
      </w:tblGrid>
      <w:tr w:rsidR="00A22053" w14:paraId="17DDCFA5" w14:textId="77777777">
        <w:trPr>
          <w:tblHeader/>
          <w:jc w:val="center"/>
        </w:trPr>
        <w:tc>
          <w:tcPr>
            <w:tcW w:w="2448" w:type="dxa"/>
            <w:shd w:val="clear" w:color="auto" w:fill="1F4E79"/>
            <w:vAlign w:val="center"/>
          </w:tcPr>
          <w:p w14:paraId="61C582BA" w14:textId="77777777" w:rsidR="00A22053" w:rsidRDefault="00000000">
            <w:pPr>
              <w:jc w:val="center"/>
            </w:pPr>
            <w:r>
              <w:rPr>
                <w:b/>
                <w:color w:val="FFFFFF"/>
                <w:sz w:val="18"/>
              </w:rPr>
              <w:t>Step</w:t>
            </w:r>
          </w:p>
        </w:tc>
        <w:tc>
          <w:tcPr>
            <w:tcW w:w="8784" w:type="dxa"/>
            <w:shd w:val="clear" w:color="auto" w:fill="1F4E79"/>
            <w:vAlign w:val="center"/>
          </w:tcPr>
          <w:p w14:paraId="7134F667" w14:textId="77777777" w:rsidR="00A22053" w:rsidRDefault="00000000">
            <w:pPr>
              <w:jc w:val="center"/>
            </w:pPr>
            <w:r>
              <w:rPr>
                <w:b/>
                <w:color w:val="FFFFFF"/>
                <w:sz w:val="18"/>
              </w:rPr>
              <w:t>What needs to be measured</w:t>
            </w:r>
          </w:p>
        </w:tc>
      </w:tr>
      <w:tr w:rsidR="00A22053" w14:paraId="39CCC0F6" w14:textId="77777777">
        <w:trPr>
          <w:jc w:val="center"/>
        </w:trPr>
        <w:tc>
          <w:tcPr>
            <w:tcW w:w="2448" w:type="dxa"/>
          </w:tcPr>
          <w:p w14:paraId="3373BB18" w14:textId="77777777" w:rsidR="00A22053" w:rsidRDefault="00000000">
            <w:r>
              <w:rPr>
                <w:sz w:val="18"/>
              </w:rPr>
              <w:t>Reach</w:t>
            </w:r>
          </w:p>
        </w:tc>
        <w:tc>
          <w:tcPr>
            <w:tcW w:w="8784" w:type="dxa"/>
          </w:tcPr>
          <w:p w14:paraId="79DD4C80" w14:textId="77777777" w:rsidR="00A22053" w:rsidRDefault="00000000">
            <w:r>
              <w:rPr>
                <w:sz w:val="18"/>
              </w:rPr>
              <w:t>Farmers/hectares covered by the national program, technical guideline dissemination, media or extension contact.</w:t>
            </w:r>
          </w:p>
        </w:tc>
      </w:tr>
      <w:tr w:rsidR="00A22053" w14:paraId="396B80A6" w14:textId="77777777">
        <w:trPr>
          <w:jc w:val="center"/>
        </w:trPr>
        <w:tc>
          <w:tcPr>
            <w:tcW w:w="2448" w:type="dxa"/>
          </w:tcPr>
          <w:p w14:paraId="7F137DF2" w14:textId="77777777" w:rsidR="00A22053" w:rsidRDefault="00000000">
            <w:r>
              <w:rPr>
                <w:sz w:val="18"/>
              </w:rPr>
              <w:t>Training/demonstration attendance</w:t>
            </w:r>
          </w:p>
        </w:tc>
        <w:tc>
          <w:tcPr>
            <w:tcW w:w="8784" w:type="dxa"/>
          </w:tcPr>
          <w:p w14:paraId="29D3B24A" w14:textId="77777777" w:rsidR="00A22053" w:rsidRDefault="00000000">
            <w:r>
              <w:rPr>
                <w:sz w:val="18"/>
              </w:rPr>
              <w:t>Number of demos, demo quality, farmers attending, cooperatives involved, and actors delivering the demos.</w:t>
            </w:r>
          </w:p>
        </w:tc>
      </w:tr>
      <w:tr w:rsidR="00A22053" w14:paraId="3CE5C2BA" w14:textId="77777777">
        <w:trPr>
          <w:jc w:val="center"/>
        </w:trPr>
        <w:tc>
          <w:tcPr>
            <w:tcW w:w="2448" w:type="dxa"/>
          </w:tcPr>
          <w:p w14:paraId="6C3329E2" w14:textId="77777777" w:rsidR="00A22053" w:rsidRDefault="00000000">
            <w:r>
              <w:rPr>
                <w:sz w:val="18"/>
              </w:rPr>
              <w:t>Trial</w:t>
            </w:r>
          </w:p>
        </w:tc>
        <w:tc>
          <w:tcPr>
            <w:tcW w:w="8784" w:type="dxa"/>
          </w:tcPr>
          <w:p w14:paraId="01DAAB2E" w14:textId="77777777" w:rsidR="00A22053" w:rsidRDefault="00000000">
            <w:r>
              <w:rPr>
                <w:sz w:val="18"/>
              </w:rPr>
              <w:t>Farmers or cooperatives trying RCM recommendations, calendar recommendations, mechanized services or other package components.</w:t>
            </w:r>
          </w:p>
        </w:tc>
      </w:tr>
      <w:tr w:rsidR="00A22053" w14:paraId="39B20710" w14:textId="77777777">
        <w:trPr>
          <w:jc w:val="center"/>
        </w:trPr>
        <w:tc>
          <w:tcPr>
            <w:tcW w:w="2448" w:type="dxa"/>
          </w:tcPr>
          <w:p w14:paraId="556C2A32" w14:textId="77777777" w:rsidR="00A22053" w:rsidRDefault="00000000">
            <w:r>
              <w:rPr>
                <w:sz w:val="18"/>
              </w:rPr>
              <w:t>Adoption/use</w:t>
            </w:r>
          </w:p>
        </w:tc>
        <w:tc>
          <w:tcPr>
            <w:tcW w:w="8784" w:type="dxa"/>
          </w:tcPr>
          <w:p w14:paraId="319B9BBA" w14:textId="77777777" w:rsidR="00A22053" w:rsidRDefault="00000000">
            <w:r>
              <w:rPr>
                <w:sz w:val="18"/>
              </w:rPr>
              <w:t>Farmers changing fertilizer application rates, timing or methods; hectares actually applying PNM recommendations.</w:t>
            </w:r>
          </w:p>
        </w:tc>
      </w:tr>
      <w:tr w:rsidR="00A22053" w14:paraId="2C66CA14" w14:textId="77777777">
        <w:trPr>
          <w:jc w:val="center"/>
        </w:trPr>
        <w:tc>
          <w:tcPr>
            <w:tcW w:w="2448" w:type="dxa"/>
          </w:tcPr>
          <w:p w14:paraId="7DC5B824" w14:textId="77777777" w:rsidR="00A22053" w:rsidRDefault="00000000">
            <w:r>
              <w:rPr>
                <w:sz w:val="18"/>
              </w:rPr>
              <w:t>Sustained use</w:t>
            </w:r>
          </w:p>
        </w:tc>
        <w:tc>
          <w:tcPr>
            <w:tcW w:w="8784" w:type="dxa"/>
          </w:tcPr>
          <w:p w14:paraId="25363A49" w14:textId="77777777" w:rsidR="00A22053" w:rsidRDefault="00000000">
            <w:r>
              <w:rPr>
                <w:sz w:val="18"/>
              </w:rPr>
              <w:t>Farmers continuing to use RCM/calendar recommendations across seasons without project push.</w:t>
            </w:r>
          </w:p>
        </w:tc>
      </w:tr>
      <w:tr w:rsidR="00A22053" w14:paraId="5B6EF7FF" w14:textId="77777777">
        <w:trPr>
          <w:jc w:val="center"/>
        </w:trPr>
        <w:tc>
          <w:tcPr>
            <w:tcW w:w="2448" w:type="dxa"/>
          </w:tcPr>
          <w:p w14:paraId="7E6326A5" w14:textId="77777777" w:rsidR="00A22053" w:rsidRDefault="00000000">
            <w:r>
              <w:rPr>
                <w:sz w:val="18"/>
              </w:rPr>
              <w:t>Multiplier effect</w:t>
            </w:r>
          </w:p>
        </w:tc>
        <w:tc>
          <w:tcPr>
            <w:tcW w:w="8784" w:type="dxa"/>
          </w:tcPr>
          <w:p w14:paraId="3CCE8FC9" w14:textId="77777777" w:rsidR="00A22053" w:rsidRDefault="00000000">
            <w:r>
              <w:rPr>
                <w:sz w:val="18"/>
              </w:rPr>
              <w:t>Farmers, cooperatives, dealers or extension actors spreading use beyond direct project-supported activities.</w:t>
            </w:r>
          </w:p>
        </w:tc>
      </w:tr>
    </w:tbl>
    <w:p w14:paraId="4B2CD3A4" w14:textId="77777777" w:rsidR="00A22053" w:rsidRDefault="00A22053"/>
    <w:p w14:paraId="11C02AE6" w14:textId="77777777" w:rsidR="00A22053" w:rsidRDefault="00000000">
      <w:pPr>
        <w:pStyle w:val="Heading1"/>
      </w:pPr>
      <w:r>
        <w:t>7. Mechanization and service provider discussion</w:t>
      </w:r>
    </w:p>
    <w:p w14:paraId="143A77C0" w14:textId="77777777" w:rsidR="00A22053" w:rsidRDefault="00000000">
      <w:r>
        <w:t>Richard asked how farmers would access mechanized direct seeding and fertilizer placement services. He wanted to know whether cooperatives would buy and operate machines, whether private machinery service providers would provide services, how many machines were being sold, and how many service providers were active.</w:t>
      </w:r>
    </w:p>
    <w:p w14:paraId="2210AB16" w14:textId="77777777" w:rsidR="00A22053" w:rsidRDefault="00000000">
      <w:r>
        <w:t>The team explained that for mechanized direct seeding and fertilizer placement, a few service providers had been established, with around two business models for drone seeding/fertilizer application and around 10 business service providers for other mechanized activities. However, the team clarified that this is not the core pathway for reaching one million hectares; the core target is RCM and precision nutrient recommendations.</w:t>
      </w:r>
    </w:p>
    <w:p w14:paraId="74803684" w14:textId="77777777" w:rsidR="00A22053" w:rsidRDefault="00000000">
      <w:r>
        <w:t>This became a key strategic point: the track should narrow around RCM / precision nutrient recommendations, while mechanization, fertilizer placement, drones and service-provider models remain supporting or selectively scaled elements.</w:t>
      </w:r>
    </w:p>
    <w:p w14:paraId="75B869C0" w14:textId="77777777" w:rsidR="00A22053" w:rsidRDefault="00000000">
      <w:pPr>
        <w:pStyle w:val="Heading1"/>
      </w:pPr>
      <w:r>
        <w:t>8. RCM access and who operates the model</w:t>
      </w:r>
    </w:p>
    <w:p w14:paraId="3EBDD812" w14:textId="77777777" w:rsidR="00A22053" w:rsidRDefault="00000000">
      <w:r>
        <w:t>Felix asked a follow-up question on the IPSR challenges around limited digital literacy and weak farmer organization capacity: if these are challenges, who is expected to operate the RCM model at scale - individual farmers, cooperatives or another actor?</w:t>
      </w:r>
    </w:p>
    <w:p w14:paraId="141704FB" w14:textId="77777777" w:rsidR="00A22053" w:rsidRDefault="00000000">
      <w:r>
        <w:t>The team explained that individual farmer use of the RCM app is challenging, so the model has two delivery pathways: digital RCM and a printed fertilizer calendar. Delivery is expected to happen through the national extension system, subdivisions of plant production and protection, fertilizer companies, fertilizer dealers, and farmer cooperatives.</w:t>
      </w:r>
    </w:p>
    <w:p w14:paraId="5226CDE0" w14:textId="77777777" w:rsidR="00A22053" w:rsidRDefault="00000000">
      <w:r>
        <w:t>The team noted that internet access in Vietnam is high, but not all farmers are willing to use a web application. Dr. Hung suggested that reaching around 30% of farmers through smartphone/web application use may already be a realistic target, with the printed calendar supporting the rest.</w:t>
      </w:r>
    </w:p>
    <w:p w14:paraId="35B4E929" w14:textId="77777777" w:rsidR="00A22053" w:rsidRDefault="00000000">
      <w:pPr>
        <w:pStyle w:val="Heading1"/>
      </w:pPr>
      <w:r>
        <w:lastRenderedPageBreak/>
        <w:t>9. Farmer confidence and business case</w:t>
      </w:r>
    </w:p>
    <w:p w14:paraId="78619B1D" w14:textId="77777777" w:rsidR="00A22053" w:rsidRDefault="00000000">
      <w:r>
        <w:t>Richard probed whether farmers' concerns about costs, yield and profitability relate to RCM fertilizer recommendations or to mechanization services. The team clarified that high implementation costs and finance constraints mainly relate to mechanized direct seeding with fertilizer placement, while farmer concerns about reduced fertilizer use relate to confidence in PNM/RCM recommendations.</w:t>
      </w:r>
    </w:p>
    <w:p w14:paraId="5388A3D7" w14:textId="77777777" w:rsidR="00A22053" w:rsidRDefault="00000000">
      <w:r>
        <w:t>Richard's concern was that if farmers do not trust the recommendation to reduce fertilizer, or if they believe that more fertilizer is better, adoption may remain low. He also suggested that the recommendations may be perceived as too complicated, especially if they involve different rates, timings, seasons, soils, varieties, straw management and crop establishment methods.</w:t>
      </w:r>
    </w:p>
    <w:p w14:paraId="3C025622" w14:textId="77777777" w:rsidR="00A22053" w:rsidRDefault="00000000">
      <w:r>
        <w:t>The team explained that RCM recommendations are based on five main factors: crop season/weather, soil, crop establishment method, rice straw management and variety. This confirmed the need to simplify delivery and communication for farmers and intermediaries.</w:t>
      </w:r>
    </w:p>
    <w:p w14:paraId="40AF26D3" w14:textId="77777777" w:rsidR="00A22053" w:rsidRDefault="00000000">
      <w:pPr>
        <w:pStyle w:val="Heading1"/>
      </w:pPr>
      <w:r>
        <w:t>10. Fertilizer companies and private-sector incentives</w:t>
      </w:r>
    </w:p>
    <w:p w14:paraId="1A7149A4" w14:textId="77777777" w:rsidR="00A22053" w:rsidRDefault="00000000">
      <w:r>
        <w:t>Richard raised concern that the role of fertilizer companies is under-specified. He asked what companies are doing beyond commitment letters or branding: how many demonstrations, awareness activities, campaigns, dealer engagements or farmer interactions they will conduct, and what return on investment they expect.</w:t>
      </w:r>
    </w:p>
    <w:p w14:paraId="0722DC04" w14:textId="77777777" w:rsidR="00A22053" w:rsidRDefault="00000000">
      <w:r>
        <w:t>The team explained that companies such as MTK are involved and that RCM can be adapted to specific fertilizer products. The incentive for fertilizer companies is that even if fertilizer use per hectare is reduced, they may increase market volume by reaching more farmers.</w:t>
      </w:r>
    </w:p>
    <w:p w14:paraId="5F5F4B36" w14:textId="77777777" w:rsidR="00A22053" w:rsidRDefault="00000000">
      <w:r>
        <w:t>Richard's recommendation was that the team needs more specificity on private-sector roles: what exactly fertilizer companies and dealers will do, how many farmers they will reach, how many demonstrations they will organize, and what resources they are investing.</w:t>
      </w:r>
    </w:p>
    <w:p w14:paraId="65D53493" w14:textId="77777777" w:rsidR="00A22053" w:rsidRDefault="00000000">
      <w:pPr>
        <w:pStyle w:val="Heading1"/>
      </w:pPr>
      <w:r>
        <w:t>11. GESI and women's role</w:t>
      </w:r>
    </w:p>
    <w:p w14:paraId="3F4EE310" w14:textId="77777777" w:rsidR="00A22053" w:rsidRDefault="00000000">
      <w:r>
        <w:t>Rica noted that Nozomi has been doing work on the GESI component of this track, including integration of women and youth inclusion into government training protocols and technical guidelines. Kim Dung added that the team is working on integrating gender into ICM/PNM training, farmer field days and demonstrations, and plans to develop a scaling strategy with attention to women's empowerment for female farmers.</w:t>
      </w:r>
    </w:p>
    <w:p w14:paraId="5069B9B9" w14:textId="77777777" w:rsidR="00A22053" w:rsidRDefault="00000000">
      <w:r>
        <w:t>Richard appreciated the gender integration but cautioned that it should not become a check-the-box exercise. He recommended a more substantive analysis of women's actual roles in rice production, fertilizer application, fertilizer purchase, adoption decisions, financial decision-making and control over resources.</w:t>
      </w:r>
    </w:p>
    <w:p w14:paraId="0306D10B" w14:textId="77777777" w:rsidR="00A22053" w:rsidRDefault="00000000">
      <w:r>
        <w:t>Ojong added that the team should assess women's land ownership and normative barriers, because land access could affect women's ability to adopt and benefit from the innovation in the long run.</w:t>
      </w:r>
    </w:p>
    <w:p w14:paraId="378E3683" w14:textId="77777777" w:rsidR="00A22053" w:rsidRDefault="00000000">
      <w:pPr>
        <w:pStyle w:val="Heading1"/>
      </w:pPr>
      <w:r>
        <w:t>12. Richard's key coaching recommendations</w:t>
      </w:r>
    </w:p>
    <w:p w14:paraId="65CE1D2D" w14:textId="77777777" w:rsidR="00A22053" w:rsidRDefault="00000000">
      <w:pPr>
        <w:pStyle w:val="ListNumber"/>
        <w:spacing w:after="60"/>
      </w:pPr>
      <w:r>
        <w:rPr>
          <w:b/>
        </w:rPr>
        <w:t xml:space="preserve">Narrow the focus: </w:t>
      </w:r>
      <w:r>
        <w:t>The track should focus more sharply on RCM / precision nutrient management recommendations as the core scaling pathway. Mechanization, fertilizer placement, drones and machinery service providers may remain supporting elements, but should not be treated as the main route to one million hectares.</w:t>
      </w:r>
    </w:p>
    <w:p w14:paraId="2F42332C" w14:textId="77777777" w:rsidR="00A22053" w:rsidRDefault="00000000">
      <w:pPr>
        <w:pStyle w:val="ListNumber"/>
        <w:spacing w:after="60"/>
      </w:pPr>
      <w:r>
        <w:rPr>
          <w:b/>
        </w:rPr>
        <w:t xml:space="preserve">Understand why adoption is low: </w:t>
      </w:r>
      <w:r>
        <w:t>Richard highlighted concern that only around 180 out of 1,000 exposed farmers appeared to be adopting, based on the assessment discussed. The team should investigate why the other 82% are not adopting: lack of trust, belief that more fertilizer is better, concern about yield loss, complexity of recommendations, or benefits being too small relative to rising fertilizer costs.</w:t>
      </w:r>
    </w:p>
    <w:p w14:paraId="19B1E113" w14:textId="77777777" w:rsidR="00A22053" w:rsidRDefault="00000000">
      <w:pPr>
        <w:pStyle w:val="ListNumber"/>
        <w:spacing w:after="60"/>
      </w:pPr>
      <w:r>
        <w:rPr>
          <w:b/>
        </w:rPr>
        <w:lastRenderedPageBreak/>
        <w:t xml:space="preserve">Measure conversion properly: </w:t>
      </w:r>
      <w:r>
        <w:t>The team should track the full conversion chain: number of demonstrations, quality of demonstrations, number of farmers attending, number trying the recommendation, number adopting, and number continuing. A strong extension system does not automatically mean adoption.</w:t>
      </w:r>
    </w:p>
    <w:p w14:paraId="58145152" w14:textId="77777777" w:rsidR="00A22053" w:rsidRDefault="00000000">
      <w:pPr>
        <w:pStyle w:val="ListNumber"/>
        <w:spacing w:after="60"/>
      </w:pPr>
      <w:r>
        <w:rPr>
          <w:b/>
        </w:rPr>
        <w:t xml:space="preserve">Increase implementation intensity or revise ambition: </w:t>
      </w:r>
      <w:r>
        <w:t>If the adoption rate remains around 18%, the team may need to reach hundreds of thousands of farmers to hit the 2026 target. Otherwise, the 2026 target and later acceleration assumptions may need revision.</w:t>
      </w:r>
    </w:p>
    <w:p w14:paraId="1E809234" w14:textId="77777777" w:rsidR="00A22053" w:rsidRDefault="00000000">
      <w:pPr>
        <w:pStyle w:val="ListNumber"/>
        <w:spacing w:after="60"/>
      </w:pPr>
      <w:r>
        <w:rPr>
          <w:b/>
        </w:rPr>
        <w:t xml:space="preserve">Strengthen the business case: </w:t>
      </w:r>
      <w:r>
        <w:t>The team needs to show clearly that farmers make or save money from adopting RCM recommendations. The business case for fertilizer companies, dealers and service providers also needs to be clearer and more evidence-based.</w:t>
      </w:r>
    </w:p>
    <w:p w14:paraId="45759F72" w14:textId="77777777" w:rsidR="00A22053" w:rsidRDefault="00000000">
      <w:pPr>
        <w:pStyle w:val="ListNumber"/>
        <w:spacing w:after="60"/>
      </w:pPr>
      <w:r>
        <w:rPr>
          <w:b/>
        </w:rPr>
        <w:t xml:space="preserve">Deepen the GESI analysis: </w:t>
      </w:r>
      <w:r>
        <w:t>Gender integration should move beyond general inclusion in training. The team should analyze specific gendered roles, constraints and decision points in rice production, fertilizer use, financial decisions and adoption behavior.</w:t>
      </w:r>
    </w:p>
    <w:p w14:paraId="4C72A7FD" w14:textId="77777777" w:rsidR="00A22053" w:rsidRDefault="00000000">
      <w:pPr>
        <w:pStyle w:val="Heading1"/>
      </w:pPr>
      <w:r>
        <w:t>13. Follow-up actions agreed or implied</w:t>
      </w:r>
    </w:p>
    <w:p w14:paraId="65A36B00" w14:textId="77777777" w:rsidR="00A22053" w:rsidRDefault="00000000">
      <w:r>
        <w:t>The team agreed to clarify several points after the meeting. Dr. Hung said they would meet with the PNM Vietnam core team, Justin and Rica to develop a more detailed plan showing who does what, how the team will reach the numbers, how many demonstration hectares are involved, and what indicators should be used.</w:t>
      </w:r>
    </w:p>
    <w:tbl>
      <w:tblPr>
        <w:tblStyle w:val="TableGrid"/>
        <w:tblW w:w="0" w:type="auto"/>
        <w:jc w:val="center"/>
        <w:tblLook w:val="04A0" w:firstRow="1" w:lastRow="0" w:firstColumn="1" w:lastColumn="0" w:noHBand="0" w:noVBand="1"/>
      </w:tblPr>
      <w:tblGrid>
        <w:gridCol w:w="2957"/>
        <w:gridCol w:w="7339"/>
      </w:tblGrid>
      <w:tr w:rsidR="00A22053" w14:paraId="243CBB37" w14:textId="77777777">
        <w:trPr>
          <w:tblHeader/>
          <w:jc w:val="center"/>
        </w:trPr>
        <w:tc>
          <w:tcPr>
            <w:tcW w:w="3168" w:type="dxa"/>
            <w:shd w:val="clear" w:color="auto" w:fill="1F4E79"/>
            <w:vAlign w:val="center"/>
          </w:tcPr>
          <w:p w14:paraId="494CD3E3" w14:textId="77777777" w:rsidR="00A22053" w:rsidRDefault="00000000">
            <w:pPr>
              <w:jc w:val="center"/>
            </w:pPr>
            <w:r>
              <w:rPr>
                <w:b/>
                <w:color w:val="FFFFFF"/>
                <w:sz w:val="18"/>
              </w:rPr>
              <w:t>Follow-up need</w:t>
            </w:r>
          </w:p>
        </w:tc>
        <w:tc>
          <w:tcPr>
            <w:tcW w:w="8064" w:type="dxa"/>
            <w:shd w:val="clear" w:color="auto" w:fill="1F4E79"/>
            <w:vAlign w:val="center"/>
          </w:tcPr>
          <w:p w14:paraId="23699318" w14:textId="77777777" w:rsidR="00A22053" w:rsidRDefault="00000000">
            <w:pPr>
              <w:jc w:val="center"/>
            </w:pPr>
            <w:r>
              <w:rPr>
                <w:b/>
                <w:color w:val="FFFFFF"/>
                <w:sz w:val="18"/>
              </w:rPr>
              <w:t>Specific action</w:t>
            </w:r>
          </w:p>
        </w:tc>
      </w:tr>
      <w:tr w:rsidR="00A22053" w14:paraId="62775145" w14:textId="77777777">
        <w:trPr>
          <w:jc w:val="center"/>
        </w:trPr>
        <w:tc>
          <w:tcPr>
            <w:tcW w:w="3168" w:type="dxa"/>
          </w:tcPr>
          <w:p w14:paraId="48E6E8FF" w14:textId="77777777" w:rsidR="00A22053" w:rsidRDefault="00000000">
            <w:r>
              <w:rPr>
                <w:sz w:val="18"/>
              </w:rPr>
              <w:t>Quantify reach and adoption</w:t>
            </w:r>
          </w:p>
        </w:tc>
        <w:tc>
          <w:tcPr>
            <w:tcW w:w="8064" w:type="dxa"/>
          </w:tcPr>
          <w:p w14:paraId="5D856B6E" w14:textId="77777777" w:rsidR="00A22053" w:rsidRDefault="00000000">
            <w:r>
              <w:rPr>
                <w:sz w:val="18"/>
              </w:rPr>
              <w:t>Compile actual 2026 numbers on demonstrations, farmers reached, farmers trained, farmers trying PNM, hectares under PNM/RCM, and adoption evidence.</w:t>
            </w:r>
          </w:p>
        </w:tc>
      </w:tr>
      <w:tr w:rsidR="00A22053" w14:paraId="69FF78A7" w14:textId="77777777">
        <w:trPr>
          <w:jc w:val="center"/>
        </w:trPr>
        <w:tc>
          <w:tcPr>
            <w:tcW w:w="3168" w:type="dxa"/>
          </w:tcPr>
          <w:p w14:paraId="1675BD01" w14:textId="77777777" w:rsidR="00A22053" w:rsidRDefault="00000000">
            <w:r>
              <w:rPr>
                <w:sz w:val="18"/>
              </w:rPr>
              <w:t>Clarify the core innovation</w:t>
            </w:r>
          </w:p>
        </w:tc>
        <w:tc>
          <w:tcPr>
            <w:tcW w:w="8064" w:type="dxa"/>
          </w:tcPr>
          <w:p w14:paraId="3DE08949" w14:textId="77777777" w:rsidR="00A22053" w:rsidRDefault="00000000">
            <w:r>
              <w:rPr>
                <w:sz w:val="18"/>
              </w:rPr>
              <w:t>State clearly that the core scaling pathway is PNM/RCM recommendations, with mechanization and other technologies as supporting or optional elements.</w:t>
            </w:r>
          </w:p>
        </w:tc>
      </w:tr>
      <w:tr w:rsidR="00A22053" w14:paraId="21ABFAF6" w14:textId="77777777">
        <w:trPr>
          <w:jc w:val="center"/>
        </w:trPr>
        <w:tc>
          <w:tcPr>
            <w:tcW w:w="3168" w:type="dxa"/>
          </w:tcPr>
          <w:p w14:paraId="08C49548" w14:textId="77777777" w:rsidR="00A22053" w:rsidRDefault="00000000">
            <w:r>
              <w:rPr>
                <w:sz w:val="18"/>
              </w:rPr>
              <w:t>Develop a conversion dashboard</w:t>
            </w:r>
          </w:p>
        </w:tc>
        <w:tc>
          <w:tcPr>
            <w:tcW w:w="8064" w:type="dxa"/>
          </w:tcPr>
          <w:p w14:paraId="789FB33C" w14:textId="77777777" w:rsidR="00A22053" w:rsidRDefault="00000000">
            <w:r>
              <w:rPr>
                <w:sz w:val="18"/>
              </w:rPr>
              <w:t>Track demonstration -&gt; attendance -&gt; trial -&gt; adoption -&gt; sustained use, by province, actor and channel.</w:t>
            </w:r>
          </w:p>
        </w:tc>
      </w:tr>
      <w:tr w:rsidR="00A22053" w14:paraId="35C5C352" w14:textId="77777777">
        <w:trPr>
          <w:jc w:val="center"/>
        </w:trPr>
        <w:tc>
          <w:tcPr>
            <w:tcW w:w="3168" w:type="dxa"/>
          </w:tcPr>
          <w:p w14:paraId="5DC77413" w14:textId="77777777" w:rsidR="00A22053" w:rsidRDefault="00000000">
            <w:r>
              <w:rPr>
                <w:sz w:val="18"/>
              </w:rPr>
              <w:t>Strengthen business case</w:t>
            </w:r>
          </w:p>
        </w:tc>
        <w:tc>
          <w:tcPr>
            <w:tcW w:w="8064" w:type="dxa"/>
          </w:tcPr>
          <w:p w14:paraId="47BCEC65" w14:textId="77777777" w:rsidR="00A22053" w:rsidRDefault="00000000">
            <w:r>
              <w:rPr>
                <w:sz w:val="18"/>
              </w:rPr>
              <w:t>Prepare farmer-level cost/benefit evidence and actor-specific business cases for fertilizer companies, dealers, cooperatives and service providers.</w:t>
            </w:r>
          </w:p>
        </w:tc>
      </w:tr>
      <w:tr w:rsidR="00A22053" w14:paraId="2E393388" w14:textId="77777777">
        <w:trPr>
          <w:jc w:val="center"/>
        </w:trPr>
        <w:tc>
          <w:tcPr>
            <w:tcW w:w="3168" w:type="dxa"/>
          </w:tcPr>
          <w:p w14:paraId="7EE2F874" w14:textId="77777777" w:rsidR="00A22053" w:rsidRDefault="00000000">
            <w:r>
              <w:rPr>
                <w:sz w:val="18"/>
              </w:rPr>
              <w:t>Clarify private-sector commitments</w:t>
            </w:r>
          </w:p>
        </w:tc>
        <w:tc>
          <w:tcPr>
            <w:tcW w:w="8064" w:type="dxa"/>
          </w:tcPr>
          <w:p w14:paraId="646267E9" w14:textId="77777777" w:rsidR="00A22053" w:rsidRDefault="00000000">
            <w:r>
              <w:rPr>
                <w:sz w:val="18"/>
              </w:rPr>
              <w:t>Document what each company will do, invest, demonstrate, distribute or report.</w:t>
            </w:r>
          </w:p>
        </w:tc>
      </w:tr>
      <w:tr w:rsidR="00A22053" w14:paraId="0FB0F3FA" w14:textId="77777777">
        <w:trPr>
          <w:jc w:val="center"/>
        </w:trPr>
        <w:tc>
          <w:tcPr>
            <w:tcW w:w="3168" w:type="dxa"/>
          </w:tcPr>
          <w:p w14:paraId="637AB2BC" w14:textId="77777777" w:rsidR="00A22053" w:rsidRDefault="00000000">
            <w:r>
              <w:rPr>
                <w:sz w:val="18"/>
              </w:rPr>
              <w:t>Deepen GESI evidence</w:t>
            </w:r>
          </w:p>
        </w:tc>
        <w:tc>
          <w:tcPr>
            <w:tcW w:w="8064" w:type="dxa"/>
          </w:tcPr>
          <w:p w14:paraId="7527B753" w14:textId="77777777" w:rsidR="00A22053" w:rsidRDefault="00000000">
            <w:r>
              <w:rPr>
                <w:sz w:val="18"/>
              </w:rPr>
              <w:t>Analyze women's roles in fertilizer decisions, land access, service use, cooperative participation and benefits.</w:t>
            </w:r>
          </w:p>
        </w:tc>
      </w:tr>
    </w:tbl>
    <w:p w14:paraId="128C6503" w14:textId="77777777" w:rsidR="00A22053" w:rsidRDefault="00A22053"/>
    <w:p w14:paraId="2F0BD77E" w14:textId="77777777" w:rsidR="00A22053" w:rsidRDefault="00000000">
      <w:pPr>
        <w:pStyle w:val="Heading1"/>
      </w:pPr>
      <w:r>
        <w:t>14. MELIA implications</w:t>
      </w:r>
    </w:p>
    <w:p w14:paraId="7456C779" w14:textId="77777777" w:rsidR="00A22053" w:rsidRDefault="00000000">
      <w:r>
        <w:t>For MELIA and OICR purposes, the safest evidence areas appear to be policy/technical guideline integration, partner engagement, and early scaling system development, rather than a strong claim of farmer-level adoption at 100,000 ha unless the team can verify that number clearly.</w:t>
      </w:r>
    </w:p>
    <w:p w14:paraId="402F70D5" w14:textId="77777777" w:rsidR="00A22053" w:rsidRDefault="00000000">
      <w:r>
        <w:t>The main MELIA gap is the lack of a clean evidence chain from technical guideline dissemination or demonstrations to actual farmer behavior change. The team should avoid equating hectares under the broader One-Million-Ha Program with hectares where farmers are actually using RCM/PNM recommendations unless there is verification.</w:t>
      </w:r>
    </w:p>
    <w:p w14:paraId="7708693A" w14:textId="77777777" w:rsidR="00A22053" w:rsidRDefault="00000000">
      <w:r>
        <w:t>A useful monitoring structure would distinguish:</w:t>
      </w:r>
    </w:p>
    <w:p w14:paraId="18B9CBB6" w14:textId="77777777" w:rsidR="00A22053" w:rsidRDefault="00000000">
      <w:pPr>
        <w:pStyle w:val="ListBullet"/>
        <w:spacing w:after="40"/>
        <w:ind w:left="0"/>
      </w:pPr>
      <w:r>
        <w:t>hectares covered by the national program;</w:t>
      </w:r>
    </w:p>
    <w:p w14:paraId="2AC8BF7D" w14:textId="77777777" w:rsidR="00A22053" w:rsidRDefault="00000000">
      <w:pPr>
        <w:pStyle w:val="ListBullet"/>
        <w:spacing w:after="40"/>
        <w:ind w:left="0"/>
      </w:pPr>
      <w:r>
        <w:t>hectares where PNM/RCM guidance was disseminated;</w:t>
      </w:r>
    </w:p>
    <w:p w14:paraId="7266E4FD" w14:textId="77777777" w:rsidR="00A22053" w:rsidRDefault="00000000">
      <w:pPr>
        <w:pStyle w:val="ListBullet"/>
        <w:spacing w:after="40"/>
        <w:ind w:left="0"/>
      </w:pPr>
      <w:r>
        <w:t>farmers/cooperatives trained;</w:t>
      </w:r>
    </w:p>
    <w:p w14:paraId="706BC228" w14:textId="77777777" w:rsidR="00A22053" w:rsidRDefault="00000000">
      <w:pPr>
        <w:pStyle w:val="ListBullet"/>
        <w:spacing w:after="40"/>
        <w:ind w:left="0"/>
      </w:pPr>
      <w:r>
        <w:lastRenderedPageBreak/>
        <w:t>farmers who received RCM/calendar recommendations;</w:t>
      </w:r>
    </w:p>
    <w:p w14:paraId="7104694C" w14:textId="77777777" w:rsidR="00A22053" w:rsidRDefault="00000000">
      <w:pPr>
        <w:pStyle w:val="ListBullet"/>
        <w:spacing w:after="40"/>
        <w:ind w:left="0"/>
      </w:pPr>
      <w:r>
        <w:t>farmers who changed fertilizer application rates;</w:t>
      </w:r>
    </w:p>
    <w:p w14:paraId="514870AF" w14:textId="77777777" w:rsidR="00A22053" w:rsidRDefault="00000000">
      <w:pPr>
        <w:pStyle w:val="ListBullet"/>
        <w:spacing w:after="40"/>
        <w:ind w:left="0"/>
      </w:pPr>
      <w:r>
        <w:t>hectares where fertilizer rates changed;</w:t>
      </w:r>
    </w:p>
    <w:p w14:paraId="6317CEF3" w14:textId="77777777" w:rsidR="00A22053" w:rsidRDefault="00000000">
      <w:pPr>
        <w:pStyle w:val="ListBullet"/>
        <w:spacing w:after="40"/>
        <w:ind w:left="0"/>
      </w:pPr>
      <w:r>
        <w:t>cost savings, yield and profit effects;</w:t>
      </w:r>
    </w:p>
    <w:p w14:paraId="236B3744" w14:textId="77777777" w:rsidR="00A22053" w:rsidRDefault="00000000">
      <w:pPr>
        <w:pStyle w:val="ListBullet"/>
        <w:spacing w:after="40"/>
        <w:ind w:left="0"/>
      </w:pPr>
      <w:r>
        <w:t>GHG or carbon-footprint implications.</w:t>
      </w:r>
    </w:p>
    <w:p w14:paraId="6333F043" w14:textId="77777777" w:rsidR="00A22053" w:rsidRDefault="00000000">
      <w:pPr>
        <w:pStyle w:val="Heading1"/>
      </w:pPr>
      <w:r>
        <w:t>15. Bottom line</w:t>
      </w:r>
    </w:p>
    <w:p w14:paraId="5A951BE5" w14:textId="77777777" w:rsidR="00A22053" w:rsidRDefault="00000000">
      <w:r>
        <w:t>The Vietnam track has a strong enabling environment because it is aligned with a major national program, has government recognition, strong IRRI technical history, and policy traction through the One-Million-Ha technical guidelines. However, the coaching session exposed major gaps in the scaling logic: the core innovation needs to be narrowed, adoption evidence is not yet clear, the conversion pathway is weakly measured, the 2026 target may be unrealistic without much larger outreach, and the business case for farmers and private companies needs to be sharpened.</w:t>
      </w:r>
    </w:p>
    <w:p w14:paraId="255C0D10" w14:textId="77777777" w:rsidR="00A22053" w:rsidRDefault="00000000">
      <w:pPr>
        <w:spacing w:before="120"/>
        <w:ind w:left="360" w:right="360"/>
      </w:pPr>
      <w:r>
        <w:rPr>
          <w:b/>
        </w:rPr>
        <w:t xml:space="preserve">Key message: </w:t>
      </w:r>
      <w:r>
        <w:t>Focus the track around RCM/precision nutrient recommendations, prove the farmer and partner business case, measure conversion from reach to adoption, and avoid overclaiming hectares unless actual use of PNM can be verified.</w:t>
      </w:r>
    </w:p>
    <w:sectPr w:rsidR="00A22053"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A63C1" w14:textId="77777777" w:rsidR="0029468D" w:rsidRDefault="0029468D">
      <w:pPr>
        <w:spacing w:after="0" w:line="240" w:lineRule="auto"/>
      </w:pPr>
      <w:r>
        <w:separator/>
      </w:r>
    </w:p>
  </w:endnote>
  <w:endnote w:type="continuationSeparator" w:id="0">
    <w:p w14:paraId="40B3E996" w14:textId="77777777" w:rsidR="0029468D" w:rsidRDefault="00294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CDBB6" w14:textId="77777777" w:rsidR="00A22053" w:rsidRDefault="00000000">
    <w:pPr>
      <w:pStyle w:val="Footer"/>
      <w:jc w:val="center"/>
    </w:pPr>
    <w:r>
      <w:rPr>
        <w:sz w:val="16"/>
      </w:rPr>
      <w:t>Internal working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89AE1" w14:textId="77777777" w:rsidR="0029468D" w:rsidRDefault="0029468D">
      <w:pPr>
        <w:spacing w:after="0" w:line="240" w:lineRule="auto"/>
      </w:pPr>
      <w:r>
        <w:separator/>
      </w:r>
    </w:p>
  </w:footnote>
  <w:footnote w:type="continuationSeparator" w:id="0">
    <w:p w14:paraId="3A6C9CA5" w14:textId="77777777" w:rsidR="0029468D" w:rsidRDefault="002946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899BB" w14:textId="77777777" w:rsidR="00A22053" w:rsidRDefault="00000000">
    <w:pPr>
      <w:pStyle w:val="Header"/>
      <w:jc w:val="right"/>
    </w:pPr>
    <w:r>
      <w:rPr>
        <w:color w:val="646464"/>
        <w:sz w:val="16"/>
      </w:rPr>
      <w:t>S4I Scaling Coaching Notes | Vietnam PNM / One-Million-Ha Rice Program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220862">
    <w:abstractNumId w:val="8"/>
  </w:num>
  <w:num w:numId="2" w16cid:durableId="2029913457">
    <w:abstractNumId w:val="6"/>
  </w:num>
  <w:num w:numId="3" w16cid:durableId="317194751">
    <w:abstractNumId w:val="5"/>
  </w:num>
  <w:num w:numId="4" w16cid:durableId="1288438084">
    <w:abstractNumId w:val="4"/>
  </w:num>
  <w:num w:numId="5" w16cid:durableId="2128153992">
    <w:abstractNumId w:val="7"/>
  </w:num>
  <w:num w:numId="6" w16cid:durableId="306395447">
    <w:abstractNumId w:val="3"/>
  </w:num>
  <w:num w:numId="7" w16cid:durableId="1132477212">
    <w:abstractNumId w:val="2"/>
  </w:num>
  <w:num w:numId="8" w16cid:durableId="1681278126">
    <w:abstractNumId w:val="1"/>
  </w:num>
  <w:num w:numId="9" w16cid:durableId="162912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CA8"/>
    <w:rsid w:val="0015074B"/>
    <w:rsid w:val="0029468D"/>
    <w:rsid w:val="0029639D"/>
    <w:rsid w:val="00326F90"/>
    <w:rsid w:val="009669D7"/>
    <w:rsid w:val="00A2205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0EBC4"/>
  <w14:defaultImageDpi w14:val="300"/>
  <w15:docId w15:val="{13F179EB-DB5B-484C-BDCF-8A02B1298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2558</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Otieno, Felix Owino (Alliance Bioversity-CIAT)</cp:lastModifiedBy>
  <cp:revision>2</cp:revision>
  <dcterms:created xsi:type="dcterms:W3CDTF">2013-12-23T23:15:00Z</dcterms:created>
  <dcterms:modified xsi:type="dcterms:W3CDTF">2026-07-15T10:19:00Z</dcterms:modified>
  <cp:category/>
</cp:coreProperties>
</file>