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5D79" w14:textId="77777777" w:rsidR="00C7665E" w:rsidRDefault="00000000">
      <w:pPr>
        <w:spacing w:before="1400"/>
        <w:jc w:val="center"/>
      </w:pPr>
      <w:r>
        <w:rPr>
          <w:b/>
          <w:color w:val="1F374E"/>
          <w:sz w:val="50"/>
        </w:rPr>
        <w:t>COMPREHENSIVE COACHING SESSION NOTES</w:t>
      </w:r>
    </w:p>
    <w:p w14:paraId="1C4AA255" w14:textId="77777777" w:rsidR="00C7665E" w:rsidRDefault="00000000">
      <w:pPr>
        <w:spacing w:before="240"/>
        <w:jc w:val="center"/>
      </w:pPr>
      <w:r>
        <w:rPr>
          <w:b/>
          <w:color w:val="206C7A"/>
          <w:sz w:val="36"/>
        </w:rPr>
        <w:t>Climate-smart Water and Soil Solution Bundles</w:t>
      </w:r>
      <w:r>
        <w:rPr>
          <w:b/>
          <w:color w:val="206C7A"/>
          <w:sz w:val="36"/>
        </w:rPr>
        <w:br/>
        <w:t>Guatemala and Colombia</w:t>
      </w:r>
    </w:p>
    <w:p w14:paraId="76425345" w14:textId="77777777" w:rsidR="00C7665E" w:rsidRDefault="00000000">
      <w:pPr>
        <w:spacing w:before="480"/>
        <w:jc w:val="center"/>
      </w:pPr>
      <w:r>
        <w:rPr>
          <w:color w:val="585858"/>
          <w:sz w:val="24"/>
        </w:rPr>
        <w:t>Coaching session held on 16 July 2026</w:t>
      </w:r>
    </w:p>
    <w:p w14:paraId="24665664" w14:textId="77777777" w:rsidR="00C7665E" w:rsidRDefault="00000000">
      <w:pPr>
        <w:spacing w:before="800"/>
        <w:jc w:val="center"/>
      </w:pPr>
      <w:r>
        <w:rPr>
          <w:i/>
          <w:color w:val="585858"/>
        </w:rPr>
        <w:t>Prepared as a thematic synthesis of the meeting transcript</w:t>
      </w:r>
    </w:p>
    <w:p w14:paraId="050CEF62" w14:textId="77777777" w:rsidR="00C7665E" w:rsidRDefault="00000000">
      <w:pPr>
        <w:spacing w:before="2400"/>
        <w:jc w:val="center"/>
      </w:pPr>
      <w:r>
        <w:rPr>
          <w:color w:val="585858"/>
          <w:sz w:val="18"/>
        </w:rPr>
        <w:t>Note on accuracy: The source is an automated transcript. Some names, acronyms and place names were unclear or inconsistently transcribed. The notes standardize recurring terms where the intended meaning was evident and flag uncertain details for verification.</w:t>
      </w:r>
    </w:p>
    <w:p w14:paraId="5C4826CA" w14:textId="77777777" w:rsidR="00C7665E" w:rsidRDefault="00000000">
      <w:r>
        <w:br w:type="page"/>
      </w:r>
    </w:p>
    <w:p w14:paraId="57050952" w14:textId="77777777" w:rsidR="00C7665E" w:rsidRDefault="00000000">
      <w:pPr>
        <w:pStyle w:val="Heading1"/>
      </w:pPr>
      <w:r>
        <w:lastRenderedPageBreak/>
        <w:t>Executive summary</w:t>
      </w:r>
    </w:p>
    <w:p w14:paraId="774364E1" w14:textId="77777777" w:rsidR="00C7665E" w:rsidRDefault="00000000">
      <w:pPr>
        <w:pStyle w:val="ListBullet"/>
      </w:pPr>
      <w:r>
        <w:t>The solution track aims to move proven climate-smart water and soil practices from evidence and pilot settings into farmer implementation in Guatemala and Colombia. The track positions itself as a catalyst and systems enabler rather than a direct implementer.</w:t>
      </w:r>
    </w:p>
    <w:p w14:paraId="6F8200A0" w14:textId="77777777" w:rsidR="00C7665E" w:rsidRDefault="00000000">
      <w:pPr>
        <w:pStyle w:val="ListBullet"/>
      </w:pPr>
      <w:r>
        <w:t>The 2026 ambition is 20,000 farmers implementing an integrated minimum bundle. The session repeatedly clarified that this must mean verified implementation or adoption, not merely awareness, attendance, training or exposure.</w:t>
      </w:r>
    </w:p>
    <w:p w14:paraId="695EE1C0" w14:textId="77777777" w:rsidR="00C7665E" w:rsidRDefault="00000000">
      <w:pPr>
        <w:pStyle w:val="ListBullet"/>
      </w:pPr>
      <w:r>
        <w:t>The proposed minimum bundle consists of at least one water-management practice, one soil-health practice and use of seasonal climate information. Additional technologies, including improved or drought-tolerant varieties, may complement the bundle depending on local agroecological and sociocultural conditions.</w:t>
      </w:r>
    </w:p>
    <w:p w14:paraId="780764AE" w14:textId="77777777" w:rsidR="00C7665E" w:rsidRDefault="00000000">
      <w:pPr>
        <w:pStyle w:val="ListBullet"/>
      </w:pPr>
      <w:r>
        <w:t>The technical evidence base is strong for individual practices, drawing on more than a decade of Climate-Smart Village work, but the evidence for the performance of complete bundles is less clearly organized. The team was encouraged to map representative bundles against cost, labour, behaviour change, productivity, income, resilience and environmental benefits.</w:t>
      </w:r>
    </w:p>
    <w:p w14:paraId="4EAE508F" w14:textId="77777777" w:rsidR="00C7665E" w:rsidRDefault="00000000">
      <w:pPr>
        <w:pStyle w:val="ListBullet"/>
      </w:pPr>
      <w:r>
        <w:t>Three principal scaling pathways were identified: delivery through large development projects; delivery through Local Technical Agroclimatic Committees (LTACs) and their member organizations; and institutionalization through national agricultural research, innovation and extension systems and public policy.</w:t>
      </w:r>
    </w:p>
    <w:p w14:paraId="105566C7" w14:textId="77777777" w:rsidR="00C7665E" w:rsidRDefault="00000000">
      <w:pPr>
        <w:pStyle w:val="ListBullet"/>
      </w:pPr>
      <w:r>
        <w:t>The main concern was the credibility of the adoption pathway. The target is not yet supported by a sufficiently granular partner-by-partner funnel showing activities, farmers exposed, expected conversion rates, definition and depth of adoption, verification methods and contribution of each pathway.</w:t>
      </w:r>
    </w:p>
    <w:p w14:paraId="37549831" w14:textId="77777777" w:rsidR="00C7665E" w:rsidRDefault="00000000">
      <w:pPr>
        <w:pStyle w:val="ListBullet"/>
      </w:pPr>
      <w:r>
        <w:t>Monitoring and learning emerged as a central strategic issue. Reliance on partner-reported numbers alone was considered inadequate. The session proposed sampled follow-up, phone surveys, the rapid/dynamic evaluation process, simple digital reporting, and potentially remote sensing or drone-based verification.</w:t>
      </w:r>
    </w:p>
    <w:p w14:paraId="435F569C" w14:textId="77777777" w:rsidR="00C7665E" w:rsidRDefault="00000000">
      <w:pPr>
        <w:pStyle w:val="ListBullet"/>
      </w:pPr>
      <w:r>
        <w:t>The track was encouraged to use its three pathways as a natural experiment: compare what works, where, for whom and why; identify which LTACs and partner models perform best; determine which bundles are most adopted; and learn how cost, labour, behaviour change and impact interact.</w:t>
      </w:r>
    </w:p>
    <w:p w14:paraId="3B8A6B19" w14:textId="77777777" w:rsidR="00C7665E" w:rsidRDefault="00000000">
      <w:pPr>
        <w:pStyle w:val="ListBullet"/>
      </w:pPr>
      <w:r>
        <w:t>The coaching advice was to “scale down to scale up”: narrow attention to the most viable bundles and pathways, make their value propositions explicit, and focus scarce partner capacity on practices that farmers are likely to adopt and sustain.</w:t>
      </w:r>
    </w:p>
    <w:p w14:paraId="483B8269" w14:textId="77777777" w:rsidR="00C7665E" w:rsidRDefault="00000000">
      <w:pPr>
        <w:pStyle w:val="ListBullet"/>
      </w:pPr>
      <w:r>
        <w:t>Sustainability rests on local ownership, the established LTAC model, partner co-investment, the AKIS diagnostic approach, and longer-term institutional support from governments and the Inter-American Development Bank. However, the team still needs a more explicit post-S4I financing, leadership and technical-assistance model.</w:t>
      </w:r>
    </w:p>
    <w:p w14:paraId="2E06D84D" w14:textId="77777777" w:rsidR="00C7665E" w:rsidRDefault="00000000">
      <w:pPr>
        <w:pStyle w:val="QuoteNote"/>
      </w:pPr>
      <w:r>
        <w:t>“We are in the scaling business, but we are really in the behaviour-change business.”</w:t>
      </w:r>
    </w:p>
    <w:p w14:paraId="57A4D9DD" w14:textId="77777777" w:rsidR="00C7665E" w:rsidRDefault="00000000">
      <w:pPr>
        <w:pStyle w:val="Heading1"/>
      </w:pPr>
      <w:r>
        <w:t>1. Session information and participants</w:t>
      </w:r>
    </w:p>
    <w:tbl>
      <w:tblPr>
        <w:tblStyle w:val="TableGrid"/>
        <w:tblW w:w="0" w:type="auto"/>
        <w:jc w:val="center"/>
        <w:tblLook w:val="04A0" w:firstRow="1" w:lastRow="0" w:firstColumn="1" w:lastColumn="0" w:noHBand="0" w:noVBand="1"/>
      </w:tblPr>
      <w:tblGrid>
        <w:gridCol w:w="5040"/>
        <w:gridCol w:w="5040"/>
      </w:tblGrid>
      <w:tr w:rsidR="00C7665E" w14:paraId="6ECFE163" w14:textId="77777777">
        <w:trPr>
          <w:cantSplit/>
          <w:jc w:val="center"/>
        </w:trPr>
        <w:tc>
          <w:tcPr>
            <w:tcW w:w="5040" w:type="dxa"/>
            <w:shd w:val="clear" w:color="auto" w:fill="DDEBF7"/>
          </w:tcPr>
          <w:p w14:paraId="6A46CF98" w14:textId="77777777" w:rsidR="00C7665E" w:rsidRDefault="00000000">
            <w:pPr>
              <w:spacing w:after="0"/>
            </w:pPr>
            <w:r>
              <w:rPr>
                <w:b/>
                <w:sz w:val="18"/>
              </w:rPr>
              <w:t>Session</w:t>
            </w:r>
          </w:p>
        </w:tc>
        <w:tc>
          <w:tcPr>
            <w:tcW w:w="5040" w:type="dxa"/>
          </w:tcPr>
          <w:p w14:paraId="3996F208" w14:textId="77777777" w:rsidR="00C7665E" w:rsidRDefault="00000000">
            <w:pPr>
              <w:spacing w:after="0"/>
            </w:pPr>
            <w:r>
              <w:rPr>
                <w:sz w:val="18"/>
              </w:rPr>
              <w:t>Climate-smart water and soil solution bundles: Guatemala and Colombia coaching session</w:t>
            </w:r>
          </w:p>
        </w:tc>
      </w:tr>
      <w:tr w:rsidR="00C7665E" w14:paraId="207CDB6A" w14:textId="77777777">
        <w:trPr>
          <w:cantSplit/>
          <w:jc w:val="center"/>
        </w:trPr>
        <w:tc>
          <w:tcPr>
            <w:tcW w:w="5040" w:type="dxa"/>
            <w:shd w:val="clear" w:color="auto" w:fill="DDEBF7"/>
          </w:tcPr>
          <w:p w14:paraId="380693EB" w14:textId="77777777" w:rsidR="00C7665E" w:rsidRDefault="00000000">
            <w:pPr>
              <w:spacing w:after="0"/>
            </w:pPr>
            <w:r>
              <w:rPr>
                <w:b/>
                <w:sz w:val="18"/>
              </w:rPr>
              <w:t>Date</w:t>
            </w:r>
          </w:p>
        </w:tc>
        <w:tc>
          <w:tcPr>
            <w:tcW w:w="5040" w:type="dxa"/>
          </w:tcPr>
          <w:p w14:paraId="6F656912" w14:textId="77777777" w:rsidR="00C7665E" w:rsidRDefault="00000000">
            <w:pPr>
              <w:spacing w:after="0"/>
            </w:pPr>
            <w:r>
              <w:rPr>
                <w:sz w:val="18"/>
              </w:rPr>
              <w:t>16 July 2026</w:t>
            </w:r>
          </w:p>
        </w:tc>
      </w:tr>
      <w:tr w:rsidR="00C7665E" w14:paraId="5C5F3C65" w14:textId="77777777">
        <w:trPr>
          <w:cantSplit/>
          <w:jc w:val="center"/>
        </w:trPr>
        <w:tc>
          <w:tcPr>
            <w:tcW w:w="5040" w:type="dxa"/>
            <w:shd w:val="clear" w:color="auto" w:fill="DDEBF7"/>
          </w:tcPr>
          <w:p w14:paraId="70FA3F5B" w14:textId="77777777" w:rsidR="00C7665E" w:rsidRDefault="00000000">
            <w:pPr>
              <w:spacing w:after="0"/>
            </w:pPr>
            <w:r>
              <w:rPr>
                <w:b/>
                <w:sz w:val="18"/>
              </w:rPr>
              <w:t>Recording</w:t>
            </w:r>
          </w:p>
        </w:tc>
        <w:tc>
          <w:tcPr>
            <w:tcW w:w="5040" w:type="dxa"/>
          </w:tcPr>
          <w:p w14:paraId="4B5D7BB2" w14:textId="77777777" w:rsidR="00C7665E" w:rsidRDefault="00000000">
            <w:pPr>
              <w:spacing w:after="0"/>
            </w:pPr>
            <w:r>
              <w:rPr>
                <w:sz w:val="18"/>
              </w:rPr>
              <w:t>12:29 p.m. UTC; 2h 48m 45s</w:t>
            </w:r>
          </w:p>
        </w:tc>
      </w:tr>
      <w:tr w:rsidR="00C7665E" w14:paraId="5A95E1C6" w14:textId="77777777">
        <w:trPr>
          <w:cantSplit/>
          <w:jc w:val="center"/>
        </w:trPr>
        <w:tc>
          <w:tcPr>
            <w:tcW w:w="5040" w:type="dxa"/>
            <w:shd w:val="clear" w:color="auto" w:fill="DDEBF7"/>
          </w:tcPr>
          <w:p w14:paraId="4C9CDBA3" w14:textId="77777777" w:rsidR="00C7665E" w:rsidRDefault="00000000">
            <w:pPr>
              <w:spacing w:after="0"/>
            </w:pPr>
            <w:r>
              <w:rPr>
                <w:b/>
                <w:sz w:val="18"/>
              </w:rPr>
              <w:t>Format</w:t>
            </w:r>
          </w:p>
        </w:tc>
        <w:tc>
          <w:tcPr>
            <w:tcW w:w="5040" w:type="dxa"/>
          </w:tcPr>
          <w:p w14:paraId="38A2DA1A" w14:textId="77777777" w:rsidR="00C7665E" w:rsidRDefault="00000000">
            <w:pPr>
              <w:spacing w:after="0"/>
            </w:pPr>
            <w:r>
              <w:rPr>
                <w:sz w:val="18"/>
              </w:rPr>
              <w:t>Virtual presentation and strategic coaching discussion</w:t>
            </w:r>
          </w:p>
        </w:tc>
      </w:tr>
      <w:tr w:rsidR="00C7665E" w14:paraId="6012200D" w14:textId="77777777">
        <w:trPr>
          <w:cantSplit/>
          <w:jc w:val="center"/>
        </w:trPr>
        <w:tc>
          <w:tcPr>
            <w:tcW w:w="5040" w:type="dxa"/>
            <w:shd w:val="clear" w:color="auto" w:fill="DDEBF7"/>
          </w:tcPr>
          <w:p w14:paraId="430349F6" w14:textId="77777777" w:rsidR="00C7665E" w:rsidRDefault="00000000">
            <w:pPr>
              <w:spacing w:after="0"/>
            </w:pPr>
            <w:r>
              <w:rPr>
                <w:b/>
                <w:sz w:val="18"/>
              </w:rPr>
              <w:t>Primary purpose</w:t>
            </w:r>
          </w:p>
        </w:tc>
        <w:tc>
          <w:tcPr>
            <w:tcW w:w="5040" w:type="dxa"/>
          </w:tcPr>
          <w:p w14:paraId="703944D2" w14:textId="77777777" w:rsidR="00C7665E" w:rsidRDefault="00000000">
            <w:pPr>
              <w:spacing w:after="0"/>
            </w:pPr>
            <w:r>
              <w:rPr>
                <w:sz w:val="18"/>
              </w:rPr>
              <w:t>Review the solution track’s technical proposition, scaling pathways, adoption target, partner model, monitoring approach, learning agenda and sustainability.</w:t>
            </w:r>
          </w:p>
        </w:tc>
      </w:tr>
    </w:tbl>
    <w:p w14:paraId="326484FD" w14:textId="77777777" w:rsidR="00C7665E" w:rsidRDefault="00000000">
      <w:pPr>
        <w:pStyle w:val="Heading2"/>
      </w:pPr>
      <w:r>
        <w:t>Participants identified in the transcript</w:t>
      </w:r>
    </w:p>
    <w:p w14:paraId="554EB7D3" w14:textId="77777777" w:rsidR="00C7665E" w:rsidRDefault="00000000">
      <w:pPr>
        <w:pStyle w:val="ListBullet"/>
      </w:pPr>
      <w:r>
        <w:t>Richard Kohl – lead scaling coach</w:t>
      </w:r>
    </w:p>
    <w:p w14:paraId="3F9D2B05" w14:textId="1D3152A2" w:rsidR="00B32003" w:rsidRDefault="00B32003" w:rsidP="00B32003">
      <w:pPr>
        <w:pStyle w:val="ListBullet"/>
      </w:pPr>
      <w:r>
        <w:t>Deissy Ma</w:t>
      </w:r>
      <w:r>
        <w:t>r</w:t>
      </w:r>
      <w:r>
        <w:t>tinez - Alliance Bioversity-CIAT.</w:t>
      </w:r>
    </w:p>
    <w:p w14:paraId="0B882C25" w14:textId="77777777" w:rsidR="00B32003" w:rsidRDefault="00B32003" w:rsidP="00B32003">
      <w:pPr>
        <w:pStyle w:val="ListBullet"/>
      </w:pPr>
      <w:r>
        <w:t>Evan Girvetz – Alliance Bioversity-CIAT.</w:t>
      </w:r>
    </w:p>
    <w:p w14:paraId="47EEF24B" w14:textId="77777777" w:rsidR="00C7665E" w:rsidRDefault="00000000">
      <w:pPr>
        <w:pStyle w:val="ListBullet"/>
      </w:pPr>
      <w:r>
        <w:t>Timothy Krupnik – CGIAR System Organization</w:t>
      </w:r>
    </w:p>
    <w:p w14:paraId="34D1FC84" w14:textId="77777777" w:rsidR="00C7665E" w:rsidRDefault="00000000">
      <w:pPr>
        <w:pStyle w:val="ListBullet"/>
      </w:pPr>
      <w:r>
        <w:t>Felix Otieno – Alliance Bioversity-CIAT</w:t>
      </w:r>
    </w:p>
    <w:p w14:paraId="76D1228D" w14:textId="77777777" w:rsidR="00C7665E" w:rsidRDefault="00000000">
      <w:pPr>
        <w:pStyle w:val="ListBullet"/>
      </w:pPr>
      <w:r>
        <w:t>Ojongetakah Enokenwa Baa – IWMI</w:t>
      </w:r>
    </w:p>
    <w:p w14:paraId="502769D1" w14:textId="77777777" w:rsidR="00C7665E" w:rsidRDefault="00000000">
      <w:pPr>
        <w:pStyle w:val="ListBullet"/>
      </w:pPr>
      <w:r>
        <w:lastRenderedPageBreak/>
        <w:t>Andrea Surama Borrayo – Alliance Bioversity-CIAT</w:t>
      </w:r>
    </w:p>
    <w:p w14:paraId="131354AA" w14:textId="77777777" w:rsidR="00C7665E" w:rsidRDefault="00000000">
      <w:pPr>
        <w:pStyle w:val="ListBullet"/>
      </w:pPr>
      <w:r>
        <w:t>Jesus David Martinez Salgado – Alliance Bioversity-CIAT</w:t>
      </w:r>
    </w:p>
    <w:p w14:paraId="67A3BA26" w14:textId="77777777" w:rsidR="00C7665E" w:rsidRDefault="00000000">
      <w:pPr>
        <w:pStyle w:val="ListBullet"/>
      </w:pPr>
      <w:r>
        <w:t>Monica Paola Hernandez – Alliance Bioversity-CIAT</w:t>
      </w:r>
    </w:p>
    <w:p w14:paraId="2BC3D9E7" w14:textId="77777777" w:rsidR="00C7665E" w:rsidRDefault="00000000">
      <w:pPr>
        <w:pStyle w:val="Heading2"/>
      </w:pPr>
      <w:r>
        <w:t>Administrative clarification before the technical session</w:t>
      </w:r>
    </w:p>
    <w:p w14:paraId="138B4199" w14:textId="77777777" w:rsidR="00C7665E" w:rsidRDefault="00000000">
      <w:pPr>
        <w:pStyle w:val="ListBullet"/>
      </w:pPr>
      <w:r>
        <w:t>The coaching team clarified that the wider stage-gating team would not be included in the revised coaching/training invitations.</w:t>
      </w:r>
    </w:p>
    <w:p w14:paraId="6060336B" w14:textId="77777777" w:rsidR="00C7665E" w:rsidRDefault="00000000">
      <w:pPr>
        <w:pStyle w:val="ListBullet"/>
      </w:pPr>
      <w:r>
        <w:t>Felix confirmed that he had the information needed to send updated invitations without the additional stage-gating members.</w:t>
      </w:r>
    </w:p>
    <w:p w14:paraId="65A1697C" w14:textId="77777777" w:rsidR="00C7665E" w:rsidRDefault="00000000">
      <w:pPr>
        <w:pStyle w:val="ListBullet"/>
      </w:pPr>
      <w:r>
        <w:t>The track team confirmed that it would begin with a presentation, followed by questions and coaching.</w:t>
      </w:r>
    </w:p>
    <w:p w14:paraId="7C589D2C" w14:textId="77777777" w:rsidR="00C7665E" w:rsidRDefault="00000000">
      <w:pPr>
        <w:pStyle w:val="Heading1"/>
      </w:pPr>
      <w:r>
        <w:t>2. Solution track purpose and strategic proposition</w:t>
      </w:r>
    </w:p>
    <w:p w14:paraId="6E92AD19" w14:textId="77777777" w:rsidR="00C7665E" w:rsidRDefault="00000000">
      <w:r>
        <w:t>The track responds to a persistent scaling gap: many climate-smart water and soil practices have been tested and shown to improve resilience, productivity and environmental performance, yet they have not reached widespread implementation. The urgency is increasing because farmers in Guatemala and Colombia face erratic rainfall, longer or more intense droughts and other climate extremes.</w:t>
      </w:r>
    </w:p>
    <w:p w14:paraId="0C078BB3" w14:textId="77777777" w:rsidR="00C7665E" w:rsidRDefault="00000000">
      <w:r>
        <w:t>The track does not intend to directly deliver every practice to farmers. It positions itself as a catalyst, connector and enabler within the agricultural knowledge and innovation system. Its role is to understand the system, identify who is connected to whom, strengthen missing relationships, align actors around demand, and help delivery organizations incorporate proven bundles into existing programmes and services.</w:t>
      </w:r>
    </w:p>
    <w:p w14:paraId="18870FFF" w14:textId="77777777" w:rsidR="00C7665E" w:rsidRDefault="00000000">
      <w:r>
        <w:t>The long-term proposition extends beyond the 2026 farmer target. The track seeks to contribute to a transition from research-led systems to demand-driven agricultural knowledge and innovation systems in which national institutions, local organizations, development programmes, private actors and farmer organizations jointly identify and respond to farmer demand.</w:t>
      </w:r>
    </w:p>
    <w:p w14:paraId="107D656F" w14:textId="77777777" w:rsidR="00C7665E" w:rsidRDefault="00000000">
      <w:r>
        <w:t>The intended outcomes include better water and soil management, higher productivity and incomes, improved climate resilience, more inclusive and equitable benefits, and stronger local ecosystems for sustained scaling.</w:t>
      </w:r>
    </w:p>
    <w:p w14:paraId="35A904DA" w14:textId="77777777" w:rsidR="00C7665E" w:rsidRDefault="00000000">
      <w:pPr>
        <w:pStyle w:val="Heading2"/>
      </w:pPr>
      <w:r>
        <w:t>2026 scaling ambition</w:t>
      </w:r>
    </w:p>
    <w:p w14:paraId="302BFB82" w14:textId="77777777" w:rsidR="00C7665E" w:rsidRDefault="00000000">
      <w:pPr>
        <w:pStyle w:val="ListBullet"/>
      </w:pPr>
      <w:r>
        <w:t>The stated 2026 target is 20,000 farmers implementing the practice bundles.</w:t>
      </w:r>
    </w:p>
    <w:p w14:paraId="225C7BAD" w14:textId="77777777" w:rsidR="00C7665E" w:rsidRDefault="00000000">
      <w:pPr>
        <w:pStyle w:val="ListBullet"/>
      </w:pPr>
      <w:r>
        <w:t>The coaching team insisted that “implementing” must not be replaced by the looser term “reached”. Reached may mean awareness or exposure; the track’s claim is intended to be adoption or implementation.</w:t>
      </w:r>
    </w:p>
    <w:p w14:paraId="51016055" w14:textId="77777777" w:rsidR="00C7665E" w:rsidRDefault="00000000">
      <w:pPr>
        <w:pStyle w:val="ListBullet"/>
      </w:pPr>
      <w:r>
        <w:t>The team acknowledged that most target farmers may already know some of the practices. The value of the track therefore lies in enabling actual implementation of an integrated bundle, not simply introducing the concepts.</w:t>
      </w:r>
    </w:p>
    <w:p w14:paraId="3CD97778" w14:textId="77777777" w:rsidR="00C7665E" w:rsidRDefault="00000000">
      <w:pPr>
        <w:pStyle w:val="ListBullet"/>
      </w:pPr>
      <w:r>
        <w:t>Although the team described 20,000 as a relatively modest target, it sees 2026 as a foundation year for much larger future scaling through established systems and partners.</w:t>
      </w:r>
    </w:p>
    <w:p w14:paraId="7DC90138" w14:textId="77777777" w:rsidR="00C7665E" w:rsidRDefault="00000000">
      <w:pPr>
        <w:pStyle w:val="Heading1"/>
      </w:pPr>
      <w:r>
        <w:t>3. Technical package and bundle architecture</w:t>
      </w:r>
    </w:p>
    <w:p w14:paraId="2340BE40" w14:textId="77777777" w:rsidR="00C7665E" w:rsidRDefault="00000000">
      <w:pPr>
        <w:pStyle w:val="Heading2"/>
      </w:pPr>
      <w:r>
        <w:t>Minimum bundle</w:t>
      </w:r>
    </w:p>
    <w:p w14:paraId="05CF6F4D" w14:textId="77777777" w:rsidR="00C7665E" w:rsidRDefault="00000000">
      <w:pPr>
        <w:pStyle w:val="ListBullet"/>
      </w:pPr>
      <w:r>
        <w:t>At least one water-management practice.</w:t>
      </w:r>
    </w:p>
    <w:p w14:paraId="01ED8C7B" w14:textId="77777777" w:rsidR="00C7665E" w:rsidRDefault="00000000">
      <w:pPr>
        <w:pStyle w:val="ListBullet"/>
      </w:pPr>
      <w:r>
        <w:t>At least one soil-health or soil-management practice.</w:t>
      </w:r>
    </w:p>
    <w:p w14:paraId="1133044E" w14:textId="77777777" w:rsidR="00C7665E" w:rsidRDefault="00000000">
      <w:pPr>
        <w:pStyle w:val="ListBullet"/>
      </w:pPr>
      <w:r>
        <w:t>Use of climate information, particularly seasonal forecasts, to inform farm decisions.</w:t>
      </w:r>
    </w:p>
    <w:p w14:paraId="6D38F1F6" w14:textId="77777777" w:rsidR="00C7665E" w:rsidRDefault="00000000">
      <w:r>
        <w:t>The minimum composition was presented as the common core across locations. The exact practices within each component are selected according to regional climate risks, agroecology, production systems, farmer characteristics and local demand.</w:t>
      </w:r>
    </w:p>
    <w:p w14:paraId="3CA7621A" w14:textId="77777777" w:rsidR="00C7665E" w:rsidRDefault="00000000">
      <w:pPr>
        <w:pStyle w:val="Heading2"/>
      </w:pPr>
      <w:r>
        <w:t>Illustrative regional differentiation</w:t>
      </w:r>
    </w:p>
    <w:p w14:paraId="7C6B6379" w14:textId="77777777" w:rsidR="00C7665E" w:rsidRDefault="00000000">
      <w:pPr>
        <w:pStyle w:val="ListBullet"/>
      </w:pPr>
      <w:r>
        <w:t>Eastern Guatemala: the example bundle emphasized ditches, living barriers and seasonal forecasts.</w:t>
      </w:r>
    </w:p>
    <w:p w14:paraId="3ED4059A" w14:textId="77777777" w:rsidR="00C7665E" w:rsidRDefault="00000000">
      <w:pPr>
        <w:pStyle w:val="ListBullet"/>
      </w:pPr>
      <w:r>
        <w:t>Western Guatemala: the example emphasized intercropping, living barriers and seasonal forecasts.</w:t>
      </w:r>
    </w:p>
    <w:p w14:paraId="66E7CD78" w14:textId="77777777" w:rsidR="00C7665E" w:rsidRDefault="00000000">
      <w:pPr>
        <w:pStyle w:val="ListBullet"/>
      </w:pPr>
      <w:r>
        <w:lastRenderedPageBreak/>
        <w:t>The team clarified that every community would not design an entirely unique bundle. Regions with similar agroecological and socioeconomic characteristics would work with a defined core bundle, allowing contextual flexibility without unlimited variation.</w:t>
      </w:r>
    </w:p>
    <w:p w14:paraId="65C25D57" w14:textId="77777777" w:rsidR="00C7665E" w:rsidRDefault="00000000">
      <w:pPr>
        <w:pStyle w:val="Heading2"/>
      </w:pPr>
      <w:r>
        <w:t>Complementary innovations</w:t>
      </w:r>
    </w:p>
    <w:p w14:paraId="6C83D042" w14:textId="77777777" w:rsidR="00C7665E" w:rsidRDefault="00000000">
      <w:pPr>
        <w:pStyle w:val="ListBullet"/>
      </w:pPr>
      <w:r>
        <w:t>Improved and drought-tolerant maize and bean varieties were discussed as complementary innovations rather than mandatory elements of every minimum bundle.</w:t>
      </w:r>
    </w:p>
    <w:p w14:paraId="17D96545" w14:textId="77777777" w:rsidR="00C7665E" w:rsidRDefault="00000000">
      <w:pPr>
        <w:pStyle w:val="ListBullet"/>
      </w:pPr>
      <w:r>
        <w:t>The team stressed that varieties in Guatemala are strongly linked to food culture, farmer preferences and local identity. Scaling a particular variety therefore requires attention to sociocultural fit, not only agronomic performance.</w:t>
      </w:r>
    </w:p>
    <w:p w14:paraId="0A0ED41F" w14:textId="77777777" w:rsidR="00C7665E" w:rsidRDefault="00000000">
      <w:pPr>
        <w:pStyle w:val="ListBullet"/>
      </w:pPr>
      <w:r>
        <w:t>Approximately 12 priority practices were mentioned near the end of the session. This needs to be confirmed and presented clearly as the current short list.</w:t>
      </w:r>
    </w:p>
    <w:p w14:paraId="75EC6ABF" w14:textId="77777777" w:rsidR="00C7665E" w:rsidRDefault="00000000">
      <w:pPr>
        <w:pStyle w:val="Heading1"/>
      </w:pPr>
      <w:r>
        <w:t>4. Evidence base and assumptions</w:t>
      </w:r>
    </w:p>
    <w:p w14:paraId="09C81827" w14:textId="77777777" w:rsidR="00C7665E" w:rsidRDefault="00000000">
      <w:pPr>
        <w:pStyle w:val="Heading2"/>
      </w:pPr>
      <w:r>
        <w:t>Evidence already available</w:t>
      </w:r>
    </w:p>
    <w:p w14:paraId="5C533FE5" w14:textId="77777777" w:rsidR="00C7665E" w:rsidRDefault="00000000">
      <w:pPr>
        <w:pStyle w:val="ListBullet"/>
      </w:pPr>
      <w:r>
        <w:t>More than a decade of work through Climate-Smart Villages and related programmes.</w:t>
      </w:r>
    </w:p>
    <w:p w14:paraId="00C72915" w14:textId="77777777" w:rsidR="00C7665E" w:rsidRDefault="00000000">
      <w:pPr>
        <w:pStyle w:val="ListBullet"/>
      </w:pPr>
      <w:r>
        <w:t>On-farm testing and technical assessment of practices under different conditions.</w:t>
      </w:r>
    </w:p>
    <w:p w14:paraId="737FCBE3" w14:textId="77777777" w:rsidR="00C7665E" w:rsidRDefault="00000000">
      <w:pPr>
        <w:pStyle w:val="ListBullet"/>
      </w:pPr>
      <w:r>
        <w:t>Evidence on yields and productivity, including maize, beans and coffee systems.</w:t>
      </w:r>
    </w:p>
    <w:p w14:paraId="08BDCBB0" w14:textId="77777777" w:rsidR="00C7665E" w:rsidRDefault="00000000">
      <w:pPr>
        <w:pStyle w:val="ListBullet"/>
      </w:pPr>
      <w:r>
        <w:t>Investment and cost analyses for water- and soil-related practices.</w:t>
      </w:r>
    </w:p>
    <w:p w14:paraId="743BE67E" w14:textId="77777777" w:rsidR="00C7665E" w:rsidRDefault="00000000">
      <w:pPr>
        <w:pStyle w:val="ListBullet"/>
      </w:pPr>
      <w:r>
        <w:t>Environmental co-benefits, including changes in soil organic matter, soil moisture and greenhouse-gas outcomes.</w:t>
      </w:r>
    </w:p>
    <w:p w14:paraId="39065B85" w14:textId="77777777" w:rsidR="00C7665E" w:rsidRDefault="00000000">
      <w:pPr>
        <w:pStyle w:val="ListBullet"/>
      </w:pPr>
      <w:r>
        <w:t>Monitoring evidence on why farmers adopt or do not adopt particular practices and the benefits they perceive, with at least three years of follow-up data referenced.</w:t>
      </w:r>
    </w:p>
    <w:p w14:paraId="43F1DEF3" w14:textId="77777777" w:rsidR="00C7665E" w:rsidRDefault="00000000">
      <w:pPr>
        <w:pStyle w:val="ListBullet"/>
      </w:pPr>
      <w:r>
        <w:t>An example from Cauca, Colombia, where communities reportedly continued sharing and implementing practices after direct CGIAR funding ended, indicating some spontaneous continuation and farmer-to-farmer diffusion.</w:t>
      </w:r>
    </w:p>
    <w:p w14:paraId="3102DDC1" w14:textId="77777777" w:rsidR="00C7665E" w:rsidRDefault="00000000">
      <w:pPr>
        <w:pStyle w:val="Heading2"/>
      </w:pPr>
      <w:r>
        <w:t>Important evidence gap raised during coaching</w:t>
      </w:r>
    </w:p>
    <w:p w14:paraId="560207E8" w14:textId="77777777" w:rsidR="00C7665E" w:rsidRDefault="00000000">
      <w:r>
        <w:t>The evidence is clearest for individual practices. The team acknowledged that it is assuming that combining proven practices into a bundle will produce positive benefits. The coaching team considered this plausible but insufficiently organized for external scrutiny. It was difficult to tell which exact bundle generated which productivity, income, resilience or environmental result.</w:t>
      </w:r>
    </w:p>
    <w:p w14:paraId="26F64479" w14:textId="77777777" w:rsidR="00C7665E" w:rsidRDefault="00000000">
      <w:pPr>
        <w:pStyle w:val="Heading2"/>
      </w:pPr>
      <w:r>
        <w:t>Recommended evidence matrix</w:t>
      </w:r>
    </w:p>
    <w:p w14:paraId="50AD8CBB" w14:textId="77777777" w:rsidR="00C7665E" w:rsidRDefault="00000000">
      <w:r>
        <w:t>The team was advised to prepare a concise matrix of representative or priority bundles rather than relying on broad claims across a large menu of practices. For each bundle, the matrix should show:</w:t>
      </w:r>
    </w:p>
    <w:p w14:paraId="2CFCB34F" w14:textId="77777777" w:rsidR="00C7665E" w:rsidRDefault="00000000">
      <w:pPr>
        <w:pStyle w:val="ListBullet2"/>
      </w:pPr>
      <w:r>
        <w:t>Geographic and farming-system context.</w:t>
      </w:r>
    </w:p>
    <w:p w14:paraId="75779B36" w14:textId="77777777" w:rsidR="00C7665E" w:rsidRDefault="00000000">
      <w:pPr>
        <w:pStyle w:val="ListBullet2"/>
      </w:pPr>
      <w:r>
        <w:t>Water, soil and climate-information components.</w:t>
      </w:r>
    </w:p>
    <w:p w14:paraId="088A6BB2" w14:textId="77777777" w:rsidR="00C7665E" w:rsidRDefault="00000000">
      <w:pPr>
        <w:pStyle w:val="ListBullet2"/>
      </w:pPr>
      <w:r>
        <w:t>Complementary varieties or technologies, if any.</w:t>
      </w:r>
    </w:p>
    <w:p w14:paraId="41522F8E" w14:textId="77777777" w:rsidR="00C7665E" w:rsidRDefault="00000000">
      <w:pPr>
        <w:pStyle w:val="ListBullet2"/>
      </w:pPr>
      <w:r>
        <w:t>Evidence source and quality.</w:t>
      </w:r>
    </w:p>
    <w:p w14:paraId="08F734A7" w14:textId="77777777" w:rsidR="00C7665E" w:rsidRDefault="00000000">
      <w:pPr>
        <w:pStyle w:val="ListBullet2"/>
      </w:pPr>
      <w:r>
        <w:t>Expected productivity, income, resilience and environmental effects.</w:t>
      </w:r>
    </w:p>
    <w:p w14:paraId="0EABAAE3" w14:textId="77777777" w:rsidR="00C7665E" w:rsidRDefault="00000000">
      <w:pPr>
        <w:pStyle w:val="ListBullet2"/>
      </w:pPr>
      <w:r>
        <w:t>Initial cash cost and recurring cost.</w:t>
      </w:r>
    </w:p>
    <w:p w14:paraId="6AC76D20" w14:textId="77777777" w:rsidR="00C7665E" w:rsidRDefault="00000000">
      <w:pPr>
        <w:pStyle w:val="ListBullet2"/>
      </w:pPr>
      <w:r>
        <w:t>Labour demand and who bears that labour.</w:t>
      </w:r>
    </w:p>
    <w:p w14:paraId="7FB25A55" w14:textId="77777777" w:rsidR="00C7665E" w:rsidRDefault="00000000">
      <w:pPr>
        <w:pStyle w:val="ListBullet2"/>
      </w:pPr>
      <w:r>
        <w:t>Degree of behaviour change required.</w:t>
      </w:r>
    </w:p>
    <w:p w14:paraId="78407CDD" w14:textId="77777777" w:rsidR="00C7665E" w:rsidRDefault="00000000">
      <w:pPr>
        <w:pStyle w:val="ListBullet2"/>
      </w:pPr>
      <w:r>
        <w:t>Input, equipment, extension and finance requirements.</w:t>
      </w:r>
    </w:p>
    <w:p w14:paraId="5D033294" w14:textId="77777777" w:rsidR="00C7665E" w:rsidRDefault="00000000">
      <w:pPr>
        <w:pStyle w:val="ListBullet2"/>
      </w:pPr>
      <w:r>
        <w:t>Likely farmer segment and adoption constraints.</w:t>
      </w:r>
    </w:p>
    <w:p w14:paraId="5EB84130" w14:textId="77777777" w:rsidR="00C7665E" w:rsidRDefault="00000000">
      <w:pPr>
        <w:pStyle w:val="Heading1"/>
      </w:pPr>
      <w:r>
        <w:lastRenderedPageBreak/>
        <w:t>5. Scaling bottlenecks and constraints</w:t>
      </w:r>
    </w:p>
    <w:p w14:paraId="5DA9BE14" w14:textId="77777777" w:rsidR="00C7665E" w:rsidRDefault="00000000">
      <w:pPr>
        <w:pStyle w:val="Heading2"/>
      </w:pPr>
      <w:r>
        <w:t>Farmer-level and technical constraints</w:t>
      </w:r>
    </w:p>
    <w:p w14:paraId="53EDF7D5" w14:textId="77777777" w:rsidR="00C7665E" w:rsidRDefault="00000000">
      <w:pPr>
        <w:pStyle w:val="ListBullet"/>
      </w:pPr>
      <w:r>
        <w:t>Perceived loss of productive land: farmers may believe that ditches, living barriers and related measures reduce the usable cropped area.</w:t>
      </w:r>
    </w:p>
    <w:p w14:paraId="6B4975CD" w14:textId="77777777" w:rsidR="00C7665E" w:rsidRDefault="00000000">
      <w:pPr>
        <w:pStyle w:val="ListBullet"/>
      </w:pPr>
      <w:r>
        <w:t>Limited understanding of co-benefits: farmers may not immediately recognize the water retention, erosion control, soil-health and longer-term productivity gains.</w:t>
      </w:r>
    </w:p>
    <w:p w14:paraId="7C3927FD" w14:textId="77777777" w:rsidR="00C7665E" w:rsidRDefault="00000000">
      <w:pPr>
        <w:pStyle w:val="ListBullet"/>
      </w:pPr>
      <w:r>
        <w:t>Limited technical assistance: farmers need support to correctly implement practices, adjust them to local conditions and maintain them over time.</w:t>
      </w:r>
    </w:p>
    <w:p w14:paraId="37C0121E" w14:textId="77777777" w:rsidR="00C7665E" w:rsidRDefault="00000000">
      <w:pPr>
        <w:pStyle w:val="ListBullet"/>
      </w:pPr>
      <w:r>
        <w:t>Weak interpretation and use of climate information: seasonal forecasts may reach local committees, but many farmers still lack practical guidance on how to translate the information into planting, water and soil-management decisions.</w:t>
      </w:r>
    </w:p>
    <w:p w14:paraId="5E83D074" w14:textId="77777777" w:rsidR="00C7665E" w:rsidRDefault="00000000">
      <w:pPr>
        <w:pStyle w:val="ListBullet"/>
      </w:pPr>
      <w:r>
        <w:t>Availability of complementary inputs and services: some bundles may require specific seed, equipment, irrigation components or service providers that are not locally available.</w:t>
      </w:r>
    </w:p>
    <w:p w14:paraId="01E0DDE4" w14:textId="77777777" w:rsidR="00C7665E" w:rsidRDefault="00000000">
      <w:pPr>
        <w:pStyle w:val="ListBullet"/>
      </w:pPr>
      <w:r>
        <w:t>Labour requirements: practices described as “low cost” in cash terms may be expensive in labour, time and household effort.</w:t>
      </w:r>
    </w:p>
    <w:p w14:paraId="2AAD2EF3" w14:textId="77777777" w:rsidR="00C7665E" w:rsidRDefault="00000000">
      <w:pPr>
        <w:pStyle w:val="Heading2"/>
      </w:pPr>
      <w:r>
        <w:t>Institutional constraints</w:t>
      </w:r>
    </w:p>
    <w:p w14:paraId="50EEDFD1" w14:textId="77777777" w:rsidR="00C7665E" w:rsidRDefault="00000000">
      <w:pPr>
        <w:pStyle w:val="ListBullet"/>
      </w:pPr>
      <w:r>
        <w:t>Guatemala has a publicly funded extension system, but it was described as very weak and severely understaffed. NGOs, producer organizations and cooperatives often perform the effective extension role.</w:t>
      </w:r>
    </w:p>
    <w:p w14:paraId="770D46F7" w14:textId="77777777" w:rsidR="00C7665E" w:rsidRDefault="00000000">
      <w:pPr>
        <w:pStyle w:val="ListBullet"/>
      </w:pPr>
      <w:r>
        <w:t>Colombia was described as lacking a government-funded extension system capable of linking national research to farmers at scale. Private actors and other organizations fill parts of the gap.</w:t>
      </w:r>
    </w:p>
    <w:p w14:paraId="53685D1A" w14:textId="77777777" w:rsidR="00C7665E" w:rsidRDefault="00000000">
      <w:pPr>
        <w:pStyle w:val="ListBullet"/>
      </w:pPr>
      <w:r>
        <w:t>LTACs can convene actors and organize shared climate information, but the committees themselves are not full extension providers. Their effectiveness depends on the actual capacity and commitment of participating organizations.</w:t>
      </w:r>
    </w:p>
    <w:p w14:paraId="65C89386" w14:textId="77777777" w:rsidR="00C7665E" w:rsidRDefault="00000000">
      <w:pPr>
        <w:pStyle w:val="ListBullet"/>
      </w:pPr>
      <w:r>
        <w:t>Partner capacity, governance and resources vary considerably. Treating partners as a “black box” risks overstating what they can deliver.</w:t>
      </w:r>
    </w:p>
    <w:p w14:paraId="5AD056CB" w14:textId="77777777" w:rsidR="00C7665E" w:rsidRDefault="00000000">
      <w:pPr>
        <w:pStyle w:val="ListBullet"/>
      </w:pPr>
      <w:r>
        <w:t>Political economy matters. Public institutions may not prioritize poor, remote, indigenous or otherwise marginalized farmers, even when a technical mandate exists.</w:t>
      </w:r>
    </w:p>
    <w:p w14:paraId="059E7ECB" w14:textId="77777777" w:rsidR="00C7665E" w:rsidRDefault="00000000">
      <w:pPr>
        <w:pStyle w:val="Heading1"/>
      </w:pPr>
      <w:r>
        <w:t>6. Cost, labour and financing strategy</w:t>
      </w:r>
    </w:p>
    <w:p w14:paraId="2C72EB71" w14:textId="77777777" w:rsidR="00C7665E" w:rsidRDefault="00000000">
      <w:pPr>
        <w:pStyle w:val="Heading2"/>
      </w:pPr>
      <w:r>
        <w:t>2026 focus on lower-cash-cost practices</w:t>
      </w:r>
    </w:p>
    <w:p w14:paraId="4FBF22A5" w14:textId="77777777" w:rsidR="00C7665E" w:rsidRDefault="00000000">
      <w:pPr>
        <w:pStyle w:val="ListBullet"/>
      </w:pPr>
      <w:r>
        <w:t>The team estimated that roughly 80% of the practices under consideration are low cost in the sense that they do not require a large initial cash investment.</w:t>
      </w:r>
    </w:p>
    <w:p w14:paraId="72A0F08D" w14:textId="77777777" w:rsidR="00C7665E" w:rsidRDefault="00000000">
      <w:pPr>
        <w:pStyle w:val="ListBullet"/>
      </w:pPr>
      <w:r>
        <w:t>The remaining roughly 20% include more capital-intensive options such as irrigation systems and water-harvesting reservoirs.</w:t>
      </w:r>
    </w:p>
    <w:p w14:paraId="23393E8C" w14:textId="77777777" w:rsidR="00C7665E" w:rsidRDefault="00000000">
      <w:pPr>
        <w:pStyle w:val="ListBullet"/>
      </w:pPr>
      <w:r>
        <w:t>For 2026, the track intends to emphasize the lower-cash-cost practices while continuing to develop finance options for the more expensive technologies.</w:t>
      </w:r>
    </w:p>
    <w:p w14:paraId="662134EF" w14:textId="77777777" w:rsidR="00C7665E" w:rsidRDefault="00000000">
      <w:pPr>
        <w:pStyle w:val="Heading2"/>
      </w:pPr>
      <w:r>
        <w:t>Labour must be treated as a real cost</w:t>
      </w:r>
    </w:p>
    <w:p w14:paraId="22F897E2" w14:textId="77777777" w:rsidR="00C7665E" w:rsidRDefault="00000000">
      <w:r>
        <w:t>Tim and Richard stressed that “low input” or “low cash cost” does not mean low total cost. Ditches, terraces, water capture structures and some conservation practices may require substantial household labour. This can become a decisive adoption barrier, especially on larger plots or where labour is scarce, gendered or seasonally constrained.</w:t>
      </w:r>
    </w:p>
    <w:p w14:paraId="35E77186" w14:textId="77777777" w:rsidR="00C7665E" w:rsidRDefault="00000000">
      <w:pPr>
        <w:pStyle w:val="ListBullet"/>
      </w:pPr>
      <w:r>
        <w:t>The track should quantify labour days and timing for representative bundles.</w:t>
      </w:r>
    </w:p>
    <w:p w14:paraId="0AFAF2E8" w14:textId="77777777" w:rsidR="00C7665E" w:rsidRDefault="00000000">
      <w:pPr>
        <w:pStyle w:val="ListBullet"/>
      </w:pPr>
      <w:r>
        <w:t>It should identify who in the household performs the work and whether youth, women or hired labour are expected to absorb the burden.</w:t>
      </w:r>
    </w:p>
    <w:p w14:paraId="58455DDC" w14:textId="77777777" w:rsidR="00C7665E" w:rsidRDefault="00000000">
      <w:pPr>
        <w:pStyle w:val="ListBullet"/>
      </w:pPr>
      <w:r>
        <w:t>Partner strategies that engage youth or diversify farm labour may help, but these arrangements should be explicit rather than assumed.</w:t>
      </w:r>
    </w:p>
    <w:p w14:paraId="782EA7DF" w14:textId="77777777" w:rsidR="00C7665E" w:rsidRDefault="00000000">
      <w:pPr>
        <w:pStyle w:val="Heading2"/>
      </w:pPr>
      <w:r>
        <w:lastRenderedPageBreak/>
        <w:t>Financing higher-cost practices</w:t>
      </w:r>
    </w:p>
    <w:p w14:paraId="30EB05E2" w14:textId="77777777" w:rsidR="00C7665E" w:rsidRDefault="00000000">
      <w:pPr>
        <w:pStyle w:val="ListBullet"/>
      </w:pPr>
      <w:r>
        <w:t>The track is linking with the Climate Action Science Program, which is developing locally led adaptation finance mechanisms through cooperatives and microfinance institutions.</w:t>
      </w:r>
    </w:p>
    <w:p w14:paraId="434D69EC" w14:textId="77777777" w:rsidR="00C7665E" w:rsidRDefault="00000000">
      <w:pPr>
        <w:pStyle w:val="ListBullet"/>
      </w:pPr>
      <w:r>
        <w:t>The intention is to test or prepare financial products that could support capital-intensive practices, with stronger connection to the solution track from 2027.</w:t>
      </w:r>
    </w:p>
    <w:p w14:paraId="0BE54CC4" w14:textId="77777777" w:rsidR="00C7665E" w:rsidRDefault="00000000">
      <w:pPr>
        <w:pStyle w:val="ListBullet"/>
      </w:pPr>
      <w:r>
        <w:t>The proposed use of microfinance was challenged because interest rates may be very high relative to the returns presented for some practices. The financial proposition must therefore test affordability, repayment risk, return on investment and suitability for smallholders.</w:t>
      </w:r>
    </w:p>
    <w:p w14:paraId="76BEC05C" w14:textId="77777777" w:rsidR="00C7665E" w:rsidRDefault="00000000">
      <w:pPr>
        <w:pStyle w:val="ListBullet"/>
      </w:pPr>
      <w:r>
        <w:t>Finance should not be treated as a generic linkage. Each higher-cost bundle needs a clear financing case, including the borrower, ticket size, repayment source, timing, interest burden and risk-sharing arrangement.</w:t>
      </w:r>
    </w:p>
    <w:p w14:paraId="0EE67C5D" w14:textId="77777777" w:rsidR="00C7665E" w:rsidRDefault="00000000">
      <w:pPr>
        <w:pStyle w:val="Heading1"/>
      </w:pPr>
      <w:r>
        <w:t>7. Scaling and delivery pathways</w:t>
      </w:r>
    </w:p>
    <w:p w14:paraId="3B3DC7D7" w14:textId="77777777" w:rsidR="00C7665E" w:rsidRDefault="00000000">
      <w:r>
        <w:t>The coaching discussion converged on three principal pathways. These pathways are central to the track’s strategy and should be presented as distinct, testable adoption models.</w:t>
      </w:r>
    </w:p>
    <w:tbl>
      <w:tblPr>
        <w:tblStyle w:val="TableGrid"/>
        <w:tblW w:w="0" w:type="auto"/>
        <w:jc w:val="center"/>
        <w:tblLook w:val="04A0" w:firstRow="1" w:lastRow="0" w:firstColumn="1" w:lastColumn="0" w:noHBand="0" w:noVBand="1"/>
      </w:tblPr>
      <w:tblGrid>
        <w:gridCol w:w="2520"/>
        <w:gridCol w:w="2520"/>
        <w:gridCol w:w="2520"/>
        <w:gridCol w:w="2520"/>
      </w:tblGrid>
      <w:tr w:rsidR="00C7665E" w14:paraId="67BC2358" w14:textId="77777777">
        <w:trPr>
          <w:cantSplit/>
          <w:tblHeader/>
          <w:jc w:val="center"/>
        </w:trPr>
        <w:tc>
          <w:tcPr>
            <w:tcW w:w="2520" w:type="dxa"/>
            <w:shd w:val="clear" w:color="auto" w:fill="1F4E78"/>
          </w:tcPr>
          <w:p w14:paraId="4C284498" w14:textId="77777777" w:rsidR="00C7665E" w:rsidRDefault="00000000">
            <w:pPr>
              <w:spacing w:after="0"/>
            </w:pPr>
            <w:r>
              <w:rPr>
                <w:b/>
                <w:sz w:val="17"/>
              </w:rPr>
              <w:t>Pathway</w:t>
            </w:r>
          </w:p>
        </w:tc>
        <w:tc>
          <w:tcPr>
            <w:tcW w:w="2520" w:type="dxa"/>
            <w:shd w:val="clear" w:color="auto" w:fill="1F4E78"/>
          </w:tcPr>
          <w:p w14:paraId="3FDC4B9E" w14:textId="77777777" w:rsidR="00C7665E" w:rsidRDefault="00000000">
            <w:pPr>
              <w:spacing w:after="0"/>
            </w:pPr>
            <w:r>
              <w:rPr>
                <w:b/>
                <w:sz w:val="17"/>
              </w:rPr>
              <w:t>Primary mechanism</w:t>
            </w:r>
          </w:p>
        </w:tc>
        <w:tc>
          <w:tcPr>
            <w:tcW w:w="2520" w:type="dxa"/>
            <w:shd w:val="clear" w:color="auto" w:fill="1F4E78"/>
          </w:tcPr>
          <w:p w14:paraId="014DC26C" w14:textId="77777777" w:rsidR="00C7665E" w:rsidRDefault="00000000">
            <w:pPr>
              <w:spacing w:after="0"/>
            </w:pPr>
            <w:r>
              <w:rPr>
                <w:b/>
                <w:sz w:val="17"/>
              </w:rPr>
              <w:t>Strengths</w:t>
            </w:r>
          </w:p>
        </w:tc>
        <w:tc>
          <w:tcPr>
            <w:tcW w:w="2520" w:type="dxa"/>
            <w:shd w:val="clear" w:color="auto" w:fill="1F4E78"/>
          </w:tcPr>
          <w:p w14:paraId="1F284A6E" w14:textId="77777777" w:rsidR="00C7665E" w:rsidRDefault="00000000">
            <w:pPr>
              <w:spacing w:after="0"/>
            </w:pPr>
            <w:r>
              <w:rPr>
                <w:b/>
                <w:sz w:val="17"/>
              </w:rPr>
              <w:t>Key risks/questions</w:t>
            </w:r>
          </w:p>
        </w:tc>
      </w:tr>
      <w:tr w:rsidR="00C7665E" w14:paraId="1FF61B93" w14:textId="77777777">
        <w:trPr>
          <w:cantSplit/>
          <w:jc w:val="center"/>
        </w:trPr>
        <w:tc>
          <w:tcPr>
            <w:tcW w:w="2520" w:type="dxa"/>
          </w:tcPr>
          <w:p w14:paraId="37A4D3F4" w14:textId="77777777" w:rsidR="00C7665E" w:rsidRDefault="00000000">
            <w:pPr>
              <w:spacing w:after="0"/>
            </w:pPr>
            <w:r>
              <w:rPr>
                <w:sz w:val="16"/>
              </w:rPr>
              <w:t>1. Large development programmes</w:t>
            </w:r>
          </w:p>
        </w:tc>
        <w:tc>
          <w:tcPr>
            <w:tcW w:w="2520" w:type="dxa"/>
          </w:tcPr>
          <w:p w14:paraId="496405DE" w14:textId="77777777" w:rsidR="00C7665E" w:rsidRDefault="00000000">
            <w:pPr>
              <w:spacing w:after="0"/>
            </w:pPr>
            <w:r>
              <w:rPr>
                <w:sz w:val="16"/>
              </w:rPr>
              <w:t>Embed the bundles in existing GCF- and CRS-supported programmes and their established training, farmer-field-school, digital and local-partner delivery systems.</w:t>
            </w:r>
          </w:p>
        </w:tc>
        <w:tc>
          <w:tcPr>
            <w:tcW w:w="2520" w:type="dxa"/>
          </w:tcPr>
          <w:p w14:paraId="1D41E167" w14:textId="77777777" w:rsidR="00C7665E" w:rsidRDefault="00000000">
            <w:pPr>
              <w:spacing w:after="0"/>
            </w:pPr>
            <w:r>
              <w:rPr>
                <w:sz w:val="16"/>
              </w:rPr>
              <w:t>Large reach, mature delivery infrastructure, existing budgets, local implementing partners and recurring training schedules.</w:t>
            </w:r>
          </w:p>
        </w:tc>
        <w:tc>
          <w:tcPr>
            <w:tcW w:w="2520" w:type="dxa"/>
          </w:tcPr>
          <w:p w14:paraId="0370F866" w14:textId="77777777" w:rsidR="00C7665E" w:rsidRDefault="00000000">
            <w:pPr>
              <w:spacing w:after="0"/>
            </w:pPr>
            <w:r>
              <w:rPr>
                <w:sz w:val="16"/>
              </w:rPr>
              <w:t>Exact contribution to adoption is unclear; project practices may not be sustainable; partner incentives and reporting quality must be verified.</w:t>
            </w:r>
          </w:p>
        </w:tc>
      </w:tr>
      <w:tr w:rsidR="00C7665E" w14:paraId="3D3D681E" w14:textId="77777777">
        <w:trPr>
          <w:cantSplit/>
          <w:jc w:val="center"/>
        </w:trPr>
        <w:tc>
          <w:tcPr>
            <w:tcW w:w="2520" w:type="dxa"/>
          </w:tcPr>
          <w:p w14:paraId="3F8CAAEC" w14:textId="77777777" w:rsidR="00C7665E" w:rsidRDefault="00000000">
            <w:pPr>
              <w:spacing w:after="0"/>
            </w:pPr>
            <w:r>
              <w:rPr>
                <w:sz w:val="16"/>
              </w:rPr>
              <w:t>2. LTAC network</w:t>
            </w:r>
          </w:p>
        </w:tc>
        <w:tc>
          <w:tcPr>
            <w:tcW w:w="2520" w:type="dxa"/>
          </w:tcPr>
          <w:p w14:paraId="1285F561" w14:textId="77777777" w:rsidR="00C7665E" w:rsidRDefault="00000000">
            <w:pPr>
              <w:spacing w:after="0"/>
            </w:pPr>
            <w:r>
              <w:rPr>
                <w:sz w:val="16"/>
              </w:rPr>
              <w:t>Use Local Technical Agroclimatic Committees to convene public, private, research, finance, insurance, university, NGO, cooperative and producer actors around climate information and locally relevant practices.</w:t>
            </w:r>
          </w:p>
        </w:tc>
        <w:tc>
          <w:tcPr>
            <w:tcW w:w="2520" w:type="dxa"/>
          </w:tcPr>
          <w:p w14:paraId="38235551" w14:textId="77777777" w:rsidR="00C7665E" w:rsidRDefault="00000000">
            <w:pPr>
              <w:spacing w:after="0"/>
            </w:pPr>
            <w:r>
              <w:rPr>
                <w:sz w:val="16"/>
              </w:rPr>
              <w:t>Existing multi-actor platforms; strong local legitimacy in some areas; opportunity to connect fragmented actors and respond to demand.</w:t>
            </w:r>
          </w:p>
        </w:tc>
        <w:tc>
          <w:tcPr>
            <w:tcW w:w="2520" w:type="dxa"/>
          </w:tcPr>
          <w:p w14:paraId="3E8CDE6A" w14:textId="77777777" w:rsidR="00C7665E" w:rsidRDefault="00000000">
            <w:pPr>
              <w:spacing w:after="0"/>
            </w:pPr>
            <w:r>
              <w:rPr>
                <w:sz w:val="16"/>
              </w:rPr>
              <w:t>LTACs mainly convene; they do not automatically deliver extension, finance or inputs. Performance likely varies significantly between committees.</w:t>
            </w:r>
          </w:p>
        </w:tc>
      </w:tr>
      <w:tr w:rsidR="00C7665E" w14:paraId="383650FA" w14:textId="77777777">
        <w:trPr>
          <w:cantSplit/>
          <w:jc w:val="center"/>
        </w:trPr>
        <w:tc>
          <w:tcPr>
            <w:tcW w:w="2520" w:type="dxa"/>
          </w:tcPr>
          <w:p w14:paraId="77D0180B" w14:textId="77777777" w:rsidR="00C7665E" w:rsidRDefault="00000000">
            <w:pPr>
              <w:spacing w:after="0"/>
            </w:pPr>
            <w:r>
              <w:rPr>
                <w:sz w:val="16"/>
              </w:rPr>
              <w:t>3. Public-system institutionalization</w:t>
            </w:r>
          </w:p>
        </w:tc>
        <w:tc>
          <w:tcPr>
            <w:tcW w:w="2520" w:type="dxa"/>
          </w:tcPr>
          <w:p w14:paraId="05375356" w14:textId="77777777" w:rsidR="00C7665E" w:rsidRDefault="00000000">
            <w:pPr>
              <w:spacing w:after="0"/>
            </w:pPr>
            <w:r>
              <w:rPr>
                <w:sz w:val="16"/>
              </w:rPr>
              <w:t>Integrate bundles and scaling methods into national agricultural research, innovation, policy and extension arrangements, supported by AKIS diagnostics and IDB-backed institutional transition.</w:t>
            </w:r>
          </w:p>
        </w:tc>
        <w:tc>
          <w:tcPr>
            <w:tcW w:w="2520" w:type="dxa"/>
          </w:tcPr>
          <w:p w14:paraId="3684CF1A" w14:textId="77777777" w:rsidR="00C7665E" w:rsidRDefault="00000000">
            <w:pPr>
              <w:spacing w:after="0"/>
            </w:pPr>
            <w:r>
              <w:rPr>
                <w:sz w:val="16"/>
              </w:rPr>
              <w:t>Potential for durable national ownership and policy integration; can shift institutions from research production toward innovation and demand response.</w:t>
            </w:r>
          </w:p>
        </w:tc>
        <w:tc>
          <w:tcPr>
            <w:tcW w:w="2520" w:type="dxa"/>
          </w:tcPr>
          <w:p w14:paraId="2009EF84" w14:textId="77777777" w:rsidR="00C7665E" w:rsidRDefault="00000000">
            <w:pPr>
              <w:spacing w:after="0"/>
            </w:pPr>
            <w:r>
              <w:rPr>
                <w:sz w:val="16"/>
              </w:rPr>
              <w:t>Weak extension capacity, variable NARS performance, political-economy constraints and limited incentives to serve marginalized farmers.</w:t>
            </w:r>
          </w:p>
        </w:tc>
      </w:tr>
    </w:tbl>
    <w:p w14:paraId="16CD5F3D" w14:textId="77777777" w:rsidR="00C7665E" w:rsidRDefault="00000000">
      <w:pPr>
        <w:pStyle w:val="Heading2"/>
      </w:pPr>
      <w:r>
        <w:t>The role of LTACs</w:t>
      </w:r>
    </w:p>
    <w:p w14:paraId="5FCB6786" w14:textId="77777777" w:rsidR="00C7665E" w:rsidRDefault="00000000">
      <w:pPr>
        <w:pStyle w:val="ListBullet"/>
      </w:pPr>
      <w:r>
        <w:t>LTACs were described as convening platforms rather than implementers. They bring together more than ten types of actors in some locations, potentially including government, extension, research, universities, private firms, input suppliers, finance institutions, insurers, NGOs, producer organizations and cooperatives.</w:t>
      </w:r>
    </w:p>
    <w:p w14:paraId="194F5AA5" w14:textId="77777777" w:rsidR="00C7665E" w:rsidRDefault="00000000">
      <w:pPr>
        <w:pStyle w:val="ListBullet"/>
      </w:pPr>
      <w:r>
        <w:t>Seasonal forecasts and locally relevant practices provide a common agenda, but the actual training, farmer-field schools, demonstrations, input delivery and ongoing support are carried out by member organizations.</w:t>
      </w:r>
    </w:p>
    <w:p w14:paraId="1455330D" w14:textId="77777777" w:rsidR="00C7665E" w:rsidRDefault="00000000">
      <w:pPr>
        <w:pStyle w:val="ListBullet"/>
      </w:pPr>
      <w:r>
        <w:t>Examples of local delivery partners mentioned included Caritas and other local organizations whose names were not consistently captured by the automated transcript.</w:t>
      </w:r>
    </w:p>
    <w:p w14:paraId="23943BA9" w14:textId="77777777" w:rsidR="00C7665E" w:rsidRDefault="00000000">
      <w:pPr>
        <w:pStyle w:val="ListBullet"/>
      </w:pPr>
      <w:r>
        <w:t>The track has mapped the actors in Guatemala and indicated that it can share the named network map. This map should become an operational tool showing roles, commitments, geographic coverage, incentives and capacity—not merely a stakeholder list.</w:t>
      </w:r>
    </w:p>
    <w:p w14:paraId="08C1963E" w14:textId="77777777" w:rsidR="00C7665E" w:rsidRDefault="00000000">
      <w:pPr>
        <w:pStyle w:val="Heading2"/>
      </w:pPr>
      <w:r>
        <w:t>Agricultural Knowledge and Innovation Systems (AKIS) approach</w:t>
      </w:r>
    </w:p>
    <w:p w14:paraId="05AD85D2" w14:textId="77777777" w:rsidR="00C7665E" w:rsidRDefault="00000000">
      <w:pPr>
        <w:pStyle w:val="ListBullet"/>
      </w:pPr>
      <w:r>
        <w:t>The track is using AKIS diagnostics to identify system structure, actor functions, capacity, enabling environment, demand and the nodes that could trigger wider scaling dynamics.</w:t>
      </w:r>
    </w:p>
    <w:p w14:paraId="6CF36CBA" w14:textId="77777777" w:rsidR="00C7665E" w:rsidRDefault="00000000">
      <w:pPr>
        <w:pStyle w:val="ListBullet"/>
      </w:pPr>
      <w:r>
        <w:t>The approach is intended to connect demand to actors capable of responding, while identifying where capacity strengthening is required.</w:t>
      </w:r>
    </w:p>
    <w:p w14:paraId="519F188D" w14:textId="77777777" w:rsidR="00C7665E" w:rsidRDefault="00000000">
      <w:pPr>
        <w:pStyle w:val="ListBullet"/>
      </w:pPr>
      <w:r>
        <w:t>The team sees this as an important bridge between S4I areas of work and a basis for longer-term government and NARS transition supported by the Inter-American Development Bank.</w:t>
      </w:r>
    </w:p>
    <w:p w14:paraId="5F7DB229" w14:textId="77777777" w:rsidR="00C7665E" w:rsidRDefault="00000000">
      <w:pPr>
        <w:pStyle w:val="ListBullet"/>
      </w:pPr>
      <w:r>
        <w:lastRenderedPageBreak/>
        <w:t>The AKIS diagnostic should be linked directly to the scaling strategy: which partner was selected because of which diagnosed capacity, relationship or gap; what capacity support is needed; and how performance will be assessed.</w:t>
      </w:r>
    </w:p>
    <w:p w14:paraId="7428C009" w14:textId="77777777" w:rsidR="00C7665E" w:rsidRDefault="00000000">
      <w:pPr>
        <w:pStyle w:val="Heading1"/>
      </w:pPr>
      <w:r>
        <w:t>8. Implementation status and partner arrangements</w:t>
      </w:r>
    </w:p>
    <w:p w14:paraId="5A5BFDBF" w14:textId="77777777" w:rsidR="00C7665E" w:rsidRDefault="00000000">
      <w:pPr>
        <w:pStyle w:val="ListBullet"/>
      </w:pPr>
      <w:r>
        <w:t>Two preparatory workshops and five workshops were reported as scheduled for July 2026, after some delays linked to partner availability.</w:t>
      </w:r>
    </w:p>
    <w:p w14:paraId="1622788F" w14:textId="77777777" w:rsidR="00C7665E" w:rsidRDefault="00000000">
      <w:pPr>
        <w:pStyle w:val="ListBullet"/>
      </w:pPr>
      <w:r>
        <w:t>Memoranda of understanding had reportedly been signed with several local partners.</w:t>
      </w:r>
    </w:p>
    <w:p w14:paraId="4377B634" w14:textId="77777777" w:rsidR="00C7665E" w:rsidRDefault="00000000">
      <w:pPr>
        <w:pStyle w:val="ListBullet"/>
      </w:pPr>
      <w:r>
        <w:t>An agreement with CRS was still under development, with the team seeking a relationship that would extend beyond 2026 because of the scale and duration of the CRS programme.</w:t>
      </w:r>
    </w:p>
    <w:p w14:paraId="6295C1D4" w14:textId="77777777" w:rsidR="00C7665E" w:rsidRDefault="00000000">
      <w:pPr>
        <w:pStyle w:val="ListBullet"/>
      </w:pPr>
      <w:r>
        <w:t>The team referred to approximately 12 partnerships or partner arrangements. The exact number, countries, roles and expected contributions should be consolidated in one delivery plan.</w:t>
      </w:r>
    </w:p>
    <w:p w14:paraId="2639D329" w14:textId="77777777" w:rsidR="00C7665E" w:rsidRDefault="00000000">
      <w:pPr>
        <w:pStyle w:val="ListBullet"/>
      </w:pPr>
      <w:r>
        <w:t>Partner selection was based partly on immediate ability to contribute to the 2026 target and partly on social capital, network position and potential to connect additional actors over time.</w:t>
      </w:r>
    </w:p>
    <w:p w14:paraId="13668A03" w14:textId="77777777" w:rsidR="00C7665E" w:rsidRDefault="00000000">
      <w:pPr>
        <w:pStyle w:val="ListBullet"/>
      </w:pPr>
      <w:r>
        <w:t>The CRS platform was described as a mature, multi-year capacity-building system with farmer field schools, digital channels, local partners and annual training schedules. Its total programme reach is reportedly above 20,000 across multiple countries, but the Guatemala/Colombia contribution and adoption conversion were not available during the session.</w:t>
      </w:r>
    </w:p>
    <w:p w14:paraId="5FC95ED1" w14:textId="77777777" w:rsidR="00C7665E" w:rsidRDefault="00000000">
      <w:pPr>
        <w:pStyle w:val="ListBullet"/>
      </w:pPr>
      <w:r>
        <w:t>The team indicated that specific workshop and delivery commitments exist in the MOUs and could be shared.</w:t>
      </w:r>
    </w:p>
    <w:p w14:paraId="4B476DF0" w14:textId="77777777" w:rsidR="00C7665E" w:rsidRDefault="00000000">
      <w:pPr>
        <w:pStyle w:val="Heading1"/>
      </w:pPr>
      <w:r>
        <w:t>9. Credibility of the 20,000-adopter target</w:t>
      </w:r>
    </w:p>
    <w:p w14:paraId="0E516D40" w14:textId="77777777" w:rsidR="00C7665E" w:rsidRDefault="00000000">
      <w:r>
        <w:t>This was the most persistent coaching issue. The target was not rejected, but the pathway from activities to 20,000 verified adopters was considered insufficiently explicit.</w:t>
      </w:r>
    </w:p>
    <w:p w14:paraId="64D8FAA7" w14:textId="77777777" w:rsidR="00C7665E" w:rsidRDefault="00000000">
      <w:pPr>
        <w:pStyle w:val="Heading2"/>
      </w:pPr>
      <w:r>
        <w:t>Required partner-by-partner adoption funnel</w:t>
      </w:r>
    </w:p>
    <w:p w14:paraId="7314C0AA" w14:textId="77777777" w:rsidR="00C7665E" w:rsidRDefault="00000000">
      <w:pPr>
        <w:pStyle w:val="ListBullet"/>
      </w:pPr>
      <w:r>
        <w:t>Number and type of activities each partner will undertake: trainings of trainers, demonstrations, farmer field schools, workshops, digital messages, media, extension visits or other channels.</w:t>
      </w:r>
    </w:p>
    <w:p w14:paraId="7E303E74" w14:textId="77777777" w:rsidR="00C7665E" w:rsidRDefault="00000000">
      <w:pPr>
        <w:pStyle w:val="ListBullet"/>
      </w:pPr>
      <w:r>
        <w:t>Number of farmers directly exposed through each activity and partner.</w:t>
      </w:r>
    </w:p>
    <w:p w14:paraId="1BD8DC5B" w14:textId="77777777" w:rsidR="00C7665E" w:rsidRDefault="00000000">
      <w:pPr>
        <w:pStyle w:val="ListBullet"/>
      </w:pPr>
      <w:r>
        <w:t>Expected proportion that will try at least one practice.</w:t>
      </w:r>
    </w:p>
    <w:p w14:paraId="698A5E68" w14:textId="77777777" w:rsidR="00C7665E" w:rsidRDefault="00000000">
      <w:pPr>
        <w:pStyle w:val="ListBullet"/>
      </w:pPr>
      <w:r>
        <w:t>Expected proportion that will implement the minimum integrated bundle.</w:t>
      </w:r>
    </w:p>
    <w:p w14:paraId="7C54A354" w14:textId="77777777" w:rsidR="00C7665E" w:rsidRDefault="00000000">
      <w:pPr>
        <w:pStyle w:val="ListBullet"/>
      </w:pPr>
      <w:r>
        <w:t>Expected proportion that will continue implementation beyond the initial season or project support.</w:t>
      </w:r>
    </w:p>
    <w:p w14:paraId="560ACEC4" w14:textId="77777777" w:rsidR="00C7665E" w:rsidRDefault="00000000">
      <w:pPr>
        <w:pStyle w:val="ListBullet"/>
      </w:pPr>
      <w:r>
        <w:t>How farmers will be identified and de-duplicated across activities and partners.</w:t>
      </w:r>
    </w:p>
    <w:p w14:paraId="77AB1BC7" w14:textId="77777777" w:rsidR="00C7665E" w:rsidRDefault="00000000">
      <w:pPr>
        <w:pStyle w:val="ListBullet"/>
      </w:pPr>
      <w:r>
        <w:t>How attribution or contribution will be handled when farmers are already engaged by large programmes.</w:t>
      </w:r>
    </w:p>
    <w:p w14:paraId="7A5594AE" w14:textId="77777777" w:rsidR="00C7665E" w:rsidRDefault="00000000">
      <w:pPr>
        <w:pStyle w:val="ListBullet"/>
      </w:pPr>
      <w:r>
        <w:t>Evidence used to justify the assumed conversion rate.</w:t>
      </w:r>
    </w:p>
    <w:p w14:paraId="4035CCEC" w14:textId="77777777" w:rsidR="00C7665E" w:rsidRDefault="00000000">
      <w:pPr>
        <w:pStyle w:val="Heading2"/>
      </w:pPr>
      <w:r>
        <w:t>Reach, trial, adoption and sustained use must be separated</w:t>
      </w:r>
    </w:p>
    <w:p w14:paraId="6B03615C" w14:textId="77777777" w:rsidR="00C7665E" w:rsidRDefault="00000000">
      <w:pPr>
        <w:pStyle w:val="ListBullet"/>
      </w:pPr>
      <w:r>
        <w:t>Reached/exposed: the farmer receives information or attends an event.</w:t>
      </w:r>
    </w:p>
    <w:p w14:paraId="7BBAE846" w14:textId="77777777" w:rsidR="00C7665E" w:rsidRDefault="00000000">
      <w:pPr>
        <w:pStyle w:val="ListBullet"/>
      </w:pPr>
      <w:r>
        <w:t>Trial: the farmer tests a practice on a small area or for one cycle.</w:t>
      </w:r>
    </w:p>
    <w:p w14:paraId="4C6DCE53" w14:textId="77777777" w:rsidR="00C7665E" w:rsidRDefault="00000000">
      <w:pPr>
        <w:pStyle w:val="ListBullet"/>
      </w:pPr>
      <w:r>
        <w:t>Adoption: the farmer implements the defined minimum bundle under a clear threshold.</w:t>
      </w:r>
    </w:p>
    <w:p w14:paraId="2B911A99" w14:textId="77777777" w:rsidR="00C7665E" w:rsidRDefault="00000000">
      <w:pPr>
        <w:pStyle w:val="ListBullet"/>
      </w:pPr>
      <w:r>
        <w:t>Depth of adoption: the proportion of the farm, enterprise or relevant production area under the practice.</w:t>
      </w:r>
    </w:p>
    <w:p w14:paraId="78B62E41" w14:textId="77777777" w:rsidR="00C7665E" w:rsidRDefault="00000000">
      <w:pPr>
        <w:pStyle w:val="ListBullet"/>
      </w:pPr>
      <w:r>
        <w:t>Continued adoption: the farmer maintains or repeats the bundle without direct project provision.</w:t>
      </w:r>
    </w:p>
    <w:p w14:paraId="0019692E" w14:textId="77777777" w:rsidR="00C7665E" w:rsidRDefault="00000000">
      <w:pPr>
        <w:pStyle w:val="ListBullet"/>
      </w:pPr>
      <w:r>
        <w:t>Integrated-bundle adoption: the farmer uses the specified water, soil and climate-information components together, rather than only one isolated practice.</w:t>
      </w:r>
    </w:p>
    <w:p w14:paraId="69E4BD09" w14:textId="77777777" w:rsidR="00C7665E" w:rsidRDefault="00000000">
      <w:r>
        <w:t>Richard illustrated that if normal conversion from exposure to adoption were only 10–20%, the programme might need to expose roughly 100,000 farmers to secure 20,000 adopters. The exact figure must come from the track’s own evidence, but a 100% conversion assumption is not credible.</w:t>
      </w:r>
    </w:p>
    <w:p w14:paraId="0734EC60" w14:textId="77777777" w:rsidR="00C7665E" w:rsidRDefault="00000000">
      <w:pPr>
        <w:pStyle w:val="Heading2"/>
      </w:pPr>
      <w:r>
        <w:lastRenderedPageBreak/>
        <w:t>Definition of adoption depth</w:t>
      </w:r>
    </w:p>
    <w:p w14:paraId="145CC16C" w14:textId="77777777" w:rsidR="00C7665E" w:rsidRDefault="00000000">
      <w:r>
        <w:t>The session also questioned what counts as adoption. Trying a ditch, barrier or intercrop on 100 square metres is not equivalent to applying the bundle across a half-hectare or one-hectare farm. The track should define minimum thresholds appropriate to each practice and explain how partial adoption will be recorded.</w:t>
      </w:r>
    </w:p>
    <w:p w14:paraId="4574F598" w14:textId="77777777" w:rsidR="00C7665E" w:rsidRDefault="00000000">
      <w:pPr>
        <w:pStyle w:val="Heading1"/>
      </w:pPr>
      <w:r>
        <w:t>10. Monitoring, evaluation and learning</w:t>
      </w:r>
    </w:p>
    <w:p w14:paraId="32FEAC40" w14:textId="77777777" w:rsidR="00C7665E" w:rsidRDefault="00000000">
      <w:pPr>
        <w:pStyle w:val="Heading2"/>
      </w:pPr>
      <w:r>
        <w:t>Current approach</w:t>
      </w:r>
    </w:p>
    <w:p w14:paraId="6F22D988" w14:textId="77777777" w:rsidR="00C7665E" w:rsidRDefault="00000000">
      <w:pPr>
        <w:pStyle w:val="ListBullet"/>
      </w:pPr>
      <w:r>
        <w:t>The track intends to rely substantially on partner monitoring systems and has discussed specific information requirements with partners.</w:t>
      </w:r>
    </w:p>
    <w:p w14:paraId="27001EC9" w14:textId="77777777" w:rsidR="00C7665E" w:rsidRDefault="00000000">
      <w:pPr>
        <w:pStyle w:val="ListBullet"/>
      </w:pPr>
      <w:r>
        <w:t>MOUs reportedly include commitments for partners to share methods and results.</w:t>
      </w:r>
    </w:p>
    <w:p w14:paraId="4AA9B98B" w14:textId="77777777" w:rsidR="00C7665E" w:rsidRDefault="00000000">
      <w:pPr>
        <w:pStyle w:val="ListBullet"/>
      </w:pPr>
      <w:r>
        <w:t>The team acknowledged that recreating the intensive monitoring used in Climate-Smart Village research would be too costly at scaling level.</w:t>
      </w:r>
    </w:p>
    <w:p w14:paraId="6C3FEFFF" w14:textId="77777777" w:rsidR="00C7665E" w:rsidRDefault="00000000">
      <w:pPr>
        <w:pStyle w:val="Heading2"/>
      </w:pPr>
      <w:r>
        <w:t>Risks of relying only on partner reporting</w:t>
      </w:r>
    </w:p>
    <w:p w14:paraId="6BE6F60E" w14:textId="77777777" w:rsidR="00C7665E" w:rsidRDefault="00000000">
      <w:pPr>
        <w:pStyle w:val="ListBullet"/>
      </w:pPr>
      <w:r>
        <w:t>Partner systems may count attendance or awareness as adoption.</w:t>
      </w:r>
    </w:p>
    <w:p w14:paraId="167A70FF" w14:textId="77777777" w:rsidR="00C7665E" w:rsidRDefault="00000000">
      <w:pPr>
        <w:pStyle w:val="ListBullet"/>
      </w:pPr>
      <w:r>
        <w:t>Partners may not distinguish isolated practices from the integrated bundle.</w:t>
      </w:r>
    </w:p>
    <w:p w14:paraId="724DAE7D" w14:textId="77777777" w:rsidR="00C7665E" w:rsidRDefault="00000000">
      <w:pPr>
        <w:pStyle w:val="ListBullet"/>
      </w:pPr>
      <w:r>
        <w:t>Extension systems and projects may have incentives to inflate figures or may lack resources to follow up farmers.</w:t>
      </w:r>
    </w:p>
    <w:p w14:paraId="292BF908" w14:textId="77777777" w:rsidR="00C7665E" w:rsidRDefault="00000000">
      <w:pPr>
        <w:pStyle w:val="ListBullet"/>
      </w:pPr>
      <w:r>
        <w:t>Different partners may use inconsistent definitions, periods and sampling methods.</w:t>
      </w:r>
    </w:p>
    <w:p w14:paraId="16FD790E" w14:textId="77777777" w:rsidR="00C7665E" w:rsidRDefault="00000000">
      <w:pPr>
        <w:pStyle w:val="ListBullet"/>
      </w:pPr>
      <w:r>
        <w:t>Large scaling claims become difficult to defend when no independent or sampled verification exists.</w:t>
      </w:r>
    </w:p>
    <w:p w14:paraId="1519DD10" w14:textId="77777777" w:rsidR="00C7665E" w:rsidRDefault="00000000">
      <w:pPr>
        <w:pStyle w:val="Heading2"/>
      </w:pPr>
      <w:r>
        <w:t>Practical verification options discussed</w:t>
      </w:r>
    </w:p>
    <w:p w14:paraId="1C427386" w14:textId="77777777" w:rsidR="00C7665E" w:rsidRDefault="00000000">
      <w:pPr>
        <w:pStyle w:val="ListBullet"/>
      </w:pPr>
      <w:r>
        <w:t>Sampled follow-up: track one, two or a few events out of a much larger set and follow participants to determine trial, adoption, continuation and outcomes.</w:t>
      </w:r>
    </w:p>
    <w:p w14:paraId="3C56A4CF" w14:textId="77777777" w:rsidR="00C7665E" w:rsidRDefault="00000000">
      <w:pPr>
        <w:pStyle w:val="ListBullet"/>
      </w:pPr>
      <w:r>
        <w:t>Phone surveys: use a light, rapid instrument to distinguish reach from adoption and identify which practices farmers value most.</w:t>
      </w:r>
    </w:p>
    <w:p w14:paraId="62FD7DD3" w14:textId="77777777" w:rsidR="00C7665E" w:rsidRDefault="00000000">
      <w:pPr>
        <w:pStyle w:val="ListBullet"/>
      </w:pPr>
      <w:r>
        <w:t>Rapid/dynamic evaluation: reconnect with Marcel and the proposed phone-based evaluation process; the team had already reviewed questions and offered translation and farmer lists but had not received a recent follow-up.</w:t>
      </w:r>
    </w:p>
    <w:p w14:paraId="31D105AF" w14:textId="77777777" w:rsidR="00C7665E" w:rsidRDefault="00000000">
      <w:pPr>
        <w:pStyle w:val="ListBullet"/>
      </w:pPr>
      <w:r>
        <w:t>Simple digital feedback through LTACs and partner organizations, potentially institutionalized for 2027.</w:t>
      </w:r>
    </w:p>
    <w:p w14:paraId="3AD3D1FB" w14:textId="77777777" w:rsidR="00C7665E" w:rsidRDefault="00000000">
      <w:pPr>
        <w:pStyle w:val="ListBullet"/>
      </w:pPr>
      <w:r>
        <w:t>Remote sensing, satellite imagery or drone observation for visible land and water-management practices, subject to technical feasibility and funding.</w:t>
      </w:r>
    </w:p>
    <w:p w14:paraId="6B2B67FE" w14:textId="77777777" w:rsidR="00C7665E" w:rsidRDefault="00000000">
      <w:pPr>
        <w:pStyle w:val="ListBullet"/>
      </w:pPr>
      <w:r>
        <w:t>For varietal adoption, consider objective verification methods where feasible, including field sampling or genetic identification.</w:t>
      </w:r>
    </w:p>
    <w:p w14:paraId="7B4164FE" w14:textId="77777777" w:rsidR="00C7665E" w:rsidRDefault="00000000">
      <w:pPr>
        <w:pStyle w:val="ListBullet"/>
      </w:pPr>
      <w:r>
        <w:t>Triangulate partner administrative data, farmer self-report, field observation and geospatial evidence rather than relying on a single source.</w:t>
      </w:r>
    </w:p>
    <w:p w14:paraId="16CC6FDE" w14:textId="77777777" w:rsidR="00C7665E" w:rsidRDefault="00000000">
      <w:pPr>
        <w:pStyle w:val="Heading2"/>
      </w:pPr>
      <w:r>
        <w:t>Monitoring the integrated bundle</w:t>
      </w:r>
    </w:p>
    <w:p w14:paraId="3BEC5A69" w14:textId="77777777" w:rsidR="00C7665E" w:rsidRDefault="00000000">
      <w:r>
        <w:t>Felix emphasized that the track must know whether farmers are adopting the intended integrated bundle rather than isolated practices. The monitoring protocol should therefore record each bundle component separately and determine whether the minimum combination has been met.</w:t>
      </w:r>
    </w:p>
    <w:p w14:paraId="755541E9" w14:textId="77777777" w:rsidR="00C7665E" w:rsidRDefault="00000000">
      <w:pPr>
        <w:pStyle w:val="Heading2"/>
      </w:pPr>
      <w:r>
        <w:t>Monitoring should serve learning, not only accountability</w:t>
      </w:r>
    </w:p>
    <w:p w14:paraId="62CE8AB1" w14:textId="77777777" w:rsidR="00C7665E" w:rsidRDefault="00000000">
      <w:r>
        <w:t>Richard stressed that the discussion was not merely about verifying numbers. The track has an opportunity to learn which pathways, committees, partners, bundles and farmer segments perform best and why. Monitoring should guide resource allocation, adaptation and prioritization over several years.</w:t>
      </w:r>
    </w:p>
    <w:p w14:paraId="28AB9CAB" w14:textId="77777777" w:rsidR="00C7665E" w:rsidRDefault="00000000">
      <w:pPr>
        <w:pStyle w:val="Heading1"/>
      </w:pPr>
      <w:r>
        <w:t>11. Proposed learning agenda: using the track as a natural experiment</w:t>
      </w:r>
    </w:p>
    <w:p w14:paraId="5AA602F8" w14:textId="77777777" w:rsidR="00C7665E" w:rsidRDefault="00000000">
      <w:r>
        <w:t>Because the track is working through multiple pathways, regions, partners and bundles, it can generate evidence that is valuable beyond Guatemala and Colombia. The recommended learning agenda includes the following comparisons.</w:t>
      </w:r>
    </w:p>
    <w:tbl>
      <w:tblPr>
        <w:tblStyle w:val="TableGrid"/>
        <w:tblW w:w="0" w:type="auto"/>
        <w:jc w:val="center"/>
        <w:tblLook w:val="04A0" w:firstRow="1" w:lastRow="0" w:firstColumn="1" w:lastColumn="0" w:noHBand="0" w:noVBand="1"/>
      </w:tblPr>
      <w:tblGrid>
        <w:gridCol w:w="5040"/>
        <w:gridCol w:w="5040"/>
      </w:tblGrid>
      <w:tr w:rsidR="00C7665E" w14:paraId="369FDAB7" w14:textId="77777777">
        <w:trPr>
          <w:cantSplit/>
          <w:tblHeader/>
          <w:jc w:val="center"/>
        </w:trPr>
        <w:tc>
          <w:tcPr>
            <w:tcW w:w="5040" w:type="dxa"/>
            <w:shd w:val="clear" w:color="auto" w:fill="1F4E78"/>
          </w:tcPr>
          <w:p w14:paraId="2DCCBC70" w14:textId="77777777" w:rsidR="00C7665E" w:rsidRDefault="00000000">
            <w:pPr>
              <w:spacing w:after="0"/>
            </w:pPr>
            <w:r>
              <w:rPr>
                <w:b/>
                <w:sz w:val="18"/>
              </w:rPr>
              <w:lastRenderedPageBreak/>
              <w:t>Learning question</w:t>
            </w:r>
          </w:p>
        </w:tc>
        <w:tc>
          <w:tcPr>
            <w:tcW w:w="5040" w:type="dxa"/>
            <w:shd w:val="clear" w:color="auto" w:fill="1F4E78"/>
          </w:tcPr>
          <w:p w14:paraId="2265CE16" w14:textId="77777777" w:rsidR="00C7665E" w:rsidRDefault="00000000">
            <w:pPr>
              <w:spacing w:after="0"/>
            </w:pPr>
            <w:r>
              <w:rPr>
                <w:b/>
                <w:sz w:val="18"/>
              </w:rPr>
              <w:t>What to examine</w:t>
            </w:r>
          </w:p>
        </w:tc>
      </w:tr>
      <w:tr w:rsidR="00C7665E" w14:paraId="3ED81523" w14:textId="77777777">
        <w:trPr>
          <w:cantSplit/>
          <w:jc w:val="center"/>
        </w:trPr>
        <w:tc>
          <w:tcPr>
            <w:tcW w:w="5040" w:type="dxa"/>
          </w:tcPr>
          <w:p w14:paraId="2D966537" w14:textId="77777777" w:rsidR="00C7665E" w:rsidRDefault="00000000">
            <w:pPr>
              <w:spacing w:after="0"/>
            </w:pPr>
            <w:r>
              <w:rPr>
                <w:b/>
                <w:sz w:val="17"/>
              </w:rPr>
              <w:t>Pathway effectiveness</w:t>
            </w:r>
          </w:p>
        </w:tc>
        <w:tc>
          <w:tcPr>
            <w:tcW w:w="5040" w:type="dxa"/>
          </w:tcPr>
          <w:p w14:paraId="7DB5B470" w14:textId="77777777" w:rsidR="00C7665E" w:rsidRDefault="00000000">
            <w:pPr>
              <w:spacing w:after="0"/>
            </w:pPr>
            <w:r>
              <w:rPr>
                <w:sz w:val="17"/>
              </w:rPr>
              <w:t>Compare adoption, continuation, cost and speed under the large-project, LTAC and public-system pathways.</w:t>
            </w:r>
          </w:p>
        </w:tc>
      </w:tr>
      <w:tr w:rsidR="00C7665E" w14:paraId="6A71BF8F" w14:textId="77777777">
        <w:trPr>
          <w:cantSplit/>
          <w:jc w:val="center"/>
        </w:trPr>
        <w:tc>
          <w:tcPr>
            <w:tcW w:w="5040" w:type="dxa"/>
          </w:tcPr>
          <w:p w14:paraId="02AFC1A6" w14:textId="77777777" w:rsidR="00C7665E" w:rsidRDefault="00000000">
            <w:pPr>
              <w:spacing w:after="0"/>
            </w:pPr>
            <w:r>
              <w:rPr>
                <w:b/>
                <w:sz w:val="17"/>
              </w:rPr>
              <w:t>LTAC performance</w:t>
            </w:r>
          </w:p>
        </w:tc>
        <w:tc>
          <w:tcPr>
            <w:tcW w:w="5040" w:type="dxa"/>
          </w:tcPr>
          <w:p w14:paraId="2BA4C04B" w14:textId="77777777" w:rsidR="00C7665E" w:rsidRDefault="00000000">
            <w:pPr>
              <w:spacing w:after="0"/>
            </w:pPr>
            <w:r>
              <w:rPr>
                <w:sz w:val="17"/>
              </w:rPr>
              <w:t>Identify why some committees generate higher adoption than others: governance, leadership, partner composition, agroecology, population, extension capacity, or package suitability.</w:t>
            </w:r>
          </w:p>
        </w:tc>
      </w:tr>
      <w:tr w:rsidR="00C7665E" w14:paraId="5C683BCB" w14:textId="77777777">
        <w:trPr>
          <w:cantSplit/>
          <w:jc w:val="center"/>
        </w:trPr>
        <w:tc>
          <w:tcPr>
            <w:tcW w:w="5040" w:type="dxa"/>
          </w:tcPr>
          <w:p w14:paraId="28CEB847" w14:textId="77777777" w:rsidR="00C7665E" w:rsidRDefault="00000000">
            <w:pPr>
              <w:spacing w:after="0"/>
            </w:pPr>
            <w:r>
              <w:rPr>
                <w:b/>
                <w:sz w:val="17"/>
              </w:rPr>
              <w:t>Bundle performance</w:t>
            </w:r>
          </w:p>
        </w:tc>
        <w:tc>
          <w:tcPr>
            <w:tcW w:w="5040" w:type="dxa"/>
          </w:tcPr>
          <w:p w14:paraId="1D8041C7" w14:textId="77777777" w:rsidR="00C7665E" w:rsidRDefault="00000000">
            <w:pPr>
              <w:spacing w:after="0"/>
            </w:pPr>
            <w:r>
              <w:rPr>
                <w:sz w:val="17"/>
              </w:rPr>
              <w:t>Identify the most frequently adopted bundles and practices and determine whether adoption reflects suitability, lower labour, lower cash cost, lower behaviour change or stronger benefits.</w:t>
            </w:r>
          </w:p>
        </w:tc>
      </w:tr>
      <w:tr w:rsidR="00C7665E" w14:paraId="314F752C" w14:textId="77777777">
        <w:trPr>
          <w:cantSplit/>
          <w:jc w:val="center"/>
        </w:trPr>
        <w:tc>
          <w:tcPr>
            <w:tcW w:w="5040" w:type="dxa"/>
          </w:tcPr>
          <w:p w14:paraId="25CAC60C" w14:textId="77777777" w:rsidR="00C7665E" w:rsidRDefault="00000000">
            <w:pPr>
              <w:spacing w:after="0"/>
            </w:pPr>
            <w:r>
              <w:rPr>
                <w:b/>
                <w:sz w:val="17"/>
              </w:rPr>
              <w:t>Farmer segmentation</w:t>
            </w:r>
          </w:p>
        </w:tc>
        <w:tc>
          <w:tcPr>
            <w:tcW w:w="5040" w:type="dxa"/>
          </w:tcPr>
          <w:p w14:paraId="6F1C7207" w14:textId="77777777" w:rsidR="00C7665E" w:rsidRDefault="00000000">
            <w:pPr>
              <w:spacing w:after="0"/>
            </w:pPr>
            <w:r>
              <w:rPr>
                <w:sz w:val="17"/>
              </w:rPr>
              <w:t>Assess whether the most marginalized, poorest, remote, indigenous, women or youth farmers face systematically lower adoption and what additional support is needed.</w:t>
            </w:r>
          </w:p>
        </w:tc>
      </w:tr>
      <w:tr w:rsidR="00C7665E" w14:paraId="4C3704DA" w14:textId="77777777">
        <w:trPr>
          <w:cantSplit/>
          <w:jc w:val="center"/>
        </w:trPr>
        <w:tc>
          <w:tcPr>
            <w:tcW w:w="5040" w:type="dxa"/>
          </w:tcPr>
          <w:p w14:paraId="504EF1EC" w14:textId="77777777" w:rsidR="00C7665E" w:rsidRDefault="00000000">
            <w:pPr>
              <w:spacing w:after="0"/>
            </w:pPr>
            <w:r>
              <w:rPr>
                <w:b/>
                <w:sz w:val="17"/>
              </w:rPr>
              <w:t>Behaviour change</w:t>
            </w:r>
          </w:p>
        </w:tc>
        <w:tc>
          <w:tcPr>
            <w:tcW w:w="5040" w:type="dxa"/>
          </w:tcPr>
          <w:p w14:paraId="7FA3DBDF" w14:textId="77777777" w:rsidR="00C7665E" w:rsidRDefault="00000000">
            <w:pPr>
              <w:spacing w:after="0"/>
            </w:pPr>
            <w:r>
              <w:rPr>
                <w:sz w:val="17"/>
              </w:rPr>
              <w:t>Measure how different bundles depart from existing practices. Small changes may scale faster than practices requiring new equipment, skills or major changes in routines.</w:t>
            </w:r>
          </w:p>
        </w:tc>
      </w:tr>
      <w:tr w:rsidR="00C7665E" w14:paraId="58AAFD5B" w14:textId="77777777">
        <w:trPr>
          <w:cantSplit/>
          <w:jc w:val="center"/>
        </w:trPr>
        <w:tc>
          <w:tcPr>
            <w:tcW w:w="5040" w:type="dxa"/>
          </w:tcPr>
          <w:p w14:paraId="75C20F5C" w14:textId="77777777" w:rsidR="00C7665E" w:rsidRDefault="00000000">
            <w:pPr>
              <w:spacing w:after="0"/>
            </w:pPr>
            <w:r>
              <w:rPr>
                <w:b/>
                <w:sz w:val="17"/>
              </w:rPr>
              <w:t>Cost-impact relationship</w:t>
            </w:r>
          </w:p>
        </w:tc>
        <w:tc>
          <w:tcPr>
            <w:tcW w:w="5040" w:type="dxa"/>
          </w:tcPr>
          <w:p w14:paraId="30D43967" w14:textId="77777777" w:rsidR="00C7665E" w:rsidRDefault="00000000">
            <w:pPr>
              <w:spacing w:after="0"/>
            </w:pPr>
            <w:r>
              <w:rPr>
                <w:sz w:val="17"/>
              </w:rPr>
              <w:t>Compare financial cost, labour cost and impact. High adoption of low-cost practices is useful, but the track should determine whether those practices deliver meaningful resilience and livelihood benefits.</w:t>
            </w:r>
          </w:p>
        </w:tc>
      </w:tr>
      <w:tr w:rsidR="00C7665E" w14:paraId="28FA0075" w14:textId="77777777">
        <w:trPr>
          <w:cantSplit/>
          <w:jc w:val="center"/>
        </w:trPr>
        <w:tc>
          <w:tcPr>
            <w:tcW w:w="5040" w:type="dxa"/>
          </w:tcPr>
          <w:p w14:paraId="32C67D34" w14:textId="77777777" w:rsidR="00C7665E" w:rsidRDefault="00000000">
            <w:pPr>
              <w:spacing w:after="0"/>
            </w:pPr>
            <w:r>
              <w:rPr>
                <w:b/>
                <w:sz w:val="17"/>
              </w:rPr>
              <w:t>Institutional capacity</w:t>
            </w:r>
          </w:p>
        </w:tc>
        <w:tc>
          <w:tcPr>
            <w:tcW w:w="5040" w:type="dxa"/>
          </w:tcPr>
          <w:p w14:paraId="03BDF203" w14:textId="77777777" w:rsidR="00C7665E" w:rsidRDefault="00000000">
            <w:pPr>
              <w:spacing w:after="0"/>
            </w:pPr>
            <w:r>
              <w:rPr>
                <w:sz w:val="17"/>
              </w:rPr>
              <w:t>Test whether partner governance, resources and technical ability explain performance and identify the minimum capacities required for a catalytic model to work.</w:t>
            </w:r>
          </w:p>
        </w:tc>
      </w:tr>
      <w:tr w:rsidR="00C7665E" w14:paraId="2E6C7AD7" w14:textId="77777777">
        <w:trPr>
          <w:cantSplit/>
          <w:jc w:val="center"/>
        </w:trPr>
        <w:tc>
          <w:tcPr>
            <w:tcW w:w="5040" w:type="dxa"/>
          </w:tcPr>
          <w:p w14:paraId="19F05828" w14:textId="77777777" w:rsidR="00C7665E" w:rsidRDefault="00000000">
            <w:pPr>
              <w:spacing w:after="0"/>
            </w:pPr>
            <w:r>
              <w:rPr>
                <w:b/>
                <w:sz w:val="17"/>
              </w:rPr>
              <w:t>Sustainability</w:t>
            </w:r>
          </w:p>
        </w:tc>
        <w:tc>
          <w:tcPr>
            <w:tcW w:w="5040" w:type="dxa"/>
          </w:tcPr>
          <w:p w14:paraId="3472AD3B" w14:textId="77777777" w:rsidR="00C7665E" w:rsidRDefault="00000000">
            <w:pPr>
              <w:spacing w:after="0"/>
            </w:pPr>
            <w:r>
              <w:rPr>
                <w:sz w:val="17"/>
              </w:rPr>
              <w:t>Track whether partner-led implementation continues after project funding, incentives or direct Alliance support end.</w:t>
            </w:r>
          </w:p>
        </w:tc>
      </w:tr>
    </w:tbl>
    <w:p w14:paraId="12B14BBF" w14:textId="77777777" w:rsidR="00C7665E" w:rsidRDefault="00000000">
      <w:pPr>
        <w:pStyle w:val="QuoteNote"/>
      </w:pPr>
      <w:r>
        <w:t>“You often have to scale down to scale up.”</w:t>
      </w:r>
    </w:p>
    <w:p w14:paraId="36B3965C" w14:textId="77777777" w:rsidR="00C7665E" w:rsidRDefault="00000000">
      <w:pPr>
        <w:pStyle w:val="Heading1"/>
      </w:pPr>
      <w:r>
        <w:t>12. Focus, prioritization and value propositions</w:t>
      </w:r>
    </w:p>
    <w:p w14:paraId="229C1533" w14:textId="77777777" w:rsidR="00C7665E" w:rsidRDefault="00000000">
      <w:r>
        <w:t>The track’s flexibility and large menu of practices are strengths for demand responsiveness, but they also create complexity for training, evidence, monitoring and partner delivery. The coaching recommendation was to use early adoption data to narrow the offer.</w:t>
      </w:r>
    </w:p>
    <w:p w14:paraId="58E60DD5" w14:textId="77777777" w:rsidR="00C7665E" w:rsidRDefault="00000000">
      <w:pPr>
        <w:pStyle w:val="ListBullet"/>
      </w:pPr>
      <w:r>
        <w:t>Identify the five to ten most common or promising bundle configurations, even if the broader catalogue remains available.</w:t>
      </w:r>
    </w:p>
    <w:p w14:paraId="0CAD8916" w14:textId="77777777" w:rsidR="00C7665E" w:rsidRDefault="00000000">
      <w:pPr>
        <w:pStyle w:val="ListBullet"/>
      </w:pPr>
      <w:r>
        <w:t>Prioritize practices that combine strong impact with manageable cash cost, labour and behaviour change.</w:t>
      </w:r>
    </w:p>
    <w:p w14:paraId="7870C943" w14:textId="77777777" w:rsidR="00C7665E" w:rsidRDefault="00000000">
      <w:pPr>
        <w:pStyle w:val="ListBullet"/>
      </w:pPr>
      <w:r>
        <w:t>Do not automatically select only the easiest practices; compare ease of adoption with magnitude of impact and equity implications.</w:t>
      </w:r>
    </w:p>
    <w:p w14:paraId="19E5F8FE" w14:textId="77777777" w:rsidR="00C7665E" w:rsidRDefault="00000000">
      <w:pPr>
        <w:pStyle w:val="ListBullet"/>
      </w:pPr>
      <w:r>
        <w:t>Focus limited extension and partner capacity on a smaller number of clearly communicated options.</w:t>
      </w:r>
    </w:p>
    <w:p w14:paraId="268DE03F" w14:textId="77777777" w:rsidR="00C7665E" w:rsidRDefault="00000000">
      <w:pPr>
        <w:pStyle w:val="ListBullet"/>
      </w:pPr>
      <w:r>
        <w:t>Develop an explicit value proposition for each priority bundle: the problem solved, farmer segment, expected benefit, cost, labour, payback period, risk, support required and evidence.</w:t>
      </w:r>
    </w:p>
    <w:p w14:paraId="2BE09EAA" w14:textId="77777777" w:rsidR="00C7665E" w:rsidRDefault="00000000">
      <w:pPr>
        <w:pStyle w:val="ListBullet"/>
      </w:pPr>
      <w:r>
        <w:t>Use farmer adoption choices as evidence of what farmers value, but investigate whether those choices are constrained by poverty, information, labour, inputs or social norms.</w:t>
      </w:r>
    </w:p>
    <w:p w14:paraId="6333A810" w14:textId="77777777" w:rsidR="00C7665E" w:rsidRDefault="00000000">
      <w:pPr>
        <w:pStyle w:val="Heading2"/>
      </w:pPr>
      <w:r>
        <w:t>Suggested three-dimensional assessment</w:t>
      </w:r>
    </w:p>
    <w:p w14:paraId="4FC35284" w14:textId="77777777" w:rsidR="00C7665E" w:rsidRDefault="00000000">
      <w:r>
        <w:t>Richard proposed thinking about each bundle across three interacting dimensions:</w:t>
      </w:r>
    </w:p>
    <w:p w14:paraId="13417097" w14:textId="77777777" w:rsidR="00C7665E" w:rsidRDefault="00000000">
      <w:pPr>
        <w:pStyle w:val="ListBullet"/>
      </w:pPr>
      <w:r>
        <w:t>Degree of behaviour change required.</w:t>
      </w:r>
    </w:p>
    <w:p w14:paraId="50891424" w14:textId="77777777" w:rsidR="00C7665E" w:rsidRDefault="00000000">
      <w:pPr>
        <w:pStyle w:val="ListBullet"/>
      </w:pPr>
      <w:r>
        <w:t>Total adoption cost, including cash, labour, time, risk and complementary inputs.</w:t>
      </w:r>
    </w:p>
    <w:p w14:paraId="35D68744" w14:textId="77777777" w:rsidR="00C7665E" w:rsidRDefault="00000000">
      <w:pPr>
        <w:pStyle w:val="ListBullet"/>
      </w:pPr>
      <w:r>
        <w:t>Magnitude of expected impact on productivity, income, resilience and environmental outcomes.</w:t>
      </w:r>
    </w:p>
    <w:p w14:paraId="020FFB8C" w14:textId="77777777" w:rsidR="00C7665E" w:rsidRDefault="00000000">
      <w:r>
        <w:t>A useful portfolio would show where each priority bundle sits on these dimensions and help the team decide what to promote to which farmer segment and through which pathway.</w:t>
      </w:r>
    </w:p>
    <w:p w14:paraId="3A31D40B" w14:textId="77777777" w:rsidR="00C7665E" w:rsidRDefault="00000000">
      <w:pPr>
        <w:pStyle w:val="Heading1"/>
      </w:pPr>
      <w:r>
        <w:t>13. Gender, equity and social inclusion considerations</w:t>
      </w:r>
    </w:p>
    <w:p w14:paraId="24A08DF4" w14:textId="77777777" w:rsidR="00C7665E" w:rsidRDefault="00000000">
      <w:pPr>
        <w:pStyle w:val="ListBullet"/>
      </w:pPr>
      <w:r>
        <w:t>Labour-intensive practices may transfer unpaid work to women, youth or poorer household members. Labour analysis should therefore be disaggregated by gender, age and household role.</w:t>
      </w:r>
    </w:p>
    <w:p w14:paraId="3E729FF5" w14:textId="77777777" w:rsidR="00C7665E" w:rsidRDefault="00000000">
      <w:pPr>
        <w:pStyle w:val="ListBullet"/>
      </w:pPr>
      <w:r>
        <w:lastRenderedPageBreak/>
        <w:t>The team referred to partner programmes that strengthen youth and diversify family labour, but the direct link between those activities and bundle adoption needs to be documented.</w:t>
      </w:r>
    </w:p>
    <w:p w14:paraId="4E6F5D6F" w14:textId="77777777" w:rsidR="00C7665E" w:rsidRDefault="00000000">
      <w:pPr>
        <w:pStyle w:val="ListBullet"/>
      </w:pPr>
      <w:r>
        <w:t>Ojon planned a follow-up discussion with Deissy to clarify partners, interventions and potential GESI outcomes, including inclusive business models and the possible role of cooperatives and SMEs.</w:t>
      </w:r>
    </w:p>
    <w:p w14:paraId="21604697" w14:textId="77777777" w:rsidR="00C7665E" w:rsidRDefault="00000000">
      <w:pPr>
        <w:pStyle w:val="ListBullet"/>
      </w:pPr>
      <w:r>
        <w:t>The track should determine whether extension-led pathways are sufficiently inclusive or whether other delivery channels are needed for women, youth, indigenous people and remote farmers.</w:t>
      </w:r>
    </w:p>
    <w:p w14:paraId="0580CB7A" w14:textId="77777777" w:rsidR="00C7665E" w:rsidRDefault="00000000">
      <w:pPr>
        <w:pStyle w:val="ListBullet"/>
      </w:pPr>
      <w:r>
        <w:t>The learning agenda should test whether areas with lower adoption correspond to more marginalized populations.</w:t>
      </w:r>
    </w:p>
    <w:p w14:paraId="390AB8C6" w14:textId="77777777" w:rsidR="00C7665E" w:rsidRDefault="00000000">
      <w:pPr>
        <w:pStyle w:val="ListBullet"/>
      </w:pPr>
      <w:r>
        <w:t>Scaling may involve real trade-offs: maximizing numbers, maximizing cost-effectiveness and reaching the poorest farmers may not always point to the same strategy. These choices should be explicit and data-informed.</w:t>
      </w:r>
    </w:p>
    <w:p w14:paraId="6B5F5945" w14:textId="77777777" w:rsidR="00C7665E" w:rsidRDefault="00000000">
      <w:pPr>
        <w:pStyle w:val="ListBullet"/>
      </w:pPr>
      <w:r>
        <w:t>Adoption depth and benefit should be disaggregated, not only participation. A farmer may attend training without controlling land, labour, finance or decision-making needed to implement the bundle.</w:t>
      </w:r>
    </w:p>
    <w:p w14:paraId="43F0A7FF" w14:textId="77777777" w:rsidR="00C7665E" w:rsidRDefault="00000000">
      <w:pPr>
        <w:pStyle w:val="Heading1"/>
      </w:pPr>
      <w:r>
        <w:t>14. Sustainability, ownership and exit strategy</w:t>
      </w:r>
    </w:p>
    <w:p w14:paraId="0269CC44" w14:textId="77777777" w:rsidR="00C7665E" w:rsidRDefault="00000000">
      <w:pPr>
        <w:pStyle w:val="Heading2"/>
      </w:pPr>
      <w:r>
        <w:t>Evidence of local ownership</w:t>
      </w:r>
    </w:p>
    <w:p w14:paraId="2FCDEC06" w14:textId="77777777" w:rsidR="00C7665E" w:rsidRDefault="00000000">
      <w:pPr>
        <w:pStyle w:val="ListBullet"/>
      </w:pPr>
      <w:r>
        <w:t>LTACs reportedly operate in 11 countries, with an estimated total of about 160 committees. The Alliance helped establish early models, but many are now locally organized and led by national and local actors.</w:t>
      </w:r>
    </w:p>
    <w:p w14:paraId="09E4792D" w14:textId="77777777" w:rsidR="00C7665E" w:rsidRDefault="00000000">
      <w:pPr>
        <w:pStyle w:val="ListBullet"/>
      </w:pPr>
      <w:r>
        <w:t>Committees continue because participating organizations perceive value and contribute time and resources. Alliance support is generally provided when specifically requested rather than through continuous operational control.</w:t>
      </w:r>
    </w:p>
    <w:p w14:paraId="1D097968" w14:textId="77777777" w:rsidR="00C7665E" w:rsidRDefault="00000000">
      <w:pPr>
        <w:pStyle w:val="ListBullet"/>
      </w:pPr>
      <w:r>
        <w:t>Some Climate-Smart Village communities continued sharing practices after direct CGIAR funding ended, suggesting that locally valued practices can persist and diffuse.</w:t>
      </w:r>
    </w:p>
    <w:p w14:paraId="0F835E41" w14:textId="77777777" w:rsidR="00C7665E" w:rsidRDefault="00000000">
      <w:pPr>
        <w:pStyle w:val="ListBullet"/>
      </w:pPr>
      <w:r>
        <w:t>The AKIS approach, NARS transition and IDB support are intended to institutionalize demand-driven innovation and scaling functions.</w:t>
      </w:r>
    </w:p>
    <w:p w14:paraId="3DC3A46D" w14:textId="77777777" w:rsidR="00C7665E" w:rsidRDefault="00000000">
      <w:pPr>
        <w:pStyle w:val="Heading2"/>
      </w:pPr>
      <w:r>
        <w:t>Questions still requiring a concrete answer</w:t>
      </w:r>
    </w:p>
    <w:p w14:paraId="1587C803" w14:textId="77777777" w:rsidR="00C7665E" w:rsidRDefault="00000000">
      <w:pPr>
        <w:pStyle w:val="ListBullet"/>
      </w:pPr>
      <w:r>
        <w:t>What happens when S4I or Alliance funding ends?</w:t>
      </w:r>
    </w:p>
    <w:p w14:paraId="1510C979" w14:textId="77777777" w:rsidR="00C7665E" w:rsidRDefault="00000000">
      <w:pPr>
        <w:pStyle w:val="ListBullet"/>
      </w:pPr>
      <w:r>
        <w:t>Which organization will own coordination, technical standards, data and learning?</w:t>
      </w:r>
    </w:p>
    <w:p w14:paraId="400DEB24" w14:textId="77777777" w:rsidR="00C7665E" w:rsidRDefault="00000000">
      <w:pPr>
        <w:pStyle w:val="ListBullet"/>
      </w:pPr>
      <w:r>
        <w:t>What recurrent costs must be financed, and by whom?</w:t>
      </w:r>
    </w:p>
    <w:p w14:paraId="7102A927" w14:textId="77777777" w:rsidR="00C7665E" w:rsidRDefault="00000000">
      <w:pPr>
        <w:pStyle w:val="ListBullet"/>
      </w:pPr>
      <w:r>
        <w:t>Which partners are already co-investing beyond activities they would have undertaken anyway?</w:t>
      </w:r>
    </w:p>
    <w:p w14:paraId="0E203EA6" w14:textId="77777777" w:rsidR="00C7665E" w:rsidRDefault="00000000">
      <w:pPr>
        <w:pStyle w:val="ListBullet"/>
      </w:pPr>
      <w:r>
        <w:t>Will partners be able to update bundles, climate information and training materials without continuing high-level technical assistance?</w:t>
      </w:r>
    </w:p>
    <w:p w14:paraId="061014FD" w14:textId="77777777" w:rsidR="00C7665E" w:rsidRDefault="00000000">
      <w:pPr>
        <w:pStyle w:val="ListBullet"/>
      </w:pPr>
      <w:r>
        <w:t>How will weak LTACs or delivery partners be supported, replaced or deprioritized?</w:t>
      </w:r>
    </w:p>
    <w:p w14:paraId="3201E79B" w14:textId="77777777" w:rsidR="00C7665E" w:rsidRDefault="00000000">
      <w:pPr>
        <w:pStyle w:val="ListBullet"/>
      </w:pPr>
      <w:r>
        <w:t>How will the approach avoid project-dependent incentives or subsidies that collapse after external funding ends?</w:t>
      </w:r>
    </w:p>
    <w:p w14:paraId="0E1EF9E8" w14:textId="77777777" w:rsidR="00C7665E" w:rsidRDefault="00000000">
      <w:pPr>
        <w:pStyle w:val="Heading1"/>
      </w:pPr>
      <w:r>
        <w:t>15. Partner capacity, governance and political economy</w:t>
      </w:r>
    </w:p>
    <w:p w14:paraId="5565EF87" w14:textId="77777777" w:rsidR="00C7665E" w:rsidRDefault="00000000">
      <w:r>
        <w:t>A broader programmatic point was that many scaling tracks operate as catalysts and depend on external institutions. Their results are therefore constrained by the governance and implementation capacity of those institutions. The session rejected the assumption that embedding an innovation in a project, NARS, extension system or cooperative automatically leads to adoption.</w:t>
      </w:r>
    </w:p>
    <w:p w14:paraId="42A2FB5D" w14:textId="77777777" w:rsidR="00C7665E" w:rsidRDefault="00000000">
      <w:pPr>
        <w:pStyle w:val="ListBullet"/>
      </w:pPr>
      <w:r>
        <w:t>Assess the capacity of each proposed delivery partner before assigning targets.</w:t>
      </w:r>
    </w:p>
    <w:p w14:paraId="0191F927" w14:textId="77777777" w:rsidR="00C7665E" w:rsidRDefault="00000000">
      <w:pPr>
        <w:pStyle w:val="ListBullet"/>
      </w:pPr>
      <w:r>
        <w:t>Examine governance, staff, incentives, geographic coverage, budget, logistics, technical ability, data systems and accountability.</w:t>
      </w:r>
    </w:p>
    <w:p w14:paraId="581002E4" w14:textId="77777777" w:rsidR="00C7665E" w:rsidRDefault="00000000">
      <w:pPr>
        <w:pStyle w:val="ListBullet"/>
      </w:pPr>
      <w:r>
        <w:t>Use political-economy analysis to understand whether institutions have incentives to serve the target farmers.</w:t>
      </w:r>
    </w:p>
    <w:p w14:paraId="794BC7BB" w14:textId="77777777" w:rsidR="00C7665E" w:rsidRDefault="00000000">
      <w:pPr>
        <w:pStyle w:val="ListBullet"/>
      </w:pPr>
      <w:r>
        <w:t>Distinguish between formal mandate and demonstrated delivery performance.</w:t>
      </w:r>
    </w:p>
    <w:p w14:paraId="6B3A539B" w14:textId="77777777" w:rsidR="00C7665E" w:rsidRDefault="00000000">
      <w:pPr>
        <w:pStyle w:val="ListBullet"/>
      </w:pPr>
      <w:r>
        <w:t>Assess the sustainability of project-funded prices, subsidies and service models and whether they crowd out private actors.</w:t>
      </w:r>
    </w:p>
    <w:p w14:paraId="37A6591F" w14:textId="77777777" w:rsidR="00C7665E" w:rsidRDefault="00000000">
      <w:pPr>
        <w:pStyle w:val="ListBullet"/>
      </w:pPr>
      <w:r>
        <w:t>Consider whether limited transition-to-scale funding should be used for stakeholder, political-economy and institutional-capacity analysis before committing to large scaling claims.</w:t>
      </w:r>
    </w:p>
    <w:p w14:paraId="03B5BED3" w14:textId="77777777" w:rsidR="00C7665E" w:rsidRDefault="00000000">
      <w:r>
        <w:lastRenderedPageBreak/>
        <w:t>Richard argued that IPSR and related scaling tools should assess not only which enablers are needed, but also whether the actors responsible for those enablers have the capacity to perform. The Alliance team responded that capacity, function, environment and demand are already embedded in the AKIS diagnostic; the next step is to show how that diagnosis changes partner selection and strategy.</w:t>
      </w:r>
    </w:p>
    <w:p w14:paraId="6E665FD8" w14:textId="77777777" w:rsidR="00C7665E" w:rsidRDefault="00000000">
      <w:pPr>
        <w:pStyle w:val="Heading1"/>
      </w:pPr>
      <w:r>
        <w:t>16. Wider implications for S4I and CGIAR</w:t>
      </w:r>
    </w:p>
    <w:p w14:paraId="6877CE56" w14:textId="77777777" w:rsidR="00C7665E" w:rsidRDefault="00000000">
      <w:pPr>
        <w:pStyle w:val="ListBullet"/>
      </w:pPr>
      <w:r>
        <w:t>The distinction between reach and adoption is a cross-portfolio issue, not unique to this track.</w:t>
      </w:r>
    </w:p>
    <w:p w14:paraId="5733B699" w14:textId="77777777" w:rsidR="00C7665E" w:rsidRDefault="00000000">
      <w:pPr>
        <w:pStyle w:val="ListBullet"/>
      </w:pPr>
      <w:r>
        <w:t>S4I may need a standardized, light-touch method for verifying adoption when tracks rely on partners, NARS, extension systems or large projects.</w:t>
      </w:r>
    </w:p>
    <w:p w14:paraId="75F0E0FF" w14:textId="77777777" w:rsidR="00C7665E" w:rsidRDefault="00000000">
      <w:pPr>
        <w:pStyle w:val="ListBullet"/>
      </w:pPr>
      <w:r>
        <w:t>The programme should consider partnerships with SPIA, IFPRI or other evaluation specialists and seek dedicated funding for adoption verification and learning at scale.</w:t>
      </w:r>
    </w:p>
    <w:p w14:paraId="34F4998A" w14:textId="77777777" w:rsidR="00C7665E" w:rsidRDefault="00000000">
      <w:pPr>
        <w:pStyle w:val="ListBullet"/>
      </w:pPr>
      <w:r>
        <w:t>The value of solution tracks is not only the number of adopters they directly support, but also the models, tools, diagnostics and institutional approaches that can improve scaling across CGIAR.</w:t>
      </w:r>
    </w:p>
    <w:p w14:paraId="26B30333" w14:textId="77777777" w:rsidR="00C7665E" w:rsidRDefault="00000000">
      <w:pPr>
        <w:pStyle w:val="ListBullet"/>
      </w:pPr>
      <w:r>
        <w:t>This track may offer transferable lessons for large international financial institution investments, including GCF, IDB, World Bank and regional development-bank projects.</w:t>
      </w:r>
    </w:p>
    <w:p w14:paraId="3C8E7A9E" w14:textId="77777777" w:rsidR="00C7665E" w:rsidRDefault="00000000">
      <w:pPr>
        <w:pStyle w:val="ListBullet"/>
      </w:pPr>
      <w:r>
        <w:t>Potential learning links were discussed with other models and initiatives, including ICRA-type approaches, PICSA-related climate-service mechanisms, PABRA, ICARDA diagnostics and a newly approved GCF investment in West Africa.</w:t>
      </w:r>
    </w:p>
    <w:p w14:paraId="4102D6FD" w14:textId="77777777" w:rsidR="00C7665E" w:rsidRDefault="00000000">
      <w:pPr>
        <w:pStyle w:val="ListBullet"/>
      </w:pPr>
      <w:r>
        <w:t>Transfer cannot be mechanical. NARS and extension capacity differs sharply by country. A model that works through a strong national institution in one country may fail in another without adaptation and capacity investment.</w:t>
      </w:r>
    </w:p>
    <w:p w14:paraId="24FE8EB7" w14:textId="77777777" w:rsidR="00C7665E" w:rsidRDefault="00000000">
      <w:pPr>
        <w:pStyle w:val="ListBullet"/>
      </w:pPr>
      <w:r>
        <w:t>S4I should clarify how much a solution track is expected to repair a weak delivery system versus leverage an imperfect but usable system within its limited budget.</w:t>
      </w:r>
    </w:p>
    <w:p w14:paraId="54B5BE0C" w14:textId="77777777" w:rsidR="00C7665E" w:rsidRDefault="00000000">
      <w:pPr>
        <w:pStyle w:val="Heading1"/>
      </w:pPr>
      <w:r>
        <w:t>17. Consolidated coaching recommendations</w:t>
      </w:r>
    </w:p>
    <w:tbl>
      <w:tblPr>
        <w:tblStyle w:val="TableGrid"/>
        <w:tblW w:w="0" w:type="auto"/>
        <w:jc w:val="center"/>
        <w:tblLook w:val="04A0" w:firstRow="1" w:lastRow="0" w:firstColumn="1" w:lastColumn="0" w:noHBand="0" w:noVBand="1"/>
      </w:tblPr>
      <w:tblGrid>
        <w:gridCol w:w="3360"/>
        <w:gridCol w:w="3360"/>
        <w:gridCol w:w="3360"/>
      </w:tblGrid>
      <w:tr w:rsidR="00C7665E" w14:paraId="61DE4A91" w14:textId="77777777">
        <w:trPr>
          <w:cantSplit/>
          <w:tblHeader/>
          <w:jc w:val="center"/>
        </w:trPr>
        <w:tc>
          <w:tcPr>
            <w:tcW w:w="3360" w:type="dxa"/>
            <w:shd w:val="clear" w:color="auto" w:fill="1F4E78"/>
          </w:tcPr>
          <w:p w14:paraId="5B48BBB5" w14:textId="77777777" w:rsidR="00C7665E" w:rsidRDefault="00000000">
            <w:pPr>
              <w:spacing w:after="0"/>
            </w:pPr>
            <w:r>
              <w:rPr>
                <w:b/>
                <w:sz w:val="17"/>
              </w:rPr>
              <w:t>Priority</w:t>
            </w:r>
          </w:p>
        </w:tc>
        <w:tc>
          <w:tcPr>
            <w:tcW w:w="3360" w:type="dxa"/>
            <w:shd w:val="clear" w:color="auto" w:fill="1F4E78"/>
          </w:tcPr>
          <w:p w14:paraId="1055F76F" w14:textId="77777777" w:rsidR="00C7665E" w:rsidRDefault="00000000">
            <w:pPr>
              <w:spacing w:after="0"/>
            </w:pPr>
            <w:r>
              <w:rPr>
                <w:b/>
                <w:sz w:val="17"/>
              </w:rPr>
              <w:t>Recommendation</w:t>
            </w:r>
          </w:p>
        </w:tc>
        <w:tc>
          <w:tcPr>
            <w:tcW w:w="3360" w:type="dxa"/>
            <w:shd w:val="clear" w:color="auto" w:fill="1F4E78"/>
          </w:tcPr>
          <w:p w14:paraId="4D020749" w14:textId="77777777" w:rsidR="00C7665E" w:rsidRDefault="00000000">
            <w:pPr>
              <w:spacing w:after="0"/>
            </w:pPr>
            <w:r>
              <w:rPr>
                <w:b/>
                <w:sz w:val="17"/>
              </w:rPr>
              <w:t>Expected output</w:t>
            </w:r>
          </w:p>
        </w:tc>
      </w:tr>
      <w:tr w:rsidR="00C7665E" w14:paraId="3A36DDAC" w14:textId="77777777">
        <w:trPr>
          <w:cantSplit/>
          <w:jc w:val="center"/>
        </w:trPr>
        <w:tc>
          <w:tcPr>
            <w:tcW w:w="3360" w:type="dxa"/>
          </w:tcPr>
          <w:p w14:paraId="27DF8EB8" w14:textId="77777777" w:rsidR="00C7665E" w:rsidRDefault="00000000">
            <w:pPr>
              <w:spacing w:after="0"/>
            </w:pPr>
            <w:r>
              <w:rPr>
                <w:b/>
                <w:sz w:val="16"/>
              </w:rPr>
              <w:t>Clarify the offer</w:t>
            </w:r>
          </w:p>
        </w:tc>
        <w:tc>
          <w:tcPr>
            <w:tcW w:w="3360" w:type="dxa"/>
          </w:tcPr>
          <w:p w14:paraId="4672EDDA" w14:textId="77777777" w:rsidR="00C7665E" w:rsidRDefault="00000000">
            <w:pPr>
              <w:spacing w:after="0"/>
            </w:pPr>
            <w:r>
              <w:rPr>
                <w:sz w:val="16"/>
              </w:rPr>
              <w:t>Confirm the 12 priority practices and define a small number of representative regional bundles, including minimum and complementary elements.</w:t>
            </w:r>
          </w:p>
        </w:tc>
        <w:tc>
          <w:tcPr>
            <w:tcW w:w="3360" w:type="dxa"/>
          </w:tcPr>
          <w:p w14:paraId="421BA933" w14:textId="77777777" w:rsidR="00C7665E" w:rsidRDefault="00000000">
            <w:pPr>
              <w:spacing w:after="0"/>
            </w:pPr>
            <w:r>
              <w:rPr>
                <w:sz w:val="16"/>
              </w:rPr>
              <w:t>Bundle catalogue and minimum-bundle definition</w:t>
            </w:r>
          </w:p>
        </w:tc>
      </w:tr>
      <w:tr w:rsidR="00C7665E" w14:paraId="2F9ED066" w14:textId="77777777">
        <w:trPr>
          <w:cantSplit/>
          <w:jc w:val="center"/>
        </w:trPr>
        <w:tc>
          <w:tcPr>
            <w:tcW w:w="3360" w:type="dxa"/>
          </w:tcPr>
          <w:p w14:paraId="65E2E8A6" w14:textId="77777777" w:rsidR="00C7665E" w:rsidRDefault="00000000">
            <w:pPr>
              <w:spacing w:after="0"/>
            </w:pPr>
            <w:r>
              <w:rPr>
                <w:b/>
                <w:sz w:val="16"/>
              </w:rPr>
              <w:t>Organize the evidence</w:t>
            </w:r>
          </w:p>
        </w:tc>
        <w:tc>
          <w:tcPr>
            <w:tcW w:w="3360" w:type="dxa"/>
          </w:tcPr>
          <w:p w14:paraId="4D0407FD" w14:textId="77777777" w:rsidR="00C7665E" w:rsidRDefault="00000000">
            <w:pPr>
              <w:spacing w:after="0"/>
            </w:pPr>
            <w:r>
              <w:rPr>
                <w:sz w:val="16"/>
              </w:rPr>
              <w:t>Prepare a bundle evidence matrix showing impacts, evidence quality, costs, labour, behaviour change, inputs and suitability.</w:t>
            </w:r>
          </w:p>
        </w:tc>
        <w:tc>
          <w:tcPr>
            <w:tcW w:w="3360" w:type="dxa"/>
          </w:tcPr>
          <w:p w14:paraId="2EB34D07" w14:textId="77777777" w:rsidR="00C7665E" w:rsidRDefault="00000000">
            <w:pPr>
              <w:spacing w:after="0"/>
            </w:pPr>
            <w:r>
              <w:rPr>
                <w:sz w:val="16"/>
              </w:rPr>
              <w:t>Evidence and value matrix</w:t>
            </w:r>
          </w:p>
        </w:tc>
      </w:tr>
      <w:tr w:rsidR="00C7665E" w14:paraId="0C83B9DB" w14:textId="77777777">
        <w:trPr>
          <w:cantSplit/>
          <w:jc w:val="center"/>
        </w:trPr>
        <w:tc>
          <w:tcPr>
            <w:tcW w:w="3360" w:type="dxa"/>
          </w:tcPr>
          <w:p w14:paraId="7AAD9E23" w14:textId="77777777" w:rsidR="00C7665E" w:rsidRDefault="00000000">
            <w:pPr>
              <w:spacing w:after="0"/>
            </w:pPr>
            <w:r>
              <w:rPr>
                <w:b/>
                <w:sz w:val="16"/>
              </w:rPr>
              <w:t>Build the adoption funnel</w:t>
            </w:r>
          </w:p>
        </w:tc>
        <w:tc>
          <w:tcPr>
            <w:tcW w:w="3360" w:type="dxa"/>
          </w:tcPr>
          <w:p w14:paraId="719890AF" w14:textId="77777777" w:rsidR="00C7665E" w:rsidRDefault="00000000">
            <w:pPr>
              <w:spacing w:after="0"/>
            </w:pPr>
            <w:r>
              <w:rPr>
                <w:sz w:val="16"/>
              </w:rPr>
              <w:t>For every partner and pathway, quantify activities, farmers exposed, expected conversion, adopters, adoption depth, continuation and verification.</w:t>
            </w:r>
          </w:p>
        </w:tc>
        <w:tc>
          <w:tcPr>
            <w:tcW w:w="3360" w:type="dxa"/>
          </w:tcPr>
          <w:p w14:paraId="04F3800A" w14:textId="77777777" w:rsidR="00C7665E" w:rsidRDefault="00000000">
            <w:pPr>
              <w:spacing w:after="0"/>
            </w:pPr>
            <w:r>
              <w:rPr>
                <w:sz w:val="16"/>
              </w:rPr>
              <w:t>Partner contribution and funnel table</w:t>
            </w:r>
          </w:p>
        </w:tc>
      </w:tr>
      <w:tr w:rsidR="00C7665E" w14:paraId="3AF583C4" w14:textId="77777777">
        <w:trPr>
          <w:cantSplit/>
          <w:jc w:val="center"/>
        </w:trPr>
        <w:tc>
          <w:tcPr>
            <w:tcW w:w="3360" w:type="dxa"/>
          </w:tcPr>
          <w:p w14:paraId="347DBF35" w14:textId="77777777" w:rsidR="00C7665E" w:rsidRDefault="00000000">
            <w:pPr>
              <w:spacing w:after="0"/>
            </w:pPr>
            <w:r>
              <w:rPr>
                <w:b/>
                <w:sz w:val="16"/>
              </w:rPr>
              <w:t>Standardize definitions</w:t>
            </w:r>
          </w:p>
        </w:tc>
        <w:tc>
          <w:tcPr>
            <w:tcW w:w="3360" w:type="dxa"/>
          </w:tcPr>
          <w:p w14:paraId="571D1404" w14:textId="77777777" w:rsidR="00C7665E" w:rsidRDefault="00000000">
            <w:pPr>
              <w:spacing w:after="0"/>
            </w:pPr>
            <w:r>
              <w:rPr>
                <w:sz w:val="16"/>
              </w:rPr>
              <w:t>Use consistent definitions for reach, exposure, trial, adoption, integrated-bundle adoption and sustained use.</w:t>
            </w:r>
          </w:p>
        </w:tc>
        <w:tc>
          <w:tcPr>
            <w:tcW w:w="3360" w:type="dxa"/>
          </w:tcPr>
          <w:p w14:paraId="1195CD66" w14:textId="77777777" w:rsidR="00C7665E" w:rsidRDefault="00000000">
            <w:pPr>
              <w:spacing w:after="0"/>
            </w:pPr>
            <w:r>
              <w:rPr>
                <w:sz w:val="16"/>
              </w:rPr>
              <w:t>Indicator reference sheet</w:t>
            </w:r>
          </w:p>
        </w:tc>
      </w:tr>
      <w:tr w:rsidR="00C7665E" w14:paraId="2565B2B6" w14:textId="77777777">
        <w:trPr>
          <w:cantSplit/>
          <w:jc w:val="center"/>
        </w:trPr>
        <w:tc>
          <w:tcPr>
            <w:tcW w:w="3360" w:type="dxa"/>
          </w:tcPr>
          <w:p w14:paraId="77CCDB81" w14:textId="77777777" w:rsidR="00C7665E" w:rsidRDefault="00000000">
            <w:pPr>
              <w:spacing w:after="0"/>
            </w:pPr>
            <w:r>
              <w:rPr>
                <w:b/>
                <w:sz w:val="16"/>
              </w:rPr>
              <w:t>Verify through samples</w:t>
            </w:r>
          </w:p>
        </w:tc>
        <w:tc>
          <w:tcPr>
            <w:tcW w:w="3360" w:type="dxa"/>
          </w:tcPr>
          <w:p w14:paraId="090DD3E2" w14:textId="77777777" w:rsidR="00C7665E" w:rsidRDefault="00000000">
            <w:pPr>
              <w:spacing w:after="0"/>
            </w:pPr>
            <w:r>
              <w:rPr>
                <w:sz w:val="16"/>
              </w:rPr>
              <w:t>Track a manageable sample of workshops, committees and farmer cohorts rather than attempting universal follow-up or relying entirely on partner reports.</w:t>
            </w:r>
          </w:p>
        </w:tc>
        <w:tc>
          <w:tcPr>
            <w:tcW w:w="3360" w:type="dxa"/>
          </w:tcPr>
          <w:p w14:paraId="72864DDB" w14:textId="77777777" w:rsidR="00C7665E" w:rsidRDefault="00000000">
            <w:pPr>
              <w:spacing w:after="0"/>
            </w:pPr>
            <w:r>
              <w:rPr>
                <w:sz w:val="16"/>
              </w:rPr>
              <w:t>Verification sampling plan</w:t>
            </w:r>
          </w:p>
        </w:tc>
      </w:tr>
      <w:tr w:rsidR="00C7665E" w14:paraId="55CDDFDB" w14:textId="77777777">
        <w:trPr>
          <w:cantSplit/>
          <w:jc w:val="center"/>
        </w:trPr>
        <w:tc>
          <w:tcPr>
            <w:tcW w:w="3360" w:type="dxa"/>
          </w:tcPr>
          <w:p w14:paraId="4985B62D" w14:textId="77777777" w:rsidR="00C7665E" w:rsidRDefault="00000000">
            <w:pPr>
              <w:spacing w:after="0"/>
            </w:pPr>
            <w:r>
              <w:rPr>
                <w:b/>
                <w:sz w:val="16"/>
              </w:rPr>
              <w:t>Launch a light 2026 survey</w:t>
            </w:r>
          </w:p>
        </w:tc>
        <w:tc>
          <w:tcPr>
            <w:tcW w:w="3360" w:type="dxa"/>
          </w:tcPr>
          <w:p w14:paraId="29AAAFD2" w14:textId="77777777" w:rsidR="00C7665E" w:rsidRDefault="00000000">
            <w:pPr>
              <w:spacing w:after="0"/>
            </w:pPr>
            <w:r>
              <w:rPr>
                <w:sz w:val="16"/>
              </w:rPr>
              <w:t>Use phone-based or rapid/dynamic evaluation to establish the difference between reach and adoption and identify valued practices.</w:t>
            </w:r>
          </w:p>
        </w:tc>
        <w:tc>
          <w:tcPr>
            <w:tcW w:w="3360" w:type="dxa"/>
          </w:tcPr>
          <w:p w14:paraId="1427CC1B" w14:textId="77777777" w:rsidR="00C7665E" w:rsidRDefault="00000000">
            <w:pPr>
              <w:spacing w:after="0"/>
            </w:pPr>
            <w:r>
              <w:rPr>
                <w:sz w:val="16"/>
              </w:rPr>
              <w:t>Phone survey and sample frame</w:t>
            </w:r>
          </w:p>
        </w:tc>
      </w:tr>
      <w:tr w:rsidR="00C7665E" w14:paraId="7A9205E0" w14:textId="77777777">
        <w:trPr>
          <w:cantSplit/>
          <w:jc w:val="center"/>
        </w:trPr>
        <w:tc>
          <w:tcPr>
            <w:tcW w:w="3360" w:type="dxa"/>
          </w:tcPr>
          <w:p w14:paraId="5611A94D" w14:textId="77777777" w:rsidR="00C7665E" w:rsidRDefault="00000000">
            <w:pPr>
              <w:spacing w:after="0"/>
            </w:pPr>
            <w:r>
              <w:rPr>
                <w:b/>
                <w:sz w:val="16"/>
              </w:rPr>
              <w:t>Strengthen digital options</w:t>
            </w:r>
          </w:p>
        </w:tc>
        <w:tc>
          <w:tcPr>
            <w:tcW w:w="3360" w:type="dxa"/>
          </w:tcPr>
          <w:p w14:paraId="7E98D984" w14:textId="77777777" w:rsidR="00C7665E" w:rsidRDefault="00000000">
            <w:pPr>
              <w:spacing w:after="0"/>
            </w:pPr>
            <w:r>
              <w:rPr>
                <w:sz w:val="16"/>
              </w:rPr>
              <w:t>Explore simple partner reporting in 2026 and more institutionalized digital/remote-sensing options for 2027, with a separate funding proposal if necessary.</w:t>
            </w:r>
          </w:p>
        </w:tc>
        <w:tc>
          <w:tcPr>
            <w:tcW w:w="3360" w:type="dxa"/>
          </w:tcPr>
          <w:p w14:paraId="48DDA865" w14:textId="77777777" w:rsidR="00C7665E" w:rsidRDefault="00000000">
            <w:pPr>
              <w:spacing w:after="0"/>
            </w:pPr>
            <w:r>
              <w:rPr>
                <w:sz w:val="16"/>
              </w:rPr>
              <w:t>Digital MEL concept/proposal</w:t>
            </w:r>
          </w:p>
        </w:tc>
      </w:tr>
      <w:tr w:rsidR="00C7665E" w14:paraId="7DABDE5E" w14:textId="77777777">
        <w:trPr>
          <w:cantSplit/>
          <w:jc w:val="center"/>
        </w:trPr>
        <w:tc>
          <w:tcPr>
            <w:tcW w:w="3360" w:type="dxa"/>
          </w:tcPr>
          <w:p w14:paraId="4EF864C0" w14:textId="77777777" w:rsidR="00C7665E" w:rsidRDefault="00000000">
            <w:pPr>
              <w:spacing w:after="0"/>
            </w:pPr>
            <w:r>
              <w:rPr>
                <w:b/>
                <w:sz w:val="16"/>
              </w:rPr>
              <w:t>Compare pathways</w:t>
            </w:r>
          </w:p>
        </w:tc>
        <w:tc>
          <w:tcPr>
            <w:tcW w:w="3360" w:type="dxa"/>
          </w:tcPr>
          <w:p w14:paraId="2A3DF5B0" w14:textId="77777777" w:rsidR="00C7665E" w:rsidRDefault="00000000">
            <w:pPr>
              <w:spacing w:after="0"/>
            </w:pPr>
            <w:r>
              <w:rPr>
                <w:sz w:val="16"/>
              </w:rPr>
              <w:t>Treat the three delivery pathways as a natural experiment and compare their effectiveness, cost, inclusion and sustainability.</w:t>
            </w:r>
          </w:p>
        </w:tc>
        <w:tc>
          <w:tcPr>
            <w:tcW w:w="3360" w:type="dxa"/>
          </w:tcPr>
          <w:p w14:paraId="260735E8" w14:textId="77777777" w:rsidR="00C7665E" w:rsidRDefault="00000000">
            <w:pPr>
              <w:spacing w:after="0"/>
            </w:pPr>
            <w:r>
              <w:rPr>
                <w:sz w:val="16"/>
              </w:rPr>
              <w:t>Comparative learning design</w:t>
            </w:r>
          </w:p>
        </w:tc>
      </w:tr>
      <w:tr w:rsidR="00C7665E" w14:paraId="79828650" w14:textId="77777777">
        <w:trPr>
          <w:cantSplit/>
          <w:jc w:val="center"/>
        </w:trPr>
        <w:tc>
          <w:tcPr>
            <w:tcW w:w="3360" w:type="dxa"/>
          </w:tcPr>
          <w:p w14:paraId="457EBB3A" w14:textId="77777777" w:rsidR="00C7665E" w:rsidRDefault="00000000">
            <w:pPr>
              <w:spacing w:after="0"/>
            </w:pPr>
            <w:r>
              <w:rPr>
                <w:b/>
                <w:sz w:val="16"/>
              </w:rPr>
              <w:lastRenderedPageBreak/>
              <w:t>Profile LTAC performance</w:t>
            </w:r>
          </w:p>
        </w:tc>
        <w:tc>
          <w:tcPr>
            <w:tcW w:w="3360" w:type="dxa"/>
          </w:tcPr>
          <w:p w14:paraId="29E17C4F" w14:textId="77777777" w:rsidR="00C7665E" w:rsidRDefault="00000000">
            <w:pPr>
              <w:spacing w:after="0"/>
            </w:pPr>
            <w:r>
              <w:rPr>
                <w:sz w:val="16"/>
              </w:rPr>
              <w:t>Identify why some committees outperform others and decide whether to strengthen weaker committees or invest more in those with high potential.</w:t>
            </w:r>
          </w:p>
        </w:tc>
        <w:tc>
          <w:tcPr>
            <w:tcW w:w="3360" w:type="dxa"/>
          </w:tcPr>
          <w:p w14:paraId="4A6AAD2D" w14:textId="77777777" w:rsidR="00C7665E" w:rsidRDefault="00000000">
            <w:pPr>
              <w:spacing w:after="0"/>
            </w:pPr>
            <w:r>
              <w:rPr>
                <w:sz w:val="16"/>
              </w:rPr>
              <w:t>LTAC performance typology</w:t>
            </w:r>
          </w:p>
        </w:tc>
      </w:tr>
      <w:tr w:rsidR="00C7665E" w14:paraId="5A8A44F1" w14:textId="77777777">
        <w:trPr>
          <w:cantSplit/>
          <w:jc w:val="center"/>
        </w:trPr>
        <w:tc>
          <w:tcPr>
            <w:tcW w:w="3360" w:type="dxa"/>
          </w:tcPr>
          <w:p w14:paraId="1F67ABA4" w14:textId="77777777" w:rsidR="00C7665E" w:rsidRDefault="00000000">
            <w:pPr>
              <w:spacing w:after="0"/>
            </w:pPr>
            <w:r>
              <w:rPr>
                <w:b/>
                <w:sz w:val="16"/>
              </w:rPr>
              <w:t>Prioritize bundles</w:t>
            </w:r>
          </w:p>
        </w:tc>
        <w:tc>
          <w:tcPr>
            <w:tcW w:w="3360" w:type="dxa"/>
          </w:tcPr>
          <w:p w14:paraId="673080BA" w14:textId="77777777" w:rsidR="00C7665E" w:rsidRDefault="00000000">
            <w:pPr>
              <w:spacing w:after="0"/>
            </w:pPr>
            <w:r>
              <w:rPr>
                <w:sz w:val="16"/>
              </w:rPr>
              <w:t>Use adoption and impact evidence to narrow attention to the most viable bundle configurations—scaling down in order to scale up.</w:t>
            </w:r>
          </w:p>
        </w:tc>
        <w:tc>
          <w:tcPr>
            <w:tcW w:w="3360" w:type="dxa"/>
          </w:tcPr>
          <w:p w14:paraId="4AC74AB8" w14:textId="77777777" w:rsidR="00C7665E" w:rsidRDefault="00000000">
            <w:pPr>
              <w:spacing w:after="0"/>
            </w:pPr>
            <w:r>
              <w:rPr>
                <w:sz w:val="16"/>
              </w:rPr>
              <w:t>Prioritization criteria and shortlist</w:t>
            </w:r>
          </w:p>
        </w:tc>
      </w:tr>
      <w:tr w:rsidR="00C7665E" w14:paraId="68999699" w14:textId="77777777">
        <w:trPr>
          <w:cantSplit/>
          <w:jc w:val="center"/>
        </w:trPr>
        <w:tc>
          <w:tcPr>
            <w:tcW w:w="3360" w:type="dxa"/>
          </w:tcPr>
          <w:p w14:paraId="0583B210" w14:textId="77777777" w:rsidR="00C7665E" w:rsidRDefault="00000000">
            <w:pPr>
              <w:spacing w:after="0"/>
            </w:pPr>
            <w:r>
              <w:rPr>
                <w:b/>
                <w:sz w:val="16"/>
              </w:rPr>
              <w:t>Develop value propositions</w:t>
            </w:r>
          </w:p>
        </w:tc>
        <w:tc>
          <w:tcPr>
            <w:tcW w:w="3360" w:type="dxa"/>
          </w:tcPr>
          <w:p w14:paraId="2852C17E" w14:textId="77777777" w:rsidR="00C7665E" w:rsidRDefault="00000000">
            <w:pPr>
              <w:spacing w:after="0"/>
            </w:pPr>
            <w:r>
              <w:rPr>
                <w:sz w:val="16"/>
              </w:rPr>
              <w:t>Make the farmer and partner business case explicit for each priority bundle, including cash, labour, risk, return and required services.</w:t>
            </w:r>
          </w:p>
        </w:tc>
        <w:tc>
          <w:tcPr>
            <w:tcW w:w="3360" w:type="dxa"/>
          </w:tcPr>
          <w:p w14:paraId="09D5C2A9" w14:textId="77777777" w:rsidR="00C7665E" w:rsidRDefault="00000000">
            <w:pPr>
              <w:spacing w:after="0"/>
            </w:pPr>
            <w:r>
              <w:rPr>
                <w:sz w:val="16"/>
              </w:rPr>
              <w:t>Farmer/partner value propositions</w:t>
            </w:r>
          </w:p>
        </w:tc>
      </w:tr>
      <w:tr w:rsidR="00C7665E" w14:paraId="3E1436C4" w14:textId="77777777">
        <w:trPr>
          <w:cantSplit/>
          <w:jc w:val="center"/>
        </w:trPr>
        <w:tc>
          <w:tcPr>
            <w:tcW w:w="3360" w:type="dxa"/>
          </w:tcPr>
          <w:p w14:paraId="6733572D" w14:textId="77777777" w:rsidR="00C7665E" w:rsidRDefault="00000000">
            <w:pPr>
              <w:spacing w:after="0"/>
            </w:pPr>
            <w:r>
              <w:rPr>
                <w:b/>
                <w:sz w:val="16"/>
              </w:rPr>
              <w:t>Analyse finance rigorously</w:t>
            </w:r>
          </w:p>
        </w:tc>
        <w:tc>
          <w:tcPr>
            <w:tcW w:w="3360" w:type="dxa"/>
          </w:tcPr>
          <w:p w14:paraId="37A45342" w14:textId="77777777" w:rsidR="00C7665E" w:rsidRDefault="00000000">
            <w:pPr>
              <w:spacing w:after="0"/>
            </w:pPr>
            <w:r>
              <w:rPr>
                <w:sz w:val="16"/>
              </w:rPr>
              <w:t>Test whether proposed microfinance products are affordable and whether bundle returns can support the interest and repayment terms.</w:t>
            </w:r>
          </w:p>
        </w:tc>
        <w:tc>
          <w:tcPr>
            <w:tcW w:w="3360" w:type="dxa"/>
          </w:tcPr>
          <w:p w14:paraId="361AD2C2" w14:textId="77777777" w:rsidR="00C7665E" w:rsidRDefault="00000000">
            <w:pPr>
              <w:spacing w:after="0"/>
            </w:pPr>
            <w:r>
              <w:rPr>
                <w:sz w:val="16"/>
              </w:rPr>
              <w:t>Finance feasibility analysis</w:t>
            </w:r>
          </w:p>
        </w:tc>
      </w:tr>
      <w:tr w:rsidR="00C7665E" w14:paraId="23144A0B" w14:textId="77777777">
        <w:trPr>
          <w:cantSplit/>
          <w:jc w:val="center"/>
        </w:trPr>
        <w:tc>
          <w:tcPr>
            <w:tcW w:w="3360" w:type="dxa"/>
          </w:tcPr>
          <w:p w14:paraId="2885D253" w14:textId="77777777" w:rsidR="00C7665E" w:rsidRDefault="00000000">
            <w:pPr>
              <w:spacing w:after="0"/>
            </w:pPr>
            <w:r>
              <w:rPr>
                <w:b/>
                <w:sz w:val="16"/>
              </w:rPr>
              <w:t>Integrate GESI</w:t>
            </w:r>
          </w:p>
        </w:tc>
        <w:tc>
          <w:tcPr>
            <w:tcW w:w="3360" w:type="dxa"/>
          </w:tcPr>
          <w:p w14:paraId="30E27AD1" w14:textId="77777777" w:rsidR="00C7665E" w:rsidRDefault="00000000">
            <w:pPr>
              <w:spacing w:after="0"/>
            </w:pPr>
            <w:r>
              <w:rPr>
                <w:sz w:val="16"/>
              </w:rPr>
              <w:t>Assess who bears labour and cost, who controls adoption decisions and benefits, and how results differ across gender, age, wealth, remoteness and social groups.</w:t>
            </w:r>
          </w:p>
        </w:tc>
        <w:tc>
          <w:tcPr>
            <w:tcW w:w="3360" w:type="dxa"/>
          </w:tcPr>
          <w:p w14:paraId="7B8E7465" w14:textId="77777777" w:rsidR="00C7665E" w:rsidRDefault="00000000">
            <w:pPr>
              <w:spacing w:after="0"/>
            </w:pPr>
            <w:r>
              <w:rPr>
                <w:sz w:val="16"/>
              </w:rPr>
              <w:t>GESI measurement plan</w:t>
            </w:r>
          </w:p>
        </w:tc>
      </w:tr>
      <w:tr w:rsidR="00C7665E" w14:paraId="4D37F85B" w14:textId="77777777">
        <w:trPr>
          <w:cantSplit/>
          <w:jc w:val="center"/>
        </w:trPr>
        <w:tc>
          <w:tcPr>
            <w:tcW w:w="3360" w:type="dxa"/>
          </w:tcPr>
          <w:p w14:paraId="5C694B81" w14:textId="77777777" w:rsidR="00C7665E" w:rsidRDefault="00000000">
            <w:pPr>
              <w:spacing w:after="0"/>
            </w:pPr>
            <w:r>
              <w:rPr>
                <w:b/>
                <w:sz w:val="16"/>
              </w:rPr>
              <w:t>Assess partner capacity</w:t>
            </w:r>
          </w:p>
        </w:tc>
        <w:tc>
          <w:tcPr>
            <w:tcW w:w="3360" w:type="dxa"/>
          </w:tcPr>
          <w:p w14:paraId="4E8286F4" w14:textId="77777777" w:rsidR="00C7665E" w:rsidRDefault="00000000">
            <w:pPr>
              <w:spacing w:after="0"/>
            </w:pPr>
            <w:r>
              <w:rPr>
                <w:sz w:val="16"/>
              </w:rPr>
              <w:t>Use AKIS and political-economy analysis to evaluate actual implementation capacity, incentives and governance before assigning targets.</w:t>
            </w:r>
          </w:p>
        </w:tc>
        <w:tc>
          <w:tcPr>
            <w:tcW w:w="3360" w:type="dxa"/>
          </w:tcPr>
          <w:p w14:paraId="0080187C" w14:textId="77777777" w:rsidR="00C7665E" w:rsidRDefault="00000000">
            <w:pPr>
              <w:spacing w:after="0"/>
            </w:pPr>
            <w:r>
              <w:rPr>
                <w:sz w:val="16"/>
              </w:rPr>
              <w:t>Partner capacity assessments</w:t>
            </w:r>
          </w:p>
        </w:tc>
      </w:tr>
      <w:tr w:rsidR="00C7665E" w14:paraId="2C9F1C05" w14:textId="77777777">
        <w:trPr>
          <w:cantSplit/>
          <w:jc w:val="center"/>
        </w:trPr>
        <w:tc>
          <w:tcPr>
            <w:tcW w:w="3360" w:type="dxa"/>
          </w:tcPr>
          <w:p w14:paraId="773F9472" w14:textId="77777777" w:rsidR="00C7665E" w:rsidRDefault="00000000">
            <w:pPr>
              <w:spacing w:after="0"/>
            </w:pPr>
            <w:r>
              <w:rPr>
                <w:b/>
                <w:sz w:val="16"/>
              </w:rPr>
              <w:t>Make sustainability concrete</w:t>
            </w:r>
          </w:p>
        </w:tc>
        <w:tc>
          <w:tcPr>
            <w:tcW w:w="3360" w:type="dxa"/>
          </w:tcPr>
          <w:p w14:paraId="5D2ED977" w14:textId="77777777" w:rsidR="00C7665E" w:rsidRDefault="00000000">
            <w:pPr>
              <w:spacing w:after="0"/>
            </w:pPr>
            <w:r>
              <w:rPr>
                <w:sz w:val="16"/>
              </w:rPr>
              <w:t>Specify post-S4I ownership, co-investment, recurrent financing, technical support, data stewardship and institutional leadership.</w:t>
            </w:r>
          </w:p>
        </w:tc>
        <w:tc>
          <w:tcPr>
            <w:tcW w:w="3360" w:type="dxa"/>
          </w:tcPr>
          <w:p w14:paraId="69599467" w14:textId="77777777" w:rsidR="00C7665E" w:rsidRDefault="00000000">
            <w:pPr>
              <w:spacing w:after="0"/>
            </w:pPr>
            <w:r>
              <w:rPr>
                <w:sz w:val="16"/>
              </w:rPr>
              <w:t>Sustainability and exit plan</w:t>
            </w:r>
          </w:p>
        </w:tc>
      </w:tr>
      <w:tr w:rsidR="00C7665E" w14:paraId="1F8F2B04" w14:textId="77777777">
        <w:trPr>
          <w:cantSplit/>
          <w:jc w:val="center"/>
        </w:trPr>
        <w:tc>
          <w:tcPr>
            <w:tcW w:w="3360" w:type="dxa"/>
          </w:tcPr>
          <w:p w14:paraId="6F02B52B" w14:textId="77777777" w:rsidR="00C7665E" w:rsidRDefault="00000000">
            <w:pPr>
              <w:spacing w:after="0"/>
            </w:pPr>
            <w:r>
              <w:rPr>
                <w:b/>
                <w:sz w:val="16"/>
              </w:rPr>
              <w:t>Capture transferable learning</w:t>
            </w:r>
          </w:p>
        </w:tc>
        <w:tc>
          <w:tcPr>
            <w:tcW w:w="3360" w:type="dxa"/>
          </w:tcPr>
          <w:p w14:paraId="55ED2C27" w14:textId="77777777" w:rsidR="00C7665E" w:rsidRDefault="00000000">
            <w:pPr>
              <w:spacing w:after="0"/>
            </w:pPr>
            <w:r>
              <w:rPr>
                <w:sz w:val="16"/>
              </w:rPr>
              <w:t>Document the model in a form that can inform other CGIAR and large-investment programmes, while clearly stating the institutional conditions required for replication.</w:t>
            </w:r>
          </w:p>
        </w:tc>
        <w:tc>
          <w:tcPr>
            <w:tcW w:w="3360" w:type="dxa"/>
          </w:tcPr>
          <w:p w14:paraId="06C3C5FD" w14:textId="77777777" w:rsidR="00C7665E" w:rsidRDefault="00000000">
            <w:pPr>
              <w:spacing w:after="0"/>
            </w:pPr>
            <w:r>
              <w:rPr>
                <w:sz w:val="16"/>
              </w:rPr>
              <w:t>Learning brief/model documentation</w:t>
            </w:r>
          </w:p>
        </w:tc>
      </w:tr>
    </w:tbl>
    <w:p w14:paraId="52720375" w14:textId="77777777" w:rsidR="00C7665E" w:rsidRDefault="00000000">
      <w:pPr>
        <w:pStyle w:val="Heading1"/>
      </w:pPr>
      <w:r>
        <w:t>18. Follow-up actions and commitments</w:t>
      </w:r>
    </w:p>
    <w:p w14:paraId="7AFB7285" w14:textId="77777777" w:rsidR="00C7665E" w:rsidRDefault="00000000">
      <w:r>
        <w:t>The table distinguishes explicit follow-up mentioned in the session from strong coaching recommendations that still require assignment and confirmation.</w:t>
      </w:r>
    </w:p>
    <w:tbl>
      <w:tblPr>
        <w:tblStyle w:val="TableGrid"/>
        <w:tblW w:w="0" w:type="auto"/>
        <w:jc w:val="center"/>
        <w:tblLook w:val="04A0" w:firstRow="1" w:lastRow="0" w:firstColumn="1" w:lastColumn="0" w:noHBand="0" w:noVBand="1"/>
      </w:tblPr>
      <w:tblGrid>
        <w:gridCol w:w="2520"/>
        <w:gridCol w:w="2520"/>
        <w:gridCol w:w="2520"/>
        <w:gridCol w:w="2520"/>
      </w:tblGrid>
      <w:tr w:rsidR="00C7665E" w14:paraId="7E0A7330" w14:textId="77777777">
        <w:trPr>
          <w:cantSplit/>
          <w:tblHeader/>
          <w:jc w:val="center"/>
        </w:trPr>
        <w:tc>
          <w:tcPr>
            <w:tcW w:w="2520" w:type="dxa"/>
            <w:shd w:val="clear" w:color="auto" w:fill="1F4E78"/>
          </w:tcPr>
          <w:p w14:paraId="1B656269" w14:textId="77777777" w:rsidR="00C7665E" w:rsidRDefault="00000000">
            <w:pPr>
              <w:spacing w:after="0"/>
            </w:pPr>
            <w:r>
              <w:rPr>
                <w:b/>
                <w:sz w:val="17"/>
              </w:rPr>
              <w:t>Action</w:t>
            </w:r>
          </w:p>
        </w:tc>
        <w:tc>
          <w:tcPr>
            <w:tcW w:w="2520" w:type="dxa"/>
            <w:shd w:val="clear" w:color="auto" w:fill="1F4E78"/>
          </w:tcPr>
          <w:p w14:paraId="1B7D26FF" w14:textId="77777777" w:rsidR="00C7665E" w:rsidRDefault="00000000">
            <w:pPr>
              <w:spacing w:after="0"/>
            </w:pPr>
            <w:r>
              <w:rPr>
                <w:b/>
                <w:sz w:val="17"/>
              </w:rPr>
              <w:t>Suggested lead</w:t>
            </w:r>
          </w:p>
        </w:tc>
        <w:tc>
          <w:tcPr>
            <w:tcW w:w="2520" w:type="dxa"/>
            <w:shd w:val="clear" w:color="auto" w:fill="1F4E78"/>
          </w:tcPr>
          <w:p w14:paraId="2B4DB7BD" w14:textId="77777777" w:rsidR="00C7665E" w:rsidRDefault="00000000">
            <w:pPr>
              <w:spacing w:after="0"/>
            </w:pPr>
            <w:r>
              <w:rPr>
                <w:b/>
                <w:sz w:val="17"/>
              </w:rPr>
              <w:t>Status in session</w:t>
            </w:r>
          </w:p>
        </w:tc>
        <w:tc>
          <w:tcPr>
            <w:tcW w:w="2520" w:type="dxa"/>
            <w:shd w:val="clear" w:color="auto" w:fill="1F4E78"/>
          </w:tcPr>
          <w:p w14:paraId="5F8EA2DA" w14:textId="77777777" w:rsidR="00C7665E" w:rsidRDefault="00000000">
            <w:pPr>
              <w:spacing w:after="0"/>
            </w:pPr>
            <w:r>
              <w:rPr>
                <w:b/>
                <w:sz w:val="17"/>
              </w:rPr>
              <w:t>Timing</w:t>
            </w:r>
          </w:p>
        </w:tc>
      </w:tr>
      <w:tr w:rsidR="00C7665E" w14:paraId="10E59444" w14:textId="77777777">
        <w:trPr>
          <w:cantSplit/>
          <w:jc w:val="center"/>
        </w:trPr>
        <w:tc>
          <w:tcPr>
            <w:tcW w:w="2520" w:type="dxa"/>
          </w:tcPr>
          <w:p w14:paraId="71F1EB26" w14:textId="03E05E2A" w:rsidR="00C7665E" w:rsidRDefault="00C7665E">
            <w:pPr>
              <w:spacing w:after="0"/>
            </w:pPr>
          </w:p>
        </w:tc>
        <w:tc>
          <w:tcPr>
            <w:tcW w:w="2520" w:type="dxa"/>
          </w:tcPr>
          <w:p w14:paraId="68D7149A" w14:textId="016E69E0" w:rsidR="00C7665E" w:rsidRDefault="00C7665E">
            <w:pPr>
              <w:spacing w:after="0"/>
            </w:pPr>
          </w:p>
        </w:tc>
        <w:tc>
          <w:tcPr>
            <w:tcW w:w="2520" w:type="dxa"/>
          </w:tcPr>
          <w:p w14:paraId="1E3E4545" w14:textId="6F0A83C7" w:rsidR="00C7665E" w:rsidRDefault="00C7665E">
            <w:pPr>
              <w:spacing w:after="0"/>
            </w:pPr>
          </w:p>
        </w:tc>
        <w:tc>
          <w:tcPr>
            <w:tcW w:w="2520" w:type="dxa"/>
          </w:tcPr>
          <w:p w14:paraId="55F41C11" w14:textId="05F6FB12" w:rsidR="00C7665E" w:rsidRDefault="00C7665E">
            <w:pPr>
              <w:spacing w:after="0"/>
            </w:pPr>
          </w:p>
        </w:tc>
      </w:tr>
      <w:tr w:rsidR="00C7665E" w14:paraId="57D2E9FA" w14:textId="77777777">
        <w:trPr>
          <w:cantSplit/>
          <w:jc w:val="center"/>
        </w:trPr>
        <w:tc>
          <w:tcPr>
            <w:tcW w:w="2520" w:type="dxa"/>
          </w:tcPr>
          <w:p w14:paraId="5275B13F" w14:textId="77777777" w:rsidR="00C7665E" w:rsidRDefault="00000000">
            <w:pPr>
              <w:spacing w:after="0"/>
            </w:pPr>
            <w:r>
              <w:rPr>
                <w:sz w:val="16"/>
              </w:rPr>
              <w:t>Share or consolidate the named actor/network map for Guatemala and Colombia</w:t>
            </w:r>
          </w:p>
        </w:tc>
        <w:tc>
          <w:tcPr>
            <w:tcW w:w="2520" w:type="dxa"/>
          </w:tcPr>
          <w:p w14:paraId="081D8EBD" w14:textId="77777777" w:rsidR="00C7665E" w:rsidRDefault="00000000">
            <w:pPr>
              <w:spacing w:after="0"/>
            </w:pPr>
            <w:r>
              <w:rPr>
                <w:sz w:val="16"/>
              </w:rPr>
              <w:t>Track team</w:t>
            </w:r>
          </w:p>
        </w:tc>
        <w:tc>
          <w:tcPr>
            <w:tcW w:w="2520" w:type="dxa"/>
          </w:tcPr>
          <w:p w14:paraId="70F99BC2" w14:textId="77777777" w:rsidR="00C7665E" w:rsidRDefault="00000000">
            <w:pPr>
              <w:spacing w:after="0"/>
            </w:pPr>
            <w:r>
              <w:rPr>
                <w:sz w:val="16"/>
              </w:rPr>
              <w:t>Offered during discussion</w:t>
            </w:r>
          </w:p>
        </w:tc>
        <w:tc>
          <w:tcPr>
            <w:tcW w:w="2520" w:type="dxa"/>
          </w:tcPr>
          <w:p w14:paraId="32D95D09" w14:textId="77777777" w:rsidR="00C7665E" w:rsidRDefault="00000000">
            <w:pPr>
              <w:spacing w:after="0"/>
            </w:pPr>
            <w:r>
              <w:rPr>
                <w:sz w:val="16"/>
              </w:rPr>
              <w:t>Near term</w:t>
            </w:r>
          </w:p>
        </w:tc>
      </w:tr>
      <w:tr w:rsidR="00C7665E" w14:paraId="23366B50" w14:textId="77777777">
        <w:trPr>
          <w:cantSplit/>
          <w:jc w:val="center"/>
        </w:trPr>
        <w:tc>
          <w:tcPr>
            <w:tcW w:w="2520" w:type="dxa"/>
          </w:tcPr>
          <w:p w14:paraId="5166EF24" w14:textId="77777777" w:rsidR="00C7665E" w:rsidRDefault="00000000">
            <w:pPr>
              <w:spacing w:after="0"/>
            </w:pPr>
            <w:r>
              <w:rPr>
                <w:sz w:val="16"/>
              </w:rPr>
              <w:t>Provide partner/MOU details on activities, workshop numbers and expected farmer coverage</w:t>
            </w:r>
          </w:p>
        </w:tc>
        <w:tc>
          <w:tcPr>
            <w:tcW w:w="2520" w:type="dxa"/>
          </w:tcPr>
          <w:p w14:paraId="74F11151" w14:textId="77777777" w:rsidR="00C7665E" w:rsidRDefault="00000000">
            <w:pPr>
              <w:spacing w:after="0"/>
            </w:pPr>
            <w:r>
              <w:rPr>
                <w:sz w:val="16"/>
              </w:rPr>
              <w:t>Track team and partners</w:t>
            </w:r>
          </w:p>
        </w:tc>
        <w:tc>
          <w:tcPr>
            <w:tcW w:w="2520" w:type="dxa"/>
          </w:tcPr>
          <w:p w14:paraId="5F323713" w14:textId="77777777" w:rsidR="00C7665E" w:rsidRDefault="00000000">
            <w:pPr>
              <w:spacing w:after="0"/>
            </w:pPr>
            <w:r>
              <w:rPr>
                <w:sz w:val="16"/>
              </w:rPr>
              <w:t>Strongly requested</w:t>
            </w:r>
          </w:p>
        </w:tc>
        <w:tc>
          <w:tcPr>
            <w:tcW w:w="2520" w:type="dxa"/>
          </w:tcPr>
          <w:p w14:paraId="2477CE69" w14:textId="77777777" w:rsidR="00C7665E" w:rsidRDefault="00000000">
            <w:pPr>
              <w:spacing w:after="0"/>
            </w:pPr>
            <w:r>
              <w:rPr>
                <w:sz w:val="16"/>
              </w:rPr>
              <w:t>Before target validation</w:t>
            </w:r>
          </w:p>
        </w:tc>
      </w:tr>
      <w:tr w:rsidR="00C7665E" w14:paraId="43BAA325" w14:textId="77777777">
        <w:trPr>
          <w:cantSplit/>
          <w:jc w:val="center"/>
        </w:trPr>
        <w:tc>
          <w:tcPr>
            <w:tcW w:w="2520" w:type="dxa"/>
          </w:tcPr>
          <w:p w14:paraId="79BF9561" w14:textId="77777777" w:rsidR="00C7665E" w:rsidRDefault="00000000">
            <w:pPr>
              <w:spacing w:after="0"/>
            </w:pPr>
            <w:r>
              <w:rPr>
                <w:sz w:val="16"/>
              </w:rPr>
              <w:t>Clarify the exact number and composition of priority practices/bundles</w:t>
            </w:r>
          </w:p>
        </w:tc>
        <w:tc>
          <w:tcPr>
            <w:tcW w:w="2520" w:type="dxa"/>
          </w:tcPr>
          <w:p w14:paraId="45D2A8B8" w14:textId="77777777" w:rsidR="00C7665E" w:rsidRDefault="00000000">
            <w:pPr>
              <w:spacing w:after="0"/>
            </w:pPr>
            <w:r>
              <w:rPr>
                <w:sz w:val="16"/>
              </w:rPr>
              <w:t>Track team</w:t>
            </w:r>
          </w:p>
        </w:tc>
        <w:tc>
          <w:tcPr>
            <w:tcW w:w="2520" w:type="dxa"/>
          </w:tcPr>
          <w:p w14:paraId="3D9F65B3" w14:textId="77777777" w:rsidR="00C7665E" w:rsidRDefault="00000000">
            <w:pPr>
              <w:spacing w:after="0"/>
            </w:pPr>
            <w:r>
              <w:rPr>
                <w:sz w:val="16"/>
              </w:rPr>
              <w:t>Strongly requested</w:t>
            </w:r>
          </w:p>
        </w:tc>
        <w:tc>
          <w:tcPr>
            <w:tcW w:w="2520" w:type="dxa"/>
          </w:tcPr>
          <w:p w14:paraId="270D491D" w14:textId="77777777" w:rsidR="00C7665E" w:rsidRDefault="00000000">
            <w:pPr>
              <w:spacing w:after="0"/>
            </w:pPr>
            <w:r>
              <w:rPr>
                <w:sz w:val="16"/>
              </w:rPr>
              <w:t>Near term</w:t>
            </w:r>
          </w:p>
        </w:tc>
      </w:tr>
      <w:tr w:rsidR="00C7665E" w14:paraId="5747A824" w14:textId="77777777">
        <w:trPr>
          <w:cantSplit/>
          <w:jc w:val="center"/>
        </w:trPr>
        <w:tc>
          <w:tcPr>
            <w:tcW w:w="2520" w:type="dxa"/>
          </w:tcPr>
          <w:p w14:paraId="6A119276" w14:textId="77777777" w:rsidR="00C7665E" w:rsidRDefault="00000000">
            <w:pPr>
              <w:spacing w:after="0"/>
            </w:pPr>
            <w:r>
              <w:rPr>
                <w:sz w:val="16"/>
              </w:rPr>
              <w:t>Prepare a representative bundle evidence-cost-labour-impact matrix</w:t>
            </w:r>
          </w:p>
        </w:tc>
        <w:tc>
          <w:tcPr>
            <w:tcW w:w="2520" w:type="dxa"/>
          </w:tcPr>
          <w:p w14:paraId="3F2CB8C5" w14:textId="77777777" w:rsidR="00C7665E" w:rsidRDefault="00000000">
            <w:pPr>
              <w:spacing w:after="0"/>
            </w:pPr>
            <w:r>
              <w:rPr>
                <w:sz w:val="16"/>
              </w:rPr>
              <w:t>Track team</w:t>
            </w:r>
          </w:p>
        </w:tc>
        <w:tc>
          <w:tcPr>
            <w:tcW w:w="2520" w:type="dxa"/>
          </w:tcPr>
          <w:p w14:paraId="31B939BB" w14:textId="77777777" w:rsidR="00C7665E" w:rsidRDefault="00000000">
            <w:pPr>
              <w:spacing w:after="0"/>
            </w:pPr>
            <w:r>
              <w:rPr>
                <w:sz w:val="16"/>
              </w:rPr>
              <w:t>Agreed in principle</w:t>
            </w:r>
          </w:p>
        </w:tc>
        <w:tc>
          <w:tcPr>
            <w:tcW w:w="2520" w:type="dxa"/>
          </w:tcPr>
          <w:p w14:paraId="29E87E72" w14:textId="77777777" w:rsidR="00C7665E" w:rsidRDefault="00000000">
            <w:pPr>
              <w:spacing w:after="0"/>
            </w:pPr>
            <w:r>
              <w:rPr>
                <w:sz w:val="16"/>
              </w:rPr>
              <w:t>2026 planning/MEL</w:t>
            </w:r>
          </w:p>
        </w:tc>
      </w:tr>
      <w:tr w:rsidR="00C7665E" w14:paraId="65B07534" w14:textId="77777777">
        <w:trPr>
          <w:cantSplit/>
          <w:jc w:val="center"/>
        </w:trPr>
        <w:tc>
          <w:tcPr>
            <w:tcW w:w="2520" w:type="dxa"/>
          </w:tcPr>
          <w:p w14:paraId="730A46EA" w14:textId="77777777" w:rsidR="00C7665E" w:rsidRDefault="00000000">
            <w:pPr>
              <w:spacing w:after="0"/>
            </w:pPr>
            <w:r>
              <w:rPr>
                <w:sz w:val="16"/>
              </w:rPr>
              <w:t>Define reach, trial, adoption, integrated adoption and adoption depth</w:t>
            </w:r>
          </w:p>
        </w:tc>
        <w:tc>
          <w:tcPr>
            <w:tcW w:w="2520" w:type="dxa"/>
          </w:tcPr>
          <w:p w14:paraId="6C4F770A" w14:textId="77777777" w:rsidR="00C7665E" w:rsidRDefault="00000000">
            <w:pPr>
              <w:spacing w:after="0"/>
            </w:pPr>
            <w:r>
              <w:rPr>
                <w:sz w:val="16"/>
              </w:rPr>
              <w:t>Track team with S4I MEL</w:t>
            </w:r>
          </w:p>
        </w:tc>
        <w:tc>
          <w:tcPr>
            <w:tcW w:w="2520" w:type="dxa"/>
          </w:tcPr>
          <w:p w14:paraId="3F96BA89" w14:textId="77777777" w:rsidR="00C7665E" w:rsidRDefault="00000000">
            <w:pPr>
              <w:spacing w:after="0"/>
            </w:pPr>
            <w:r>
              <w:rPr>
                <w:sz w:val="16"/>
              </w:rPr>
              <w:t>Strongly requested</w:t>
            </w:r>
          </w:p>
        </w:tc>
        <w:tc>
          <w:tcPr>
            <w:tcW w:w="2520" w:type="dxa"/>
          </w:tcPr>
          <w:p w14:paraId="147EF602" w14:textId="77777777" w:rsidR="00C7665E" w:rsidRDefault="00000000">
            <w:pPr>
              <w:spacing w:after="0"/>
            </w:pPr>
            <w:r>
              <w:rPr>
                <w:sz w:val="16"/>
              </w:rPr>
              <w:t>Before reporting</w:t>
            </w:r>
          </w:p>
        </w:tc>
      </w:tr>
      <w:tr w:rsidR="00C7665E" w14:paraId="14CE774C" w14:textId="77777777">
        <w:trPr>
          <w:cantSplit/>
          <w:jc w:val="center"/>
        </w:trPr>
        <w:tc>
          <w:tcPr>
            <w:tcW w:w="2520" w:type="dxa"/>
          </w:tcPr>
          <w:p w14:paraId="3D8D3ADC" w14:textId="77777777" w:rsidR="00C7665E" w:rsidRDefault="00000000">
            <w:pPr>
              <w:spacing w:after="0"/>
            </w:pPr>
            <w:r>
              <w:rPr>
                <w:sz w:val="16"/>
              </w:rPr>
              <w:t>Develop the partner-by-partner adoption funnel and conversion assumptions</w:t>
            </w:r>
          </w:p>
        </w:tc>
        <w:tc>
          <w:tcPr>
            <w:tcW w:w="2520" w:type="dxa"/>
          </w:tcPr>
          <w:p w14:paraId="6E17E422" w14:textId="77777777" w:rsidR="00C7665E" w:rsidRDefault="00000000">
            <w:pPr>
              <w:spacing w:after="0"/>
            </w:pPr>
            <w:r>
              <w:rPr>
                <w:sz w:val="16"/>
              </w:rPr>
              <w:t>Track team</w:t>
            </w:r>
          </w:p>
        </w:tc>
        <w:tc>
          <w:tcPr>
            <w:tcW w:w="2520" w:type="dxa"/>
          </w:tcPr>
          <w:p w14:paraId="2597E0DE" w14:textId="77777777" w:rsidR="00C7665E" w:rsidRDefault="00000000">
            <w:pPr>
              <w:spacing w:after="0"/>
            </w:pPr>
            <w:r>
              <w:rPr>
                <w:sz w:val="16"/>
              </w:rPr>
              <w:t>Strongly requested</w:t>
            </w:r>
          </w:p>
        </w:tc>
        <w:tc>
          <w:tcPr>
            <w:tcW w:w="2520" w:type="dxa"/>
          </w:tcPr>
          <w:p w14:paraId="4E9A6982" w14:textId="77777777" w:rsidR="00C7665E" w:rsidRDefault="00000000">
            <w:pPr>
              <w:spacing w:after="0"/>
            </w:pPr>
            <w:r>
              <w:rPr>
                <w:sz w:val="16"/>
              </w:rPr>
              <w:t>Before validating 20,000 target</w:t>
            </w:r>
          </w:p>
        </w:tc>
      </w:tr>
      <w:tr w:rsidR="00C7665E" w14:paraId="13EDC75C" w14:textId="77777777">
        <w:trPr>
          <w:cantSplit/>
          <w:jc w:val="center"/>
        </w:trPr>
        <w:tc>
          <w:tcPr>
            <w:tcW w:w="2520" w:type="dxa"/>
          </w:tcPr>
          <w:p w14:paraId="4FC354A2" w14:textId="77777777" w:rsidR="00C7665E" w:rsidRDefault="00000000">
            <w:pPr>
              <w:spacing w:after="0"/>
            </w:pPr>
            <w:r>
              <w:rPr>
                <w:sz w:val="16"/>
              </w:rPr>
              <w:t>Follow up with Marcel on rapid/dynamic evaluation and phone survey</w:t>
            </w:r>
          </w:p>
        </w:tc>
        <w:tc>
          <w:tcPr>
            <w:tcW w:w="2520" w:type="dxa"/>
          </w:tcPr>
          <w:p w14:paraId="1392A345" w14:textId="77777777" w:rsidR="00C7665E" w:rsidRDefault="00000000">
            <w:pPr>
              <w:spacing w:after="0"/>
            </w:pPr>
            <w:r>
              <w:rPr>
                <w:sz w:val="16"/>
              </w:rPr>
              <w:t>Track team/S4I</w:t>
            </w:r>
          </w:p>
        </w:tc>
        <w:tc>
          <w:tcPr>
            <w:tcW w:w="2520" w:type="dxa"/>
          </w:tcPr>
          <w:p w14:paraId="7B8E4E6D" w14:textId="77777777" w:rsidR="00C7665E" w:rsidRDefault="00000000">
            <w:pPr>
              <w:spacing w:after="0"/>
            </w:pPr>
            <w:r>
              <w:rPr>
                <w:sz w:val="16"/>
              </w:rPr>
              <w:t>Explicitly noted</w:t>
            </w:r>
          </w:p>
        </w:tc>
        <w:tc>
          <w:tcPr>
            <w:tcW w:w="2520" w:type="dxa"/>
          </w:tcPr>
          <w:p w14:paraId="1D63ACED" w14:textId="77777777" w:rsidR="00C7665E" w:rsidRDefault="00000000">
            <w:pPr>
              <w:spacing w:after="0"/>
            </w:pPr>
            <w:r>
              <w:rPr>
                <w:sz w:val="16"/>
              </w:rPr>
              <w:t>Immediate</w:t>
            </w:r>
          </w:p>
        </w:tc>
      </w:tr>
      <w:tr w:rsidR="00C7665E" w14:paraId="6AAA2764" w14:textId="77777777">
        <w:trPr>
          <w:cantSplit/>
          <w:jc w:val="center"/>
        </w:trPr>
        <w:tc>
          <w:tcPr>
            <w:tcW w:w="2520" w:type="dxa"/>
          </w:tcPr>
          <w:p w14:paraId="2405BDEF" w14:textId="77777777" w:rsidR="00C7665E" w:rsidRDefault="00000000">
            <w:pPr>
              <w:spacing w:after="0"/>
            </w:pPr>
            <w:r>
              <w:rPr>
                <w:sz w:val="16"/>
              </w:rPr>
              <w:t>Design sampled verification of selected workshops and LTAC activities</w:t>
            </w:r>
          </w:p>
        </w:tc>
        <w:tc>
          <w:tcPr>
            <w:tcW w:w="2520" w:type="dxa"/>
          </w:tcPr>
          <w:p w14:paraId="0B54456E" w14:textId="77777777" w:rsidR="00C7665E" w:rsidRDefault="00000000">
            <w:pPr>
              <w:spacing w:after="0"/>
            </w:pPr>
            <w:r>
              <w:rPr>
                <w:sz w:val="16"/>
              </w:rPr>
              <w:t>Track team with S4I MEL</w:t>
            </w:r>
          </w:p>
        </w:tc>
        <w:tc>
          <w:tcPr>
            <w:tcW w:w="2520" w:type="dxa"/>
          </w:tcPr>
          <w:p w14:paraId="3AF84B01" w14:textId="77777777" w:rsidR="00C7665E" w:rsidRDefault="00000000">
            <w:pPr>
              <w:spacing w:after="0"/>
            </w:pPr>
            <w:r>
              <w:rPr>
                <w:sz w:val="16"/>
              </w:rPr>
              <w:t>Accepted as a good idea</w:t>
            </w:r>
          </w:p>
        </w:tc>
        <w:tc>
          <w:tcPr>
            <w:tcW w:w="2520" w:type="dxa"/>
          </w:tcPr>
          <w:p w14:paraId="6262281F" w14:textId="77777777" w:rsidR="00C7665E" w:rsidRDefault="00000000">
            <w:pPr>
              <w:spacing w:after="0"/>
            </w:pPr>
            <w:r>
              <w:rPr>
                <w:sz w:val="16"/>
              </w:rPr>
              <w:t>2026</w:t>
            </w:r>
          </w:p>
        </w:tc>
      </w:tr>
      <w:tr w:rsidR="00C7665E" w14:paraId="4BD244C0" w14:textId="77777777">
        <w:trPr>
          <w:cantSplit/>
          <w:jc w:val="center"/>
        </w:trPr>
        <w:tc>
          <w:tcPr>
            <w:tcW w:w="2520" w:type="dxa"/>
          </w:tcPr>
          <w:p w14:paraId="1CB62A61" w14:textId="77777777" w:rsidR="00C7665E" w:rsidRDefault="00000000">
            <w:pPr>
              <w:spacing w:after="0"/>
            </w:pPr>
            <w:r>
              <w:rPr>
                <w:sz w:val="16"/>
              </w:rPr>
              <w:lastRenderedPageBreak/>
              <w:t>Explore remote-sensing/drone verification and potential external funding proposal</w:t>
            </w:r>
          </w:p>
        </w:tc>
        <w:tc>
          <w:tcPr>
            <w:tcW w:w="2520" w:type="dxa"/>
          </w:tcPr>
          <w:p w14:paraId="1384992B" w14:textId="77777777" w:rsidR="00C7665E" w:rsidRDefault="00000000">
            <w:pPr>
              <w:spacing w:after="0"/>
            </w:pPr>
            <w:r>
              <w:rPr>
                <w:sz w:val="16"/>
              </w:rPr>
              <w:t>Track team/S4I digital and MEL leads</w:t>
            </w:r>
          </w:p>
        </w:tc>
        <w:tc>
          <w:tcPr>
            <w:tcW w:w="2520" w:type="dxa"/>
          </w:tcPr>
          <w:p w14:paraId="60F4B680" w14:textId="77777777" w:rsidR="00C7665E" w:rsidRDefault="00000000">
            <w:pPr>
              <w:spacing w:after="0"/>
            </w:pPr>
            <w:r>
              <w:rPr>
                <w:sz w:val="16"/>
              </w:rPr>
              <w:t>Recommendation</w:t>
            </w:r>
          </w:p>
        </w:tc>
        <w:tc>
          <w:tcPr>
            <w:tcW w:w="2520" w:type="dxa"/>
          </w:tcPr>
          <w:p w14:paraId="270A28F7" w14:textId="77777777" w:rsidR="00C7665E" w:rsidRDefault="00000000">
            <w:pPr>
              <w:spacing w:after="0"/>
            </w:pPr>
            <w:r>
              <w:rPr>
                <w:sz w:val="16"/>
              </w:rPr>
              <w:t>Concept for 2026–2027</w:t>
            </w:r>
          </w:p>
        </w:tc>
      </w:tr>
      <w:tr w:rsidR="00C7665E" w14:paraId="4E00BC26" w14:textId="77777777">
        <w:trPr>
          <w:cantSplit/>
          <w:jc w:val="center"/>
        </w:trPr>
        <w:tc>
          <w:tcPr>
            <w:tcW w:w="2520" w:type="dxa"/>
          </w:tcPr>
          <w:p w14:paraId="5CA45C5B" w14:textId="77777777" w:rsidR="00C7665E" w:rsidRDefault="00000000">
            <w:pPr>
              <w:spacing w:after="0"/>
            </w:pPr>
            <w:r>
              <w:rPr>
                <w:sz w:val="16"/>
              </w:rPr>
              <w:t>Compare performance of the three scaling pathways and selected LTACs</w:t>
            </w:r>
          </w:p>
        </w:tc>
        <w:tc>
          <w:tcPr>
            <w:tcW w:w="2520" w:type="dxa"/>
          </w:tcPr>
          <w:p w14:paraId="2877EA66" w14:textId="77777777" w:rsidR="00C7665E" w:rsidRDefault="00000000">
            <w:pPr>
              <w:spacing w:after="0"/>
            </w:pPr>
            <w:r>
              <w:rPr>
                <w:sz w:val="16"/>
              </w:rPr>
              <w:t>Track team with S4I learning support</w:t>
            </w:r>
          </w:p>
        </w:tc>
        <w:tc>
          <w:tcPr>
            <w:tcW w:w="2520" w:type="dxa"/>
          </w:tcPr>
          <w:p w14:paraId="1B680EA4" w14:textId="77777777" w:rsidR="00C7665E" w:rsidRDefault="00000000">
            <w:pPr>
              <w:spacing w:after="0"/>
            </w:pPr>
            <w:r>
              <w:rPr>
                <w:sz w:val="16"/>
              </w:rPr>
              <w:t>Recommendation accepted</w:t>
            </w:r>
          </w:p>
        </w:tc>
        <w:tc>
          <w:tcPr>
            <w:tcW w:w="2520" w:type="dxa"/>
          </w:tcPr>
          <w:p w14:paraId="02067D47" w14:textId="77777777" w:rsidR="00C7665E" w:rsidRDefault="00000000">
            <w:pPr>
              <w:spacing w:after="0"/>
            </w:pPr>
            <w:r>
              <w:rPr>
                <w:sz w:val="16"/>
              </w:rPr>
              <w:t>Multi-year</w:t>
            </w:r>
          </w:p>
        </w:tc>
      </w:tr>
      <w:tr w:rsidR="00C7665E" w14:paraId="3BB26F5B" w14:textId="77777777">
        <w:trPr>
          <w:cantSplit/>
          <w:jc w:val="center"/>
        </w:trPr>
        <w:tc>
          <w:tcPr>
            <w:tcW w:w="2520" w:type="dxa"/>
          </w:tcPr>
          <w:p w14:paraId="0D3ECFDB" w14:textId="77777777" w:rsidR="00C7665E" w:rsidRDefault="00000000">
            <w:pPr>
              <w:spacing w:after="0"/>
            </w:pPr>
            <w:r>
              <w:rPr>
                <w:sz w:val="16"/>
              </w:rPr>
              <w:t>Develop bundle value propositions/business models</w:t>
            </w:r>
          </w:p>
        </w:tc>
        <w:tc>
          <w:tcPr>
            <w:tcW w:w="2520" w:type="dxa"/>
          </w:tcPr>
          <w:p w14:paraId="3DB8CB11" w14:textId="77777777" w:rsidR="00C7665E" w:rsidRDefault="00000000">
            <w:pPr>
              <w:spacing w:after="0"/>
            </w:pPr>
            <w:r>
              <w:rPr>
                <w:sz w:val="16"/>
              </w:rPr>
              <w:t>Track team with inclusive business-model support</w:t>
            </w:r>
          </w:p>
        </w:tc>
        <w:tc>
          <w:tcPr>
            <w:tcW w:w="2520" w:type="dxa"/>
          </w:tcPr>
          <w:p w14:paraId="75532217" w14:textId="77777777" w:rsidR="00C7665E" w:rsidRDefault="00000000">
            <w:pPr>
              <w:spacing w:after="0"/>
            </w:pPr>
            <w:r>
              <w:rPr>
                <w:sz w:val="16"/>
              </w:rPr>
              <w:t>Accepted as needed</w:t>
            </w:r>
          </w:p>
        </w:tc>
        <w:tc>
          <w:tcPr>
            <w:tcW w:w="2520" w:type="dxa"/>
          </w:tcPr>
          <w:p w14:paraId="114FC12C" w14:textId="77777777" w:rsidR="00C7665E" w:rsidRDefault="00000000">
            <w:pPr>
              <w:spacing w:after="0"/>
            </w:pPr>
            <w:r>
              <w:rPr>
                <w:sz w:val="16"/>
              </w:rPr>
              <w:t>2026</w:t>
            </w:r>
          </w:p>
        </w:tc>
      </w:tr>
      <w:tr w:rsidR="00C7665E" w14:paraId="21315DA4" w14:textId="77777777">
        <w:trPr>
          <w:cantSplit/>
          <w:jc w:val="center"/>
        </w:trPr>
        <w:tc>
          <w:tcPr>
            <w:tcW w:w="2520" w:type="dxa"/>
          </w:tcPr>
          <w:p w14:paraId="4766BCA4" w14:textId="77777777" w:rsidR="00C7665E" w:rsidRDefault="00000000">
            <w:pPr>
              <w:spacing w:after="0"/>
            </w:pPr>
            <w:r>
              <w:rPr>
                <w:sz w:val="16"/>
              </w:rPr>
              <w:t>Hold GESI follow-up on partners, interventions and outcomes</w:t>
            </w:r>
          </w:p>
        </w:tc>
        <w:tc>
          <w:tcPr>
            <w:tcW w:w="2520" w:type="dxa"/>
          </w:tcPr>
          <w:p w14:paraId="4B5FBD77" w14:textId="77777777" w:rsidR="00C7665E" w:rsidRDefault="00000000">
            <w:pPr>
              <w:spacing w:after="0"/>
            </w:pPr>
            <w:r>
              <w:rPr>
                <w:sz w:val="16"/>
              </w:rPr>
              <w:t>Ojon and Deissy/track team</w:t>
            </w:r>
          </w:p>
        </w:tc>
        <w:tc>
          <w:tcPr>
            <w:tcW w:w="2520" w:type="dxa"/>
          </w:tcPr>
          <w:p w14:paraId="32F4488F" w14:textId="77777777" w:rsidR="00C7665E" w:rsidRDefault="00000000">
            <w:pPr>
              <w:spacing w:after="0"/>
            </w:pPr>
            <w:r>
              <w:rPr>
                <w:sz w:val="16"/>
              </w:rPr>
              <w:t>Explicitly planned for the following day</w:t>
            </w:r>
          </w:p>
        </w:tc>
        <w:tc>
          <w:tcPr>
            <w:tcW w:w="2520" w:type="dxa"/>
          </w:tcPr>
          <w:p w14:paraId="609076FB" w14:textId="77777777" w:rsidR="00C7665E" w:rsidRDefault="00000000">
            <w:pPr>
              <w:spacing w:after="0"/>
            </w:pPr>
            <w:r>
              <w:rPr>
                <w:sz w:val="16"/>
              </w:rPr>
              <w:t>Immediate</w:t>
            </w:r>
          </w:p>
        </w:tc>
      </w:tr>
      <w:tr w:rsidR="00C7665E" w14:paraId="287C21CD" w14:textId="77777777">
        <w:trPr>
          <w:cantSplit/>
          <w:jc w:val="center"/>
        </w:trPr>
        <w:tc>
          <w:tcPr>
            <w:tcW w:w="2520" w:type="dxa"/>
          </w:tcPr>
          <w:p w14:paraId="7DE229FA" w14:textId="77777777" w:rsidR="00C7665E" w:rsidRDefault="00000000">
            <w:pPr>
              <w:spacing w:after="0"/>
            </w:pPr>
            <w:r>
              <w:rPr>
                <w:sz w:val="16"/>
              </w:rPr>
              <w:t>Assess sustainability, co-investment and post-S4I ownership</w:t>
            </w:r>
          </w:p>
        </w:tc>
        <w:tc>
          <w:tcPr>
            <w:tcW w:w="2520" w:type="dxa"/>
          </w:tcPr>
          <w:p w14:paraId="68714E02" w14:textId="77777777" w:rsidR="00C7665E" w:rsidRDefault="00000000">
            <w:pPr>
              <w:spacing w:after="0"/>
            </w:pPr>
            <w:r>
              <w:rPr>
                <w:sz w:val="16"/>
              </w:rPr>
              <w:t>Track team and partners</w:t>
            </w:r>
          </w:p>
        </w:tc>
        <w:tc>
          <w:tcPr>
            <w:tcW w:w="2520" w:type="dxa"/>
          </w:tcPr>
          <w:p w14:paraId="5DCA9C09" w14:textId="77777777" w:rsidR="00C7665E" w:rsidRDefault="00000000">
            <w:pPr>
              <w:spacing w:after="0"/>
            </w:pPr>
            <w:r>
              <w:rPr>
                <w:sz w:val="16"/>
              </w:rPr>
              <w:t>Question raised; follow-up required</w:t>
            </w:r>
          </w:p>
        </w:tc>
        <w:tc>
          <w:tcPr>
            <w:tcW w:w="2520" w:type="dxa"/>
          </w:tcPr>
          <w:p w14:paraId="40D0E208" w14:textId="77777777" w:rsidR="00C7665E" w:rsidRDefault="00000000">
            <w:pPr>
              <w:spacing w:after="0"/>
            </w:pPr>
            <w:r>
              <w:rPr>
                <w:sz w:val="16"/>
              </w:rPr>
              <w:t>2026–2027 planning</w:t>
            </w:r>
          </w:p>
        </w:tc>
      </w:tr>
      <w:tr w:rsidR="00C7665E" w14:paraId="2F3A97BF" w14:textId="77777777">
        <w:trPr>
          <w:cantSplit/>
          <w:jc w:val="center"/>
        </w:trPr>
        <w:tc>
          <w:tcPr>
            <w:tcW w:w="2520" w:type="dxa"/>
          </w:tcPr>
          <w:p w14:paraId="3D298798" w14:textId="77777777" w:rsidR="00C7665E" w:rsidRDefault="00000000">
            <w:pPr>
              <w:spacing w:after="0"/>
            </w:pPr>
            <w:r>
              <w:rPr>
                <w:sz w:val="16"/>
              </w:rPr>
              <w:t>Consider a standardized S4I approach to adoption verification and partner-capacity assessment</w:t>
            </w:r>
          </w:p>
        </w:tc>
        <w:tc>
          <w:tcPr>
            <w:tcW w:w="2520" w:type="dxa"/>
          </w:tcPr>
          <w:p w14:paraId="7D43AF0D" w14:textId="77777777" w:rsidR="00C7665E" w:rsidRDefault="00000000">
            <w:pPr>
              <w:spacing w:after="0"/>
            </w:pPr>
            <w:r>
              <w:rPr>
                <w:sz w:val="16"/>
              </w:rPr>
              <w:t>S4I leadership/MEL</w:t>
            </w:r>
          </w:p>
        </w:tc>
        <w:tc>
          <w:tcPr>
            <w:tcW w:w="2520" w:type="dxa"/>
          </w:tcPr>
          <w:p w14:paraId="289F87F3" w14:textId="77777777" w:rsidR="00C7665E" w:rsidRDefault="00000000">
            <w:pPr>
              <w:spacing w:after="0"/>
            </w:pPr>
            <w:r>
              <w:rPr>
                <w:sz w:val="16"/>
              </w:rPr>
              <w:t>Programme-level recommendation</w:t>
            </w:r>
          </w:p>
        </w:tc>
        <w:tc>
          <w:tcPr>
            <w:tcW w:w="2520" w:type="dxa"/>
          </w:tcPr>
          <w:p w14:paraId="0B2F436E" w14:textId="77777777" w:rsidR="00C7665E" w:rsidRDefault="00000000">
            <w:pPr>
              <w:spacing w:after="0"/>
            </w:pPr>
            <w:r>
              <w:rPr>
                <w:sz w:val="16"/>
              </w:rPr>
              <w:t>Portfolio discussion</w:t>
            </w:r>
          </w:p>
        </w:tc>
      </w:tr>
    </w:tbl>
    <w:p w14:paraId="75DC4A7B" w14:textId="77777777" w:rsidR="00C7665E" w:rsidRDefault="00000000">
      <w:pPr>
        <w:pStyle w:val="Heading1"/>
      </w:pPr>
      <w:r>
        <w:t>19. Outstanding questions and unresolved issues</w:t>
      </w:r>
    </w:p>
    <w:p w14:paraId="1F22578F" w14:textId="77777777" w:rsidR="00C7665E" w:rsidRDefault="00000000">
      <w:pPr>
        <w:pStyle w:val="ListBullet"/>
      </w:pPr>
      <w:r>
        <w:t>What exact number of farmers will each of the 12 partnerships expose, and through which activities?</w:t>
      </w:r>
    </w:p>
    <w:p w14:paraId="0385BAA1" w14:textId="77777777" w:rsidR="00C7665E" w:rsidRDefault="00000000">
      <w:pPr>
        <w:pStyle w:val="ListBullet"/>
      </w:pPr>
      <w:r>
        <w:t>What conversion rate from exposure to trial, integrated adoption and continued adoption is justified by existing evidence?</w:t>
      </w:r>
    </w:p>
    <w:p w14:paraId="3C557660" w14:textId="77777777" w:rsidR="00C7665E" w:rsidRDefault="00000000">
      <w:pPr>
        <w:pStyle w:val="ListBullet"/>
      </w:pPr>
      <w:r>
        <w:t>What minimum land area or implementation threshold will qualify as adoption for each practice?</w:t>
      </w:r>
    </w:p>
    <w:p w14:paraId="35AB0A15" w14:textId="77777777" w:rsidR="00C7665E" w:rsidRDefault="00000000">
      <w:pPr>
        <w:pStyle w:val="ListBullet"/>
      </w:pPr>
      <w:r>
        <w:t>How many farmers currently use complete bundles rather than isolated water, soil or climate-information practices?</w:t>
      </w:r>
    </w:p>
    <w:p w14:paraId="7DAE8CDC" w14:textId="77777777" w:rsidR="00C7665E" w:rsidRDefault="00000000">
      <w:pPr>
        <w:pStyle w:val="ListBullet"/>
      </w:pPr>
      <w:r>
        <w:t>Which bundles generated the strongest productivity and income results, and were those the lower-cost or higher-cost options?</w:t>
      </w:r>
    </w:p>
    <w:p w14:paraId="2C5ECDD5" w14:textId="77777777" w:rsidR="00C7665E" w:rsidRDefault="00000000">
      <w:pPr>
        <w:pStyle w:val="ListBullet"/>
      </w:pPr>
      <w:r>
        <w:t>What are the actual labour requirements of the priority practices, and who performs the work?</w:t>
      </w:r>
    </w:p>
    <w:p w14:paraId="4C0B2C3C" w14:textId="77777777" w:rsidR="00C7665E" w:rsidRDefault="00000000">
      <w:pPr>
        <w:pStyle w:val="ListBullet"/>
      </w:pPr>
      <w:r>
        <w:t>Is no-till or planting-basin technology part of the priority list? The presenting team was uncertain during the session.</w:t>
      </w:r>
    </w:p>
    <w:p w14:paraId="63ACDB0D" w14:textId="77777777" w:rsidR="00C7665E" w:rsidRDefault="00000000">
      <w:pPr>
        <w:pStyle w:val="ListBullet"/>
      </w:pPr>
      <w:r>
        <w:t>Which actors in each LTAC are accountable for extension, finance, inputs, demonstrations and follow-up?</w:t>
      </w:r>
    </w:p>
    <w:p w14:paraId="795C7915" w14:textId="77777777" w:rsidR="00C7665E" w:rsidRDefault="00000000">
      <w:pPr>
        <w:pStyle w:val="ListBullet"/>
      </w:pPr>
      <w:r>
        <w:t>Are microfinance interest rates compatible with the returns and risk profile of the capital-intensive bundles?</w:t>
      </w:r>
    </w:p>
    <w:p w14:paraId="6B9E0207" w14:textId="77777777" w:rsidR="00C7665E" w:rsidRDefault="00000000">
      <w:pPr>
        <w:pStyle w:val="ListBullet"/>
      </w:pPr>
      <w:r>
        <w:t>What data can partners reliably provide, and what independent verification is affordable?</w:t>
      </w:r>
    </w:p>
    <w:p w14:paraId="27C0B9DC" w14:textId="77777777" w:rsidR="00C7665E" w:rsidRDefault="00000000">
      <w:pPr>
        <w:pStyle w:val="ListBullet"/>
      </w:pPr>
      <w:r>
        <w:t>How will duplicate farmers and overlapping programme exposure be handled?</w:t>
      </w:r>
    </w:p>
    <w:p w14:paraId="27A6F561" w14:textId="77777777" w:rsidR="00C7665E" w:rsidRDefault="00000000">
      <w:pPr>
        <w:pStyle w:val="ListBullet"/>
      </w:pPr>
      <w:r>
        <w:t>Which LTAC and public-system capacities are minimum conditions for the model to work?</w:t>
      </w:r>
    </w:p>
    <w:p w14:paraId="4B205684" w14:textId="77777777" w:rsidR="00C7665E" w:rsidRDefault="00000000">
      <w:pPr>
        <w:pStyle w:val="ListBullet"/>
      </w:pPr>
      <w:r>
        <w:t>How will the track balance cost-effective scaling with deliberate inclusion of the most marginalized farmers?</w:t>
      </w:r>
    </w:p>
    <w:p w14:paraId="32A3DC59" w14:textId="77777777" w:rsidR="00C7665E" w:rsidRDefault="00000000">
      <w:pPr>
        <w:pStyle w:val="ListBullet"/>
      </w:pPr>
      <w:r>
        <w:t>What recurrent financing and technical support will remain after S4I and major projects end?</w:t>
      </w:r>
    </w:p>
    <w:p w14:paraId="5349065E" w14:textId="77777777" w:rsidR="00C7665E" w:rsidRDefault="00000000">
      <w:pPr>
        <w:pStyle w:val="ListBullet"/>
      </w:pPr>
      <w:r>
        <w:t>Which aspects of the model are transferable to other countries, and which depend on country-specific institutional capacity?</w:t>
      </w:r>
    </w:p>
    <w:p w14:paraId="33861B4B" w14:textId="77777777" w:rsidR="00C7665E" w:rsidRDefault="00000000">
      <w:pPr>
        <w:pStyle w:val="Heading1"/>
      </w:pPr>
      <w:r>
        <w:t>20. Overall assessment of the session</w:t>
      </w:r>
    </w:p>
    <w:p w14:paraId="3AD1C93D" w14:textId="77777777" w:rsidR="00C7665E" w:rsidRDefault="00000000">
      <w:r>
        <w:t>The solution track has a credible technical foundation, established relationships, access to large delivery platforms and a potentially important systems-change proposition. Its strongest feature is the effort to combine proven practices with institutional mechanisms rather than treating scaling as simple distribution of a technology catalogue.</w:t>
      </w:r>
    </w:p>
    <w:p w14:paraId="1D21FD75" w14:textId="77777777" w:rsidR="00C7665E" w:rsidRDefault="00000000">
      <w:r>
        <w:t>The main weakness is the lack of a transparent, quantified pathway from partner activities to verified integrated adoption. The track currently describes an ecosystem of actors and opportunities more clearly than it demonstrates the mechanics of adoption at farmer level.</w:t>
      </w:r>
    </w:p>
    <w:p w14:paraId="3C05323E" w14:textId="77777777" w:rsidR="00C7665E" w:rsidRDefault="00000000">
      <w:r>
        <w:t>The session therefore shifted the emphasis from broad technical claims and network diagrams toward sharper operational questions: what exact bundle, delivered by whom, to how many farmers, at what cost, with what conversion, verified how, and sustained by which institution?</w:t>
      </w:r>
    </w:p>
    <w:p w14:paraId="2E654BF7" w14:textId="77777777" w:rsidR="00C7665E" w:rsidRDefault="00000000">
      <w:r>
        <w:t>The coaching team did not recommend abandoning flexibility or systems work. Instead, it urged the track to make the complexity manageable through prioritization, explicit value propositions, partner-capacity assessment, sampled verification and a focused comparative learning agenda.</w:t>
      </w:r>
    </w:p>
    <w:p w14:paraId="7F201B98" w14:textId="77777777" w:rsidR="00C7665E" w:rsidRDefault="00000000">
      <w:r>
        <w:lastRenderedPageBreak/>
        <w:t>If these improvements are made, the track could contribute two types of value: credible adoption and resilience outcomes in Guatemala and Colombia, and a transferable model for how CGIAR can work through large investments, local climate-service platforms and national innovation systems to scale bundles responsibly.</w:t>
      </w:r>
    </w:p>
    <w:p w14:paraId="0DCF8065" w14:textId="77777777" w:rsidR="00C7665E" w:rsidRDefault="00000000">
      <w:pPr>
        <w:pStyle w:val="QuoteNote"/>
      </w:pPr>
      <w:r>
        <w:t>Central coaching message: be precise about what is being scaled, who is doing the scaling, what adoption means, how it will be verified, and what the programme will learn from different pathways.</w:t>
      </w:r>
    </w:p>
    <w:sectPr w:rsidR="00C7665E"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F804C" w14:textId="77777777" w:rsidR="00C46FC2" w:rsidRDefault="00C46FC2">
      <w:pPr>
        <w:spacing w:after="0" w:line="240" w:lineRule="auto"/>
      </w:pPr>
      <w:r>
        <w:separator/>
      </w:r>
    </w:p>
  </w:endnote>
  <w:endnote w:type="continuationSeparator" w:id="0">
    <w:p w14:paraId="12E8B147" w14:textId="77777777" w:rsidR="00C46FC2" w:rsidRDefault="00C46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A8680" w14:textId="77777777" w:rsidR="00C7665E" w:rsidRDefault="00000000">
    <w:pPr>
      <w:pStyle w:val="Footer"/>
      <w:jc w:val="center"/>
    </w:pPr>
    <w:r>
      <w:rPr>
        <w:sz w:val="16"/>
      </w:rPr>
      <w:fldChar w:fldCharType="begin"/>
    </w:r>
    <w:r>
      <w:rPr>
        <w:sz w:val="16"/>
      </w:rPr>
      <w:instrText>PAGE</w:instrText>
    </w:r>
    <w:r w:rsidR="00601A21">
      <w:rPr>
        <w:sz w:val="16"/>
      </w:rPr>
      <w:fldChar w:fldCharType="separate"/>
    </w:r>
    <w:r w:rsidR="00601A21">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2DC77" w14:textId="77777777" w:rsidR="00C46FC2" w:rsidRDefault="00C46FC2">
      <w:pPr>
        <w:spacing w:after="0" w:line="240" w:lineRule="auto"/>
      </w:pPr>
      <w:r>
        <w:separator/>
      </w:r>
    </w:p>
  </w:footnote>
  <w:footnote w:type="continuationSeparator" w:id="0">
    <w:p w14:paraId="0EE15F1D" w14:textId="77777777" w:rsidR="00C46FC2" w:rsidRDefault="00C46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7F6D" w14:textId="77777777" w:rsidR="00C7665E" w:rsidRDefault="00000000">
    <w:pPr>
      <w:pStyle w:val="Header"/>
      <w:jc w:val="right"/>
    </w:pPr>
    <w:r>
      <w:rPr>
        <w:color w:val="585858"/>
        <w:sz w:val="16"/>
      </w:rPr>
      <w:t>S4I Coaching Session Notes | Climate-smart water and soil solution bundles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D50FB4C"/>
    <w:lvl w:ilvl="0">
      <w:start w:val="1"/>
      <w:numFmt w:val="bullet"/>
      <w:pStyle w:val="ListBullet"/>
      <w:lvlText w:val=""/>
      <w:lvlJc w:val="left"/>
      <w:pPr>
        <w:tabs>
          <w:tab w:val="num" w:pos="360"/>
        </w:tabs>
        <w:ind w:left="360" w:hanging="360"/>
      </w:pPr>
      <w:rPr>
        <w:rFonts w:ascii="Symbol" w:hAnsi="Symbol" w:hint="default"/>
      </w:rPr>
    </w:lvl>
  </w:abstractNum>
  <w:num w:numId="1" w16cid:durableId="635986267">
    <w:abstractNumId w:val="8"/>
  </w:num>
  <w:num w:numId="2" w16cid:durableId="217212186">
    <w:abstractNumId w:val="6"/>
  </w:num>
  <w:num w:numId="3" w16cid:durableId="1092169963">
    <w:abstractNumId w:val="5"/>
  </w:num>
  <w:num w:numId="4" w16cid:durableId="290014590">
    <w:abstractNumId w:val="4"/>
  </w:num>
  <w:num w:numId="5" w16cid:durableId="1221356583">
    <w:abstractNumId w:val="7"/>
  </w:num>
  <w:num w:numId="6" w16cid:durableId="2069301733">
    <w:abstractNumId w:val="3"/>
  </w:num>
  <w:num w:numId="7" w16cid:durableId="1193541865">
    <w:abstractNumId w:val="2"/>
  </w:num>
  <w:num w:numId="8" w16cid:durableId="879976824">
    <w:abstractNumId w:val="1"/>
  </w:num>
  <w:num w:numId="9" w16cid:durableId="64076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2F"/>
    <w:rsid w:val="00034616"/>
    <w:rsid w:val="0006063C"/>
    <w:rsid w:val="0015074B"/>
    <w:rsid w:val="0029639D"/>
    <w:rsid w:val="00326F90"/>
    <w:rsid w:val="00601A21"/>
    <w:rsid w:val="00AA1D8D"/>
    <w:rsid w:val="00B32003"/>
    <w:rsid w:val="00B47730"/>
    <w:rsid w:val="00C46FC2"/>
    <w:rsid w:val="00C766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78764"/>
  <w14:defaultImageDpi w14:val="300"/>
  <w15:docId w15:val="{6DB35DDC-DA3C-468F-988A-012108A40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374E"/>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206C7A"/>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F374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7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8585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Note">
    <w:name w:val="Quote Note"/>
    <w:pPr>
      <w:spacing w:before="80" w:after="120"/>
      <w:ind w:left="504" w:right="360"/>
    </w:pPr>
    <w:rPr>
      <w:rFonts w:ascii="Aptos" w:hAnsi="Aptos"/>
      <w:i/>
      <w:color w:val="206C7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6280</Words>
  <Characters>35796</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Climate-smart Water and Soil Solution Bundles Coaching Session Notes</dc:title>
  <dc:subject>Comprehensive thematic notes from the 16 July 2026 S4I coaching session</dc:subject>
  <dc:creator>Prepared from meeting transcript</dc:creator>
  <cp:keywords>S4I, coaching, Guatemala, Colombia, climate-smart agriculture, water, soil, scaling</cp:keywords>
  <dc:description>generated by python-docx</dc:description>
  <cp:lastModifiedBy>Otieno, Felix Owino (Alliance Bioversity-CIAT)</cp:lastModifiedBy>
  <cp:revision>3</cp:revision>
  <dcterms:created xsi:type="dcterms:W3CDTF">2013-12-23T23:15:00Z</dcterms:created>
  <dcterms:modified xsi:type="dcterms:W3CDTF">2026-07-21T06:32:00Z</dcterms:modified>
  <cp:category/>
</cp:coreProperties>
</file>