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6479" w14:textId="77777777" w:rsidR="00506177" w:rsidRDefault="00E7531A">
      <w:pPr>
        <w:jc w:val="center"/>
      </w:pPr>
      <w:r>
        <w:rPr>
          <w:b/>
          <w:sz w:val="32"/>
        </w:rPr>
        <w:t>Coaching Notes: Digital Finance, TARA and KhetScore</w:t>
      </w:r>
    </w:p>
    <w:p w14:paraId="0456DCBC" w14:textId="77777777" w:rsidR="00506177" w:rsidRDefault="00E7531A">
      <w:pPr>
        <w:pStyle w:val="Heading1"/>
      </w:pPr>
      <w:r>
        <w:t>1. Overall focus of the discussion</w:t>
      </w:r>
    </w:p>
    <w:p w14:paraId="135EC914" w14:textId="77777777" w:rsidR="00506177" w:rsidRDefault="00E7531A">
      <w:r>
        <w:t>The discussion focused on how agriculture risk scoring, digital lending support and crop insurance can help smallholder farmers access finance. The Kenya discussion focused mainly on ACRE Africa and the TARA tool. The India discussion focused on Dvara and KhetScore. The wider scaling question was whether these tools can move beyond pilots and small numbers to create a viable market for bundled agricultural finance and insurance.</w:t>
      </w:r>
    </w:p>
    <w:p w14:paraId="3654C142" w14:textId="77777777" w:rsidR="00506177" w:rsidRDefault="00E7531A">
      <w:r>
        <w:t>The conversation showed that the technical tools are promising, but the main scaling challenge is not only technical. The bigger question is who has the incentive to actively sell, finance, bundle, subsidize or regulate the solution so that it reaches farmers at scale. This includes financial institutions, insurers, reinsurers, MFIs, SACCOs, off-takers, input suppliers, government, regulators and development-finance actors.</w:t>
      </w:r>
    </w:p>
    <w:p w14:paraId="6C86D545" w14:textId="77777777" w:rsidR="00506177" w:rsidRDefault="00E7531A">
      <w:pPr>
        <w:pStyle w:val="Heading1"/>
      </w:pPr>
      <w:r>
        <w:t>2. Main points from partners</w:t>
      </w:r>
    </w:p>
    <w:p w14:paraId="0BB09F2C" w14:textId="77777777" w:rsidR="00506177" w:rsidRDefault="00E7531A">
      <w:pPr>
        <w:pStyle w:val="Heading2"/>
      </w:pPr>
      <w:r>
        <w:t>2.1 ACRE Africa: history, current role and scaling challenge</w:t>
      </w:r>
    </w:p>
    <w:p w14:paraId="11D70C11" w14:textId="77777777" w:rsidR="00506177" w:rsidRDefault="00E7531A">
      <w:r>
        <w:t>ACRE Africa described the evolution of agricultural insurance in Kenya. Early agricultural insurance efforts focused on larger commercial farmers and later moved toward smallholders. One earlier model bundled insurance with seed: farmers bought seed, used a scratch card, registered by SMS and could receive compensation or replacement seed if rainfall triggers were met. This helped demonstrate the possibility of reaching smallholder farmers, but it also showed major limitations around farmer education, basis</w:t>
      </w:r>
      <w:r>
        <w:t xml:space="preserve"> risk and distribution.</w:t>
      </w:r>
    </w:p>
    <w:p w14:paraId="01F69AAE" w14:textId="77777777" w:rsidR="00506177" w:rsidRDefault="00E7531A">
      <w:r>
        <w:t>A key lesson from the earlier weather-station model was that station-based index insurance can create trust problems. Sometimes rainfall conditions at the weather station did not match conditions on farmers’ plots. Farmers could experience losses without payouts, or receive payouts even when they had not experienced serious losses. This created basis-risk problems and pushed ACRE Africa toward satellite data and more granular risk assessment.</w:t>
      </w:r>
    </w:p>
    <w:p w14:paraId="6C98C905" w14:textId="77777777" w:rsidR="00506177" w:rsidRDefault="00E7531A">
      <w:r>
        <w:t>ACRE Africa clarified that it is not currently an underwriter. Its role includes product development and design, digital platforms, farmer registration, distribution support, data analytics, training and capacity building. It trains insurers, lenders, regulators, government actors and farmers. It also uses village champions as trusted last-mile actors because community trust is important for insurance adoption.</w:t>
      </w:r>
    </w:p>
    <w:p w14:paraId="3C64AD6B" w14:textId="77777777" w:rsidR="00506177" w:rsidRDefault="00E7531A">
      <w:r>
        <w:t>ACRE Africa highlighted that agriculture is not organized in the same way across value chains. Tea, coffee, dairy and some export horticulture value chains have stronger structures, market linkages and existing relationships with financial institutions. Many food-crop value chains are less organized, with weaker aggregation, less predictable markets and less clear repayment pathways. This makes lending to smallholder farmers more difficult.</w:t>
      </w:r>
    </w:p>
    <w:p w14:paraId="7D5DC24D" w14:textId="77777777" w:rsidR="00506177" w:rsidRDefault="00E7531A">
      <w:r>
        <w:t>ACRE Africa also noted that export horticulture producers may have different insurance needs. For example, French bean producers with irrigation may be less exposed to rainfall shocks, while their bigger risks may relate to price changes or market rejection. Price-risk insurance is more difficult to negotiate with insurers, and broader coverage is difficult because the insurance market in Africa remains small and insurance partners are cautious about expanding risk coverage.</w:t>
      </w:r>
    </w:p>
    <w:p w14:paraId="10F3FB69" w14:textId="77777777" w:rsidR="00506177" w:rsidRDefault="00E7531A">
      <w:pPr>
        <w:pStyle w:val="Heading2"/>
      </w:pPr>
      <w:r>
        <w:t>2.2 TARA: what the tool does</w:t>
      </w:r>
    </w:p>
    <w:p w14:paraId="7B00B34C" w14:textId="77777777" w:rsidR="00506177" w:rsidRDefault="00E7531A">
      <w:r>
        <w:t>TARA was presented as a tool that helps financial institutions understand the risk and viability of agricultural lending. The tool provides information on crop suitability, expected production, potential revenue, risk level and loan viability. It can help a loan officer assess whether a farmer’s proposed crop enterprise makes sense in a given location and season.</w:t>
      </w:r>
    </w:p>
    <w:p w14:paraId="64EB67BD" w14:textId="77777777" w:rsidR="00506177" w:rsidRDefault="00E7531A">
      <w:r>
        <w:t xml:space="preserve">TARA uses historical yield information, market price information and location-based data to estimate expected revenue. It also allows dynamic entry of requested loan costs such as seed, fertilizer, labor or mechanization. The </w:t>
      </w:r>
      <w:r>
        <w:lastRenderedPageBreak/>
        <w:t>system then compares the requested loan amount with expected revenue and gives an indication of whether the loan is viable.</w:t>
      </w:r>
    </w:p>
    <w:p w14:paraId="35F7A4B0" w14:textId="77777777" w:rsidR="00506177" w:rsidRDefault="00E7531A">
      <w:r>
        <w:t>The tool is intended to fill a gap in existing lender risk-scoring systems. Many lenders already assess borrower behavior, repayment history, demographic information or general financial risk. TARA adds the crop and climate-risk dimension. It translates crop suitability and climate-related production risk into information that lenders can use when deciding whether to lend and whether to bundle the loan with insurance.</w:t>
      </w:r>
    </w:p>
    <w:p w14:paraId="7875C468" w14:textId="77777777" w:rsidR="00506177" w:rsidRDefault="00E7531A">
      <w:r>
        <w:t>ACRE Africa indicated that it had already worked with three financial institutions and that two of them had not previously lent to smallholder agricultural producers before using the tool. This was presented as an important proof point that better risk information can help bring hesitant lenders into agricultural lending.</w:t>
      </w:r>
    </w:p>
    <w:p w14:paraId="58FCCD21" w14:textId="77777777" w:rsidR="00506177" w:rsidRDefault="00E7531A">
      <w:pPr>
        <w:pStyle w:val="Heading2"/>
      </w:pPr>
      <w:r>
        <w:t>2.3 TARA: seasonal monitoring and advisory functions</w:t>
      </w:r>
    </w:p>
    <w:p w14:paraId="755654DC" w14:textId="77777777" w:rsidR="00506177" w:rsidRDefault="00E7531A">
      <w:r>
        <w:t>The seasonal monitoring module was presented as a way to reduce the cost of physical monitoring. Financial institutions currently need assessors to visit farms, which becomes expensive when portfolios are large. TARA can use remote-sensing indicators to compare current crop performance against historical baselines and identify where crop performance appears below expectation.</w:t>
      </w:r>
    </w:p>
    <w:p w14:paraId="0C026F04" w14:textId="77777777" w:rsidR="00506177" w:rsidRDefault="00E7531A">
      <w:r>
        <w:t>This monitoring can help lenders target field visits instead of sending assessors everywhere. If a crop is performing far below the baseline, a lender can investigate further. The discussion also noted that it would be useful if the monitoring system could show whether an insurance payout is likely or whether the observed crop problem is climate-related. This is not yet fully built into the tool.</w:t>
      </w:r>
    </w:p>
    <w:p w14:paraId="54699FEE" w14:textId="77777777" w:rsidR="00506177" w:rsidRDefault="00E7531A">
      <w:r>
        <w:t>The advisory function was presented as a way to send more targeted advisories to farmers based on their crop, location and planting date. The discussion suggested that this could be linked with existing advisory systems, including KALRO/KAMIS and other digital climate advisory work. However, there were concerns about the long-term sustainability and ownership of some data sources, especially where they depend on donor funding or proprietary data.</w:t>
      </w:r>
    </w:p>
    <w:p w14:paraId="73293F21" w14:textId="77777777" w:rsidR="00506177" w:rsidRDefault="00E7531A">
      <w:pPr>
        <w:pStyle w:val="Heading2"/>
      </w:pPr>
      <w:r>
        <w:t>2.4 Picture-based insurance</w:t>
      </w:r>
    </w:p>
    <w:p w14:paraId="1067D4BF" w14:textId="77777777" w:rsidR="00506177" w:rsidRDefault="00E7531A">
      <w:r>
        <w:t>Picture-based insurance was discussed as an added layer to reduce basis risk. Farmers can take photos of incidents or crop conditions, which can help capture localized risks that may not be visible through satellite data or index triggers alone. This could help with risks such as localized fire, microclimate differences or farm-level production problems.</w:t>
      </w:r>
    </w:p>
    <w:p w14:paraId="7A594B52" w14:textId="77777777" w:rsidR="00506177" w:rsidRDefault="00E7531A">
      <w:r>
        <w:t>However, picture-based insurance also increases the insurance premium by a few percentage points. Financial institutions therefore need to decide whether to include this layer or rely on a pure index product. The discussion did not go deeply into phone access, image quality or farmers’ ability to use picture-based tools, and this was identified as an area that may need more attention.</w:t>
      </w:r>
    </w:p>
    <w:p w14:paraId="4EAB81DF" w14:textId="77777777" w:rsidR="00506177" w:rsidRDefault="00E7531A">
      <w:pPr>
        <w:pStyle w:val="Heading2"/>
      </w:pPr>
      <w:r>
        <w:t>2.5 Dvara and KhetScore</w:t>
      </w:r>
    </w:p>
    <w:p w14:paraId="24A2363C" w14:textId="77777777" w:rsidR="00506177" w:rsidRDefault="00E7531A">
      <w:r>
        <w:t>Dvara described its India work as focused on improving access to finance and markets for smallholder farmers. The model works through farmer producer organizations and local field agents. Dvara supports farmer onboarding, farm digitization, risk scoring, lending processes and collection activities. It works with banking and non-bank financial partners, with loan amounts going directly from lenders to farmers’ accounts while Dvara supports the intermediation process.</w:t>
      </w:r>
    </w:p>
    <w:p w14:paraId="7E0756B0" w14:textId="77777777" w:rsidR="00506177" w:rsidRDefault="00E7531A">
      <w:r>
        <w:t>KhetScore was described as a plot-level risk-scoring system. It uses satellite and historical data, farm area, number of seasons cultivated, crop performance, soil moisture, plant moisture, crop health and environmental factors. It gives a risk score that lenders can use to assess whether a plot is suitable for lending.</w:t>
      </w:r>
    </w:p>
    <w:p w14:paraId="7A95954C" w14:textId="77777777" w:rsidR="00506177" w:rsidRDefault="00E7531A">
      <w:r>
        <w:t>Dvara explained that field agents physically map plots and use local knowledge. The team is also exploring links with digitized government land records, but the discussion highlighted an important inclusion risk. Some farmers cultivate land they do not formally own, including sharecroppers, tenant farmers and women farmers who may not appear clearly in official land records. If land-record integration becomes too central, it could exclude the same farmers the solution is trying to serve.</w:t>
      </w:r>
    </w:p>
    <w:p w14:paraId="578D6C16" w14:textId="77777777" w:rsidR="00506177" w:rsidRDefault="00E7531A">
      <w:r>
        <w:lastRenderedPageBreak/>
        <w:t>Dvara also discussed efforts to recognize sharecroppers or landless cultivators through alternative documentation and family-tree mapping. This was presented as an ongoing area of work rather than a fully solved issue.</w:t>
      </w:r>
    </w:p>
    <w:p w14:paraId="67785BFC" w14:textId="77777777" w:rsidR="00506177" w:rsidRDefault="00E7531A">
      <w:pPr>
        <w:pStyle w:val="Heading2"/>
      </w:pPr>
      <w:r>
        <w:t>2.6 India and Kenya as different scaling contexts</w:t>
      </w:r>
    </w:p>
    <w:p w14:paraId="0F6DC424" w14:textId="77777777" w:rsidR="00506177" w:rsidRDefault="00E7531A">
      <w:r>
        <w:t>The discussion showed important differences between India and Kenya. India appears to have a more enabling environment for agricultural finance and insurance, including stronger regulatory structures, priority-sector lending requirements, more active insurance actors and larger market scale. Dvara’s model appears to operate in a context where banks and financial institutions have clearer reasons to engage with agriculture.</w:t>
      </w:r>
    </w:p>
    <w:p w14:paraId="010A5AA5" w14:textId="77777777" w:rsidR="00506177" w:rsidRDefault="00E7531A">
      <w:r>
        <w:t>Kenya has a more difficult incentive environment for bundled credit and insurance. Financial institutions often already protect themselves through collateral, guarantors, SACCO savings or social guarantees. This means they may not feel enough direct benefit from adding insurance, especially if the premium makes the loan look more expensive to the farmer.</w:t>
      </w:r>
    </w:p>
    <w:p w14:paraId="05441CF3" w14:textId="77777777" w:rsidR="00506177" w:rsidRDefault="00E7531A">
      <w:pPr>
        <w:pStyle w:val="Heading1"/>
      </w:pPr>
      <w:r>
        <w:t>3. Key issues and challenges raised</w:t>
      </w:r>
    </w:p>
    <w:p w14:paraId="211741D0" w14:textId="77777777" w:rsidR="00506177" w:rsidRDefault="00E7531A">
      <w:pPr>
        <w:pStyle w:val="Heading2"/>
      </w:pPr>
      <w:r>
        <w:t>3.1 The main bottleneck is market creation, not only technical design</w:t>
      </w:r>
    </w:p>
    <w:p w14:paraId="14449BFE" w14:textId="77777777" w:rsidR="00506177" w:rsidRDefault="00E7531A">
      <w:r>
        <w:t>A central issue was that the product and tools may be technically good enough, but there is not yet a strong actor actively creating the market. Banks and insurers may offer the product, but they do not appear to be investing enough in marketing, customer acquisition, awareness creation or active sales. This creates a passive-availability problem: the solution exists, but the system does not yet have a strong market driver.</w:t>
      </w:r>
    </w:p>
    <w:p w14:paraId="27212825" w14:textId="77777777" w:rsidR="00506177" w:rsidRDefault="00E7531A">
      <w:pPr>
        <w:pStyle w:val="Heading2"/>
      </w:pPr>
      <w:r>
        <w:t>3.2 Financial institutions may not have enough incentive to bundle insurance</w:t>
      </w:r>
    </w:p>
    <w:p w14:paraId="3E0DCC80" w14:textId="77777777" w:rsidR="00506177" w:rsidRDefault="00E7531A">
      <w:r>
        <w:t>In Kenya, financial institutions often have other ways to recover loans. SACCOs and MFIs may rely on guarantors, savings and other collateral arrangements. Because they can recover losses through these mechanisms, they may not see crop insurance as essential for individual loan risk. They may be more concerned with systemic risk than with individual farm losses.</w:t>
      </w:r>
    </w:p>
    <w:p w14:paraId="326B1D69" w14:textId="77777777" w:rsidR="00506177" w:rsidRDefault="00E7531A">
      <w:r>
        <w:t>This creates a key scaling question: if financial institutions do not feel the risk strongly enough, why would they invest in promoting insurance? The business case for them must be made much clearer.</w:t>
      </w:r>
    </w:p>
    <w:p w14:paraId="52540B47" w14:textId="77777777" w:rsidR="00506177" w:rsidRDefault="00E7531A">
      <w:pPr>
        <w:pStyle w:val="Heading2"/>
      </w:pPr>
      <w:r>
        <w:t>3.3 Insurance is seen as increasing the cost of credit</w:t>
      </w:r>
    </w:p>
    <w:p w14:paraId="7D417D3A" w14:textId="77777777" w:rsidR="00506177" w:rsidRDefault="00E7531A">
      <w:r>
        <w:t>Financial institutions worry that adding an insurance premium increases the total cost of borrowing. If one lender offers a lower headline interest rate without insurance and another offers a higher total cost because insurance is bundled in, farmers may choose the cheaper-looking loan. The discussion therefore raised the question of whether insurance should allow lenders to reduce interest rates, relax collateral requirements, lend to new farmers or reduce their own capital costs.</w:t>
      </w:r>
    </w:p>
    <w:p w14:paraId="546E237D" w14:textId="77777777" w:rsidR="00506177" w:rsidRDefault="00E7531A">
      <w:pPr>
        <w:pStyle w:val="Heading2"/>
      </w:pPr>
      <w:r>
        <w:t>3.4 Regulatory and accounting rules may block the value of insurance</w:t>
      </w:r>
    </w:p>
    <w:p w14:paraId="20545159" w14:textId="77777777" w:rsidR="00506177" w:rsidRDefault="00E7531A">
      <w:r>
        <w:t>The discussion raised the possibility that banks may not be accounting for the de-risking value of insurance. If accounting rules, capital requirements or collateral rules do not recognize the reduced risk of insured agricultural portfolios, then banks may not change behavior even if insurance is useful in reality. This suggests that regulatory engagement may be needed, not only product improvement.</w:t>
      </w:r>
    </w:p>
    <w:p w14:paraId="5DC17C20" w14:textId="77777777" w:rsidR="00506177" w:rsidRDefault="00E7531A">
      <w:pPr>
        <w:pStyle w:val="Heading2"/>
      </w:pPr>
      <w:r>
        <w:t>3.5 Crop production is not adequately recognized as collateral</w:t>
      </w:r>
    </w:p>
    <w:p w14:paraId="62C3CBB0" w14:textId="77777777" w:rsidR="00506177" w:rsidRDefault="00E7531A">
      <w:r>
        <w:t>One important bottleneck was that crop production is not recognized by the Central Bank of Kenya as collateral in the way needed for agricultural lending. If a financial institution cannot count crop production or a monitored crop portfolio as collateral, it may still need traditional collateral, deposits or guarantees. This limits the value of TARA unless regulatory recognition changes.</w:t>
      </w:r>
    </w:p>
    <w:p w14:paraId="0C6A06A4" w14:textId="77777777" w:rsidR="00506177" w:rsidRDefault="00E7531A">
      <w:pPr>
        <w:pStyle w:val="Heading2"/>
      </w:pPr>
      <w:r>
        <w:lastRenderedPageBreak/>
        <w:t>3.6 MFIs and insurance distribution rules</w:t>
      </w:r>
    </w:p>
    <w:p w14:paraId="5A8D840A" w14:textId="77777777" w:rsidR="00506177" w:rsidRDefault="00E7531A">
      <w:r>
        <w:t>The discussion noted that MFIs may not be treated as insurance distributors in a way that allows them to access subsidy pools or fully bundle credit with insurance. This is a major constraint because MFIs and SACCOs are among the actors closest to smallholder borrowers. If they cannot legally or financially distribute insurance effectively, one promising scaling channel remains constrained.</w:t>
      </w:r>
    </w:p>
    <w:p w14:paraId="020F51E6" w14:textId="77777777" w:rsidR="00506177" w:rsidRDefault="00E7531A">
      <w:pPr>
        <w:pStyle w:val="Heading2"/>
      </w:pPr>
      <w:r>
        <w:t>3.7 Loan repayment and insurance payout timing do not always align</w:t>
      </w:r>
    </w:p>
    <w:p w14:paraId="20C58500" w14:textId="77777777" w:rsidR="00506177" w:rsidRDefault="00E7531A">
      <w:r>
        <w:t>Many agricultural loans use monthly repayment schedules, while crop income and insurance payouts may happen at the end of the season. This creates a mismatch. If a farmer has to repay monthly but receives insurance only after a seasonal assessment or at the end of the crop cycle, the insurance may not solve the immediate repayment problem. The discussion suggested the need for better guidance on how to design bundled loans and insurance so that repayment schedules, crop cash flows and payout timing align.</w:t>
      </w:r>
    </w:p>
    <w:p w14:paraId="548C1D6E" w14:textId="77777777" w:rsidR="00506177" w:rsidRDefault="00E7531A">
      <w:pPr>
        <w:pStyle w:val="Heading2"/>
      </w:pPr>
      <w:r>
        <w:t>3.8 Farmer awareness and trust remain weak</w:t>
      </w:r>
    </w:p>
    <w:p w14:paraId="1E51D9EF" w14:textId="77777777" w:rsidR="00506177" w:rsidRDefault="00E7531A">
      <w:r>
        <w:t>Farmer awareness of crop insurance remains a major challenge. Many farmers are not familiar with insurance generally and may not understand why they should pay for something they cannot see or may not use in a good season. This affects willingness to pay and makes demand creation difficult. The use of village champions responds partly to this challenge, but market-wide awareness remains a major scaling issue.</w:t>
      </w:r>
    </w:p>
    <w:p w14:paraId="4522588D" w14:textId="77777777" w:rsidR="00506177" w:rsidRDefault="00E7531A">
      <w:pPr>
        <w:pStyle w:val="Heading2"/>
      </w:pPr>
      <w:r>
        <w:t>3.9 Basis risk remains a concern</w:t>
      </w:r>
    </w:p>
    <w:p w14:paraId="51ABF1F0" w14:textId="77777777" w:rsidR="00506177" w:rsidRDefault="00E7531A">
      <w:r>
        <w:t>Basis risk remains a core technical and trust issue. Earlier index products created situations where farmers felt the product did not reflect their real losses. Satellite data and picture-based insurance can reduce this problem, but picture-based insurance adds cost and may have adoption barriers. The team needs clearer evidence on how much these tools reduce basis risk and how farmers and lenders perceive them.</w:t>
      </w:r>
    </w:p>
    <w:p w14:paraId="4C6D606C" w14:textId="77777777" w:rsidR="00506177" w:rsidRDefault="00E7531A">
      <w:pPr>
        <w:pStyle w:val="Heading2"/>
      </w:pPr>
      <w:r>
        <w:t>3.10 TARA needs stronger aggregation and portfolio-level functionality</w:t>
      </w:r>
    </w:p>
    <w:p w14:paraId="1B190014" w14:textId="77777777" w:rsidR="00506177" w:rsidRDefault="00E7531A">
      <w:r>
        <w:t>TARA currently provides localized crop-risk scores, but the discussion identified a need for cooperative, SACCO, aggregator or off-taker portfolio assessment. Financial institutions may want to upload a portfolio and understand aggregate risk. Off-takers or aggregators may also need to assess a group of farmers. This could make insurance and lending more scalable than assessing farmers one by one.</w:t>
      </w:r>
    </w:p>
    <w:p w14:paraId="2924C7DF" w14:textId="77777777" w:rsidR="00506177" w:rsidRDefault="00E7531A">
      <w:pPr>
        <w:pStyle w:val="Heading2"/>
      </w:pPr>
      <w:r>
        <w:t>3.11 Market access and off-taker relationships matter for loan viability</w:t>
      </w:r>
    </w:p>
    <w:p w14:paraId="0314903B" w14:textId="77777777" w:rsidR="00506177" w:rsidRDefault="00E7531A">
      <w:r>
        <w:t>The discussion recognized that a farmer’s ability to repay depends not only on production risk but also on market access, price stability, quality, aggregation and off-taker relationships. TARA can estimate potential revenue, but if farmers do not have a reliable buyer or cannot access quality inputs, loan viability remains weak. This creates a need to connect TARA with organized value chains, off-takers and other solution tracks.</w:t>
      </w:r>
    </w:p>
    <w:p w14:paraId="46EDCF38" w14:textId="77777777" w:rsidR="00506177" w:rsidRDefault="00E7531A">
      <w:pPr>
        <w:pStyle w:val="Heading2"/>
      </w:pPr>
      <w:r>
        <w:t>3.12 IPSR outputs were useful but incomplete</w:t>
      </w:r>
    </w:p>
    <w:p w14:paraId="2C33827F" w14:textId="77777777" w:rsidR="00506177" w:rsidRDefault="00E7531A">
      <w:r>
        <w:t>The IPSR workshop helped surface bottlenecks, but the discussion also highlighted limitations. Participants identified issues from their own perspectives, and the scoring process may have distracted from deeper scaling analysis. The team noted that the workshop outputs should not be treated as the final action plan. Follow-up conversations with Treasury, credit guarantee providers, financial institutions, insurers and regulators are needed to understand what is actually feasible.</w:t>
      </w:r>
    </w:p>
    <w:p w14:paraId="4F2202E0" w14:textId="77777777" w:rsidR="00506177" w:rsidRDefault="00E7531A">
      <w:pPr>
        <w:pStyle w:val="Heading1"/>
      </w:pPr>
      <w:r>
        <w:t>4. Solutions proposed and discussed</w:t>
      </w:r>
    </w:p>
    <w:p w14:paraId="66D522D0" w14:textId="77777777" w:rsidR="00506177" w:rsidRDefault="00E7531A">
      <w:pPr>
        <w:pStyle w:val="Heading2"/>
      </w:pPr>
      <w:r>
        <w:t>4.1 Build a stronger business case for financial institutions and insurers</w:t>
      </w:r>
    </w:p>
    <w:p w14:paraId="19A584CB" w14:textId="77777777" w:rsidR="00506177" w:rsidRDefault="00E7531A">
      <w:r>
        <w:t xml:space="preserve">The team needs a sharper business case showing why banks, MFIs, SACCOs, insurers and off-takers should invest in bundled finance and insurance. This should show how the solution reduces risk, lowers monitoring costs, enables </w:t>
      </w:r>
      <w:r>
        <w:lastRenderedPageBreak/>
        <w:t>lending to new farmers, improves repayment, supports portfolio growth or creates new revenue. Without this business case, the product may remain an add-on rather than something partners actively push.</w:t>
      </w:r>
    </w:p>
    <w:p w14:paraId="7DE4238E" w14:textId="77777777" w:rsidR="00506177" w:rsidRDefault="00E7531A">
      <w:pPr>
        <w:pStyle w:val="Heading2"/>
      </w:pPr>
      <w:r>
        <w:t>4.2 Engage the Central Bank of Kenya and financial regulators</w:t>
      </w:r>
    </w:p>
    <w:p w14:paraId="3434E730" w14:textId="77777777" w:rsidR="00506177" w:rsidRDefault="00E7531A">
      <w:r>
        <w:t>A major proposed solution was direct engagement with the Central Bank of Kenya and related financial regulators. The discussion suggested exploring whether insured agricultural lending portfolios could receive different treatment in terms of risk, capital or collateral. A possible pilot could involve one or more banks testing insured agricultural lending under adjusted accounting or risk-recognition rules.</w:t>
      </w:r>
    </w:p>
    <w:p w14:paraId="6C95E5CA" w14:textId="77777777" w:rsidR="00506177" w:rsidRDefault="00E7531A">
      <w:pPr>
        <w:pStyle w:val="Heading2"/>
      </w:pPr>
      <w:r>
        <w:t>4.3 Use National Treasury, NDMA and other champions</w:t>
      </w:r>
    </w:p>
    <w:p w14:paraId="4D9D6FEA" w14:textId="77777777" w:rsidR="00506177" w:rsidRDefault="00E7531A">
      <w:r>
        <w:t>The discussion identified National Treasury and NDMA as possible champions. A National Treasury representative had shown interest in the IPSR workshop, and NDMA was described as increasingly interested in insurance and crop insurance. These actors could help build the case for regulatory or policy reform and could support engagement with the Central Bank and other financial-sector actors.</w:t>
      </w:r>
    </w:p>
    <w:p w14:paraId="2BDB55D3" w14:textId="77777777" w:rsidR="00506177" w:rsidRDefault="00E7531A">
      <w:pPr>
        <w:pStyle w:val="Heading2"/>
      </w:pPr>
      <w:r>
        <w:t>4.4 Engage credit guarantee institutions</w:t>
      </w:r>
    </w:p>
    <w:p w14:paraId="1878561F" w14:textId="77777777" w:rsidR="00506177" w:rsidRDefault="00E7531A">
      <w:r>
        <w:t>Credit guarantee institutions were identified as important. There are existing government and project-linked guarantee facilities, but the discussion suggested that relationships with these providers need to be better understood and renewed. Credit guarantees, de-risking instruments and insurance could potentially be combined, but this requires closed-door discussions with financial institutions and guarantee providers to understand why previous arrangements ended and what could be sustained.</w:t>
      </w:r>
    </w:p>
    <w:p w14:paraId="5B8CAE43" w14:textId="77777777" w:rsidR="00506177" w:rsidRDefault="00E7531A">
      <w:pPr>
        <w:pStyle w:val="Heading2"/>
      </w:pPr>
      <w:r>
        <w:t>4.5 Develop portfolio and aggregation use cases</w:t>
      </w:r>
    </w:p>
    <w:p w14:paraId="3F0639B9" w14:textId="77777777" w:rsidR="00506177" w:rsidRDefault="00E7531A">
      <w:r>
        <w:t>TARA should be strengthened so that cooperatives, SACCOs, off-takers or aggregators can assess a portfolio of farmers. This could allow financial institutions to evaluate risk at a group level, design better loan products and potentially insure the group or portfolio rather than only individual farmers. It may also help link finance to value chains where farmers already have buyers.</w:t>
      </w:r>
    </w:p>
    <w:p w14:paraId="6CE151EF" w14:textId="77777777" w:rsidR="00506177" w:rsidRDefault="00E7531A">
      <w:pPr>
        <w:pStyle w:val="Heading2"/>
      </w:pPr>
      <w:r>
        <w:t>4.6 Explore off-taker and contract-farming channels carefully</w:t>
      </w:r>
    </w:p>
    <w:p w14:paraId="1B1134F6" w14:textId="77777777" w:rsidR="00506177" w:rsidRDefault="00E7531A">
      <w:r>
        <w:t>Off-takers and contract-farming arrangements were discussed as possible scaling channels. These may be useful where structured value chains already exist, but the discussion warned that this pathway could exclude many farmers outside organized cash-crop or export systems. The practical recommendation was to begin where off-taker systems already exist, not to build contract farming from scratch.</w:t>
      </w:r>
    </w:p>
    <w:p w14:paraId="7E299402" w14:textId="77777777" w:rsidR="00506177" w:rsidRDefault="00E7531A">
      <w:pPr>
        <w:pStyle w:val="Heading2"/>
      </w:pPr>
      <w:r>
        <w:t>4.7 Connect with other solution tracks</w:t>
      </w:r>
    </w:p>
    <w:p w14:paraId="1C201E58" w14:textId="77777777" w:rsidR="00506177" w:rsidRDefault="00E7531A">
      <w:r>
        <w:t>The discussion identified several possible synergies with other solution tracks. Digital advisory systems could strengthen TARA’s advisory module. KALRO/KAMIS data could support crop and market information. Bean off-takers, school feeding supply models and other value-chain actors could create entry points for finance. These linkages may be especially useful for the next work-planning cycle.</w:t>
      </w:r>
    </w:p>
    <w:p w14:paraId="1738D523" w14:textId="77777777" w:rsidR="00506177" w:rsidRDefault="00E7531A">
      <w:pPr>
        <w:pStyle w:val="Heading2"/>
      </w:pPr>
      <w:r>
        <w:t>4.8 Learn from India’s regulatory and market experience</w:t>
      </w:r>
    </w:p>
    <w:p w14:paraId="7A5557E8" w14:textId="77777777" w:rsidR="00506177" w:rsidRDefault="00E7531A">
      <w:r>
        <w:t>India was discussed as a useful learning case because of its stronger financial-sector mandates and more active agricultural finance environment. The Kenya team could learn from how Indian actors use priority-sector lending, agricultural credit systems, insurance obligations and regulator engagement. The idea was not to copy India directly but to understand what types of incentives can make banks and insurers more active.</w:t>
      </w:r>
    </w:p>
    <w:p w14:paraId="371A6853" w14:textId="77777777" w:rsidR="00506177" w:rsidRDefault="00E7531A">
      <w:pPr>
        <w:pStyle w:val="Heading2"/>
      </w:pPr>
      <w:r>
        <w:t>4.9 Explore public campaigns or coalitions for agricultural insurance</w:t>
      </w:r>
    </w:p>
    <w:p w14:paraId="0B211A89" w14:textId="77777777" w:rsidR="00506177" w:rsidRDefault="00E7531A">
      <w:r>
        <w:t>The discussion raised the idea of an agricultural insurance coalition or national campaign involving insurers, financial institutions, input suppliers and public actors. The logic is that farmer awareness is too large a problem for one actor alone. A coalition could help build general awareness of insurance and normalize crop insurance as part of agricultural risk management.</w:t>
      </w:r>
    </w:p>
    <w:p w14:paraId="1003C035" w14:textId="77777777" w:rsidR="00506177" w:rsidRDefault="00E7531A">
      <w:pPr>
        <w:pStyle w:val="Heading2"/>
      </w:pPr>
      <w:r>
        <w:lastRenderedPageBreak/>
        <w:t>4.10 Explore climate-finance and development-finance angles</w:t>
      </w:r>
    </w:p>
    <w:p w14:paraId="7AF15AD6" w14:textId="77777777" w:rsidR="00506177" w:rsidRDefault="00E7531A">
      <w:r>
        <w:t>The discussion suggested that the solution could be framed as climate resilience and agricultural de-risking. This could create links to actors such as the World Bank, DRIVE, AFC, climate-finance initiatives, first-loss facilities or other de-risking mechanisms. The value of this framing is that crop insurance and risk scoring can be positioned as part of climate adaptation and resilience finance.</w:t>
      </w:r>
    </w:p>
    <w:p w14:paraId="1836BCAE" w14:textId="77777777" w:rsidR="00506177" w:rsidRDefault="00E7531A">
      <w:pPr>
        <w:pStyle w:val="Heading2"/>
      </w:pPr>
      <w:r>
        <w:t>4.11 Generate stronger evidence</w:t>
      </w:r>
    </w:p>
    <w:p w14:paraId="06F11949" w14:textId="77777777" w:rsidR="00506177" w:rsidRDefault="00E7531A">
      <w:r>
        <w:t>The team needs evidence that convinces underwriters, reinsurers, lenders and regulators. This includes evidence on demand, willingness to pay, basis risk, claims frequency, claims cost, geographic and crop diversification, portfolio risk, reinsurance appetite, subsidy needs, repayment effects and lender behavior. The evidence question is not only whether farmers can be reached, but whether the solution can create a viable market that others will invest in.</w:t>
      </w:r>
    </w:p>
    <w:p w14:paraId="6A63B03A" w14:textId="77777777" w:rsidR="00506177" w:rsidRDefault="00E7531A">
      <w:pPr>
        <w:pStyle w:val="Heading1"/>
      </w:pPr>
      <w:r>
        <w:t>5. Lessons learned for this scaling solution</w:t>
      </w:r>
    </w:p>
    <w:p w14:paraId="0D6C8F71" w14:textId="77777777" w:rsidR="00506177" w:rsidRDefault="00E7531A">
      <w:pPr>
        <w:pStyle w:val="ListNumber"/>
      </w:pPr>
      <w:r>
        <w:t>Technical quality is necessary but not sufficient. TARA and KhetScore may be useful tools, but scale depends on incentives, market actors, regulation and distribution.</w:t>
      </w:r>
    </w:p>
    <w:p w14:paraId="18C7AAE2" w14:textId="77777777" w:rsidR="00506177" w:rsidRDefault="00E7531A">
      <w:pPr>
        <w:pStyle w:val="ListNumber"/>
      </w:pPr>
      <w:r>
        <w:t>Bundling insurance with credit only works if the financial institution sees value. If insurance only appears as an extra cost, it will not be actively promoted.</w:t>
      </w:r>
    </w:p>
    <w:p w14:paraId="3EF368DB" w14:textId="77777777" w:rsidR="00506177" w:rsidRDefault="00E7531A">
      <w:pPr>
        <w:pStyle w:val="ListNumber"/>
      </w:pPr>
      <w:r>
        <w:t>Kenya and India require different scaling strategies. India has stronger financial-sector mandates and appears more conducive to active market creation. Kenya requires more work on incentives, regulation and institutional demand.</w:t>
      </w:r>
    </w:p>
    <w:p w14:paraId="1B0A81B6" w14:textId="77777777" w:rsidR="00506177" w:rsidRDefault="00E7531A">
      <w:pPr>
        <w:pStyle w:val="ListNumber"/>
      </w:pPr>
      <w:r>
        <w:t>Portfolio-level approaches may be more scalable than individual farmer-by-farmer approaches. Cooperatives, SACCOs, aggregators, off-takers and county-level actors may provide more efficient entry points.</w:t>
      </w:r>
    </w:p>
    <w:p w14:paraId="7D1EE906" w14:textId="77777777" w:rsidR="00506177" w:rsidRDefault="00E7531A">
      <w:pPr>
        <w:pStyle w:val="ListNumber"/>
      </w:pPr>
      <w:r>
        <w:t>Regulatory engagement may be a core scaling pathway. If financial rules do not recognize insured crop portfolios or agricultural production as reducing risk, market actors may not change behavior.</w:t>
      </w:r>
    </w:p>
    <w:p w14:paraId="25DE7714" w14:textId="77777777" w:rsidR="00506177" w:rsidRDefault="00E7531A">
      <w:pPr>
        <w:pStyle w:val="ListNumber"/>
      </w:pPr>
      <w:r>
        <w:t>Farmer awareness and trust cannot be assumed. Insurance literacy remains a long-term barrier, especially where farmers have limited experience with formal insurance.</w:t>
      </w:r>
    </w:p>
    <w:p w14:paraId="628B0352" w14:textId="77777777" w:rsidR="00506177" w:rsidRDefault="00E7531A">
      <w:pPr>
        <w:pStyle w:val="ListNumber"/>
      </w:pPr>
      <w:r>
        <w:t>IPSR outputs need to be stress-tested. The workshop surfaced useful issues, but the action plan should be informed by follow-up with regulators, financial institutions, guarantee providers and insurers.</w:t>
      </w:r>
    </w:p>
    <w:p w14:paraId="0A0B3E74" w14:textId="77777777" w:rsidR="00506177" w:rsidRDefault="00E7531A">
      <w:pPr>
        <w:pStyle w:val="ListNumber"/>
      </w:pPr>
      <w:r>
        <w:t>Evidence must be designed for the actors expected to scale the solution. Underwriters, reinsurers, banks, MFIs, SACCOs and regulators each need different evidence before they change behavior.</w:t>
      </w:r>
    </w:p>
    <w:p w14:paraId="6C679D90" w14:textId="77777777" w:rsidR="00506177" w:rsidRDefault="00E7531A">
      <w:pPr>
        <w:pStyle w:val="Heading1"/>
      </w:pPr>
      <w:r>
        <w:t>6. Primary risks and concerns</w:t>
      </w:r>
    </w:p>
    <w:p w14:paraId="5E148AB5" w14:textId="77777777" w:rsidR="00506177" w:rsidRDefault="00E7531A">
      <w:pPr>
        <w:pStyle w:val="Heading2"/>
      </w:pPr>
      <w:r>
        <w:t>6.1 Passive participation by banks and insurers</w:t>
      </w:r>
    </w:p>
    <w:p w14:paraId="551A2316" w14:textId="77777777" w:rsidR="00506177" w:rsidRDefault="00E7531A">
      <w:r>
        <w:t>Banks and insurers may remain willing to participate but unwilling to invest in active market creation. This would keep the solution at pilot or project scale.</w:t>
      </w:r>
    </w:p>
    <w:p w14:paraId="66C0DAF5" w14:textId="77777777" w:rsidR="00506177" w:rsidRDefault="00E7531A">
      <w:pPr>
        <w:pStyle w:val="Heading2"/>
      </w:pPr>
      <w:r>
        <w:t>6.2 Weak commercial incentives</w:t>
      </w:r>
    </w:p>
    <w:p w14:paraId="0F9CCC4A" w14:textId="77777777" w:rsidR="00506177" w:rsidRDefault="00E7531A">
      <w:r>
        <w:t>If financial institutions do not see clear financial benefits from bundling insurance, they may not promote it. Existing collateral, guarantor and savings systems reduce their perceived need for insurance.</w:t>
      </w:r>
    </w:p>
    <w:p w14:paraId="0D55D9D9" w14:textId="77777777" w:rsidR="00506177" w:rsidRDefault="00E7531A">
      <w:pPr>
        <w:pStyle w:val="Heading2"/>
      </w:pPr>
      <w:r>
        <w:t>6.3 Affordability and competitiveness</w:t>
      </w:r>
    </w:p>
    <w:p w14:paraId="31931EB1" w14:textId="77777777" w:rsidR="00506177" w:rsidRDefault="00E7531A">
      <w:r>
        <w:t>Insurance premiums can make loans look more expensive. Picture-based insurance may reduce basis risk but adds cost. This could limit farmer demand and lender willingness to bundle products.</w:t>
      </w:r>
    </w:p>
    <w:p w14:paraId="740D435D" w14:textId="77777777" w:rsidR="00506177" w:rsidRDefault="00E7531A">
      <w:pPr>
        <w:pStyle w:val="Heading2"/>
      </w:pPr>
      <w:r>
        <w:t>6.4 Basis risk and farmer trust</w:t>
      </w:r>
    </w:p>
    <w:p w14:paraId="3BDE4989" w14:textId="77777777" w:rsidR="00506177" w:rsidRDefault="00E7531A">
      <w:r>
        <w:t>If farmers experience losses without payouts, or if payouts are not understood, trust can be damaged. This remains a major risk for scaling.</w:t>
      </w:r>
    </w:p>
    <w:p w14:paraId="59B7E542" w14:textId="77777777" w:rsidR="00506177" w:rsidRDefault="00E7531A">
      <w:pPr>
        <w:pStyle w:val="Heading2"/>
      </w:pPr>
      <w:r>
        <w:lastRenderedPageBreak/>
        <w:t>6.5 Regulatory blockage</w:t>
      </w:r>
    </w:p>
    <w:p w14:paraId="7EE302AB" w14:textId="77777777" w:rsidR="00506177" w:rsidRDefault="00E7531A">
      <w:r>
        <w:t>If MFIs cannot distribute insurance, if crop production is not recognized as collateral, or if banks receive no regulatory benefit from insured portfolios, the solution may remain constrained.</w:t>
      </w:r>
    </w:p>
    <w:p w14:paraId="65EA5753" w14:textId="77777777" w:rsidR="00506177" w:rsidRDefault="00E7531A">
      <w:pPr>
        <w:pStyle w:val="Heading2"/>
      </w:pPr>
      <w:r>
        <w:t>6.6 Mismatch between loans and insurance</w:t>
      </w:r>
    </w:p>
    <w:p w14:paraId="6A24F912" w14:textId="77777777" w:rsidR="00506177" w:rsidRDefault="00E7531A">
      <w:r>
        <w:t>Monthly repayment schedules may not align with crop seasons or insurance payouts. Product design needs to match agricultural cash flows more closely.</w:t>
      </w:r>
    </w:p>
    <w:p w14:paraId="2774134A" w14:textId="77777777" w:rsidR="00506177" w:rsidRDefault="00E7531A">
      <w:pPr>
        <w:pStyle w:val="Heading2"/>
      </w:pPr>
      <w:r>
        <w:t>6.7 Inclusion risk</w:t>
      </w:r>
    </w:p>
    <w:p w14:paraId="2B14B901" w14:textId="77777777" w:rsidR="00506177" w:rsidRDefault="00E7531A">
      <w:r>
        <w:t>Digital tools, formal land records, organized value chains and financial documentation could exclude women, tenant farmers, sharecroppers, landless cultivators and farmers outside structured markets if not carefully designed.</w:t>
      </w:r>
    </w:p>
    <w:p w14:paraId="550A1AE7" w14:textId="77777777" w:rsidR="00506177" w:rsidRDefault="00E7531A">
      <w:pPr>
        <w:pStyle w:val="Heading2"/>
      </w:pPr>
      <w:r>
        <w:t>6.8 Data sustainability and quality</w:t>
      </w:r>
    </w:p>
    <w:p w14:paraId="7FB6EAF4" w14:textId="77777777" w:rsidR="00506177" w:rsidRDefault="00E7531A">
      <w:r>
        <w:t>The tool depends on reliable yield, market, climate, remote-sensing and advisory data. If data sources are incomplete, proprietary, donor-funded or poorly integrated, the tool’s long-term value may weaken.</w:t>
      </w:r>
    </w:p>
    <w:p w14:paraId="27608715" w14:textId="77777777" w:rsidR="00506177" w:rsidRDefault="00E7531A">
      <w:pPr>
        <w:pStyle w:val="Heading2"/>
      </w:pPr>
      <w:r>
        <w:t>6.9 Short-term reporting pressure</w:t>
      </w:r>
    </w:p>
    <w:p w14:paraId="3D2AEE98" w14:textId="77777777" w:rsidR="00506177" w:rsidRDefault="00E7531A">
      <w:r>
        <w:t>There is a risk that the team focuses on short-term reach numbers rather than the deeper policy, regulatory and market-building work needed for long-term scale.</w:t>
      </w:r>
    </w:p>
    <w:sectPr w:rsidR="0050617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915535">
    <w:abstractNumId w:val="8"/>
  </w:num>
  <w:num w:numId="2" w16cid:durableId="1018239830">
    <w:abstractNumId w:val="6"/>
  </w:num>
  <w:num w:numId="3" w16cid:durableId="1742831508">
    <w:abstractNumId w:val="5"/>
  </w:num>
  <w:num w:numId="4" w16cid:durableId="962732894">
    <w:abstractNumId w:val="4"/>
  </w:num>
  <w:num w:numId="5" w16cid:durableId="84424131">
    <w:abstractNumId w:val="7"/>
  </w:num>
  <w:num w:numId="6" w16cid:durableId="1010252198">
    <w:abstractNumId w:val="3"/>
  </w:num>
  <w:num w:numId="7" w16cid:durableId="439254708">
    <w:abstractNumId w:val="2"/>
  </w:num>
  <w:num w:numId="8" w16cid:durableId="597712866">
    <w:abstractNumId w:val="1"/>
  </w:num>
  <w:num w:numId="9" w16cid:durableId="34802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177"/>
    <w:rsid w:val="0064219D"/>
    <w:rsid w:val="00AA1D8D"/>
    <w:rsid w:val="00B47730"/>
    <w:rsid w:val="00CB0664"/>
    <w:rsid w:val="00E7531A"/>
    <w:rsid w:val="00EB7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E1873A-0784-4932-9869-5A6D42247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3594</Words>
  <Characters>20488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Otieno, Felix Owino (Alliance Bioversity-CIAT)</cp:lastModifiedBy>
  <cp:revision>2</cp:revision>
  <dcterms:created xsi:type="dcterms:W3CDTF">2013-12-23T23:15:00Z</dcterms:created>
  <dcterms:modified xsi:type="dcterms:W3CDTF">2026-07-06T22:18:00Z</dcterms:modified>
  <cp:category/>
</cp:coreProperties>
</file>