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9688" w14:textId="77777777" w:rsidR="00D15D7A" w:rsidRDefault="00000000">
      <w:pPr>
        <w:jc w:val="center"/>
      </w:pPr>
      <w:r>
        <w:rPr>
          <w:b/>
          <w:sz w:val="36"/>
        </w:rPr>
        <w:t>Coaching Notes</w:t>
      </w:r>
    </w:p>
    <w:p w14:paraId="7CB2A6CF" w14:textId="77777777" w:rsidR="00D15D7A" w:rsidRDefault="00000000">
      <w:pPr>
        <w:jc w:val="center"/>
      </w:pPr>
      <w:r>
        <w:rPr>
          <w:b/>
          <w:sz w:val="26"/>
        </w:rPr>
        <w:t>Scaling Climate-Smart Mechanized Innovations to Optimize Rice-Wheat Systems in Eastern India</w:t>
      </w:r>
    </w:p>
    <w:p w14:paraId="6CB6575F" w14:textId="77777777" w:rsidR="00D15D7A" w:rsidRDefault="00000000">
      <w:pPr>
        <w:jc w:val="center"/>
      </w:pPr>
      <w:r>
        <w:rPr>
          <w:sz w:val="22"/>
        </w:rPr>
        <w:t>Mechanized Direct Seeded Rice (DSR) and Zero-Tillage Wheat - Varanasi / Eastern Uttar Pradesh</w:t>
      </w:r>
    </w:p>
    <w:p w14:paraId="2799CF3B" w14:textId="77777777" w:rsidR="00D15D7A" w:rsidRDefault="00000000">
      <w:pPr>
        <w:pStyle w:val="Heading1"/>
      </w:pPr>
      <w:r>
        <w:t>1. Overall track and innovation package</w:t>
      </w:r>
    </w:p>
    <w:p w14:paraId="52AFD73C" w14:textId="77777777" w:rsidR="00D15D7A" w:rsidRDefault="00000000">
      <w:pPr>
        <w:spacing w:after="120"/>
      </w:pPr>
      <w:r>
        <w:t>The track focuses on scaling a rice-wheat system optimization package in Eastern Uttar Pradesh, centered on mechanized Direct Seeded Rice (DSR) followed by Zero-Tillage (ZT) wheat. The logic is that mechanized DSR reduces the labor, water, energy, and time burden of puddled transplanted rice, while ZT wheat allows timely establishment of the following wheat crop. This addresses a core systems problem: late rice harvesting and delayed wheat sowing expose wheat to terminal heat stress and reduce productivity.</w:t>
      </w:r>
    </w:p>
    <w:p w14:paraId="3EE0F99B" w14:textId="77777777" w:rsidR="00D15D7A" w:rsidRDefault="00000000">
      <w:pPr>
        <w:spacing w:after="120"/>
      </w:pPr>
      <w:r>
        <w:t>The innovation is not only a machine or a single practice. The full package includes mechanized DSR, ZT wheat, suitable short/medium duration rice varieties or hybrids, best-bet agronomy, weed and water management, service-based business models through CHCs, PSPs and FPOs, machinery access, operator training, repair and spare parts systems, farmer demonstrations, public subsidy systems, and private sector participation.</w:t>
      </w:r>
    </w:p>
    <w:p w14:paraId="57D47CDC" w14:textId="77777777" w:rsidR="00D15D7A" w:rsidRDefault="00000000">
      <w:pPr>
        <w:spacing w:after="120"/>
      </w:pPr>
      <w:r>
        <w:t>The stated ambition is large: the profile and workshop materials refer to reaching more than one million smallholder farmers and more than 200,000 hectares over three to five years, with 400+ functional CHCs/PSPs and thousands of rural enterprises or jobs supported. The 2026 target is about 10,000 farmers and 10,000 hectares, with about 50 CHCs/PSPs strengthened and 1,500 value-chain actors trained.</w:t>
      </w:r>
    </w:p>
    <w:p w14:paraId="0DC6DDB0" w14:textId="77777777" w:rsidR="00D15D7A" w:rsidRDefault="00000000">
      <w:pPr>
        <w:pStyle w:val="Heading1"/>
      </w:pPr>
      <w:r>
        <w:t>2. Main takeaway from the discussions</w:t>
      </w:r>
    </w:p>
    <w:p w14:paraId="213373A5" w14:textId="77777777" w:rsidR="00D15D7A" w:rsidRDefault="00000000">
      <w:pPr>
        <w:spacing w:after="120"/>
      </w:pPr>
      <w:r>
        <w:t>The discussions suggest that the technical case for DSR followed by ZT wheat is strong, and the project benefits from credible institutional backing, visible field evidence, farmer-recognized problems, and substantial public investment through UPAGREES. However, the pathway to scale depends on whether the enabling ecosystem can keep up: machinery availability, trained operators, service-provider business models, repair and spare parts, suitable targeting, weed and water management fidelity, farmer trust, financing, gender inclusion, and policy coherence.</w:t>
      </w:r>
    </w:p>
    <w:p w14:paraId="4DE83817" w14:textId="77777777" w:rsidR="00D15D7A" w:rsidRDefault="00000000">
      <w:pPr>
        <w:spacing w:after="120"/>
      </w:pPr>
      <w:r>
        <w:t>A recurring message was that the technology itself is necessary but insufficient. Adoption requires a coordinated service economy around the technology. Farmers need to see the technology work, trust the service providers, access affordable services, manage weeds and water correctly, and receive timely advice. Service providers need machines, training, business confidence, demand, spare parts, and incentives. Government needs to align machinery subsidies, DSR adoption incentives, water and energy policy, carbon incentives, and agricultural extension systems.</w:t>
      </w:r>
    </w:p>
    <w:p w14:paraId="60BC9834" w14:textId="77777777" w:rsidR="00D15D7A" w:rsidRDefault="00000000">
      <w:pPr>
        <w:pStyle w:val="Heading1"/>
      </w:pPr>
      <w:r>
        <w:lastRenderedPageBreak/>
        <w:t>3. Main points from partner and stakeholder discussions</w:t>
      </w:r>
    </w:p>
    <w:p w14:paraId="3E27F887" w14:textId="77777777" w:rsidR="00D15D7A" w:rsidRDefault="00000000">
      <w:pPr>
        <w:pStyle w:val="Heading2"/>
      </w:pPr>
      <w:r>
        <w:t>3.1 IRRI / UPAGREES framing of the innovation</w:t>
      </w:r>
    </w:p>
    <w:p w14:paraId="1E7633A1" w14:textId="77777777" w:rsidR="00D15D7A" w:rsidRDefault="00000000">
      <w:pPr>
        <w:spacing w:after="120"/>
      </w:pPr>
      <w:r>
        <w:t>The IRRI/UPAGREES framing positioned the innovation as a system-level response to low productivity, labor shortages, water pressure, energy use, late crop establishment, greenhouse gas emissions, and delayed wheat sowing. The package was presented as climate-smart mechanization for rice-wheat systems, not simply DSR in isolation.</w:t>
      </w:r>
    </w:p>
    <w:p w14:paraId="37A76023" w14:textId="77777777" w:rsidR="00D15D7A" w:rsidRDefault="00000000">
      <w:pPr>
        <w:spacing w:after="120"/>
      </w:pPr>
      <w:r>
        <w:t>The workshop emphasized that the rice-wheat system in Eastern Uttar Pradesh faces interlinked biotic, abiotic, labor, mechanization, and management challenges, so the scaling pathway needs integrated solutions. The operational logic of the workshop was to align actors around the innovation package, identify bottlenecks, identify enabling solutions, and assess readiness for scaling.</w:t>
      </w:r>
    </w:p>
    <w:p w14:paraId="2B1FDE7B" w14:textId="77777777" w:rsidR="00D15D7A" w:rsidRDefault="00000000">
      <w:pPr>
        <w:spacing w:after="120"/>
      </w:pPr>
      <w:r>
        <w:t>Participants accepted that scaling requires more than evidence of agronomic performance. They repeatedly pointed to stakeholder collaboration, machinery access, trained operators, policy incentives, awareness, finance, women participation, and the service ecosystem as essential parts of the innovation package.</w:t>
      </w:r>
    </w:p>
    <w:p w14:paraId="00A6DE44" w14:textId="77777777" w:rsidR="00D15D7A" w:rsidRDefault="00000000">
      <w:pPr>
        <w:pStyle w:val="Heading2"/>
      </w:pPr>
      <w:r>
        <w:t>3.2 Stakeholder mapping, convergence, and coordination</w:t>
      </w:r>
    </w:p>
    <w:p w14:paraId="1CA9986B" w14:textId="77777777" w:rsidR="00D15D7A" w:rsidRDefault="00000000">
      <w:pPr>
        <w:spacing w:after="120"/>
      </w:pPr>
      <w:r>
        <w:t>One strong theme was the need for a convergence platform that brings together the right actors around the DSR-ZT wheat package. Participants discussed the need to map stakeholders across seed, machinery, agrochemicals, procurement/offtake, finance, extension, government, FPOs, CHCs, private service providers, and local agri-entrepreneurs.</w:t>
      </w:r>
    </w:p>
    <w:p w14:paraId="3148FFD0" w14:textId="77777777" w:rsidR="00D15D7A" w:rsidRDefault="00000000">
      <w:pPr>
        <w:spacing w:after="120"/>
      </w:pPr>
      <w:r>
        <w:t>The stakeholder mapping should not be a general list of names. Participants proposed assessing who has the technical capacity, product quality, outreach, resources, mandate, eligibility, and aligned incentives to contribute to scaling. The platform should identify credible seed providers, machinery providers, chemical/input actors, procurement actors, and implementation partners who can be trusted by farmers.</w:t>
      </w:r>
    </w:p>
    <w:p w14:paraId="588AA3B8" w14:textId="77777777" w:rsidR="00D15D7A" w:rsidRDefault="00000000">
      <w:pPr>
        <w:spacing w:after="120"/>
      </w:pPr>
      <w:r>
        <w:t>The discussion also moved beyond implementer mapping to adoption mapping. It was noted that adoption depends on social networks: which farmers, service providers, or local actors can influence others? Progressive farmers, local champions, and early adopters may have a multiplier effect if they are respected nodes in the local social system.</w:t>
      </w:r>
    </w:p>
    <w:p w14:paraId="59B7A12C" w14:textId="77777777" w:rsidR="00D15D7A" w:rsidRDefault="00000000">
      <w:pPr>
        <w:spacing w:after="120"/>
      </w:pPr>
      <w:r>
        <w:t>Participants also referred to convergence, collaboration, and communication as the three operating principles. The issue is not simply that many actors exist, but that their efforts are fragmented. Farmers can receive disconnected messages and partial services unless the project deliberately creates integrated delivery arrangements.</w:t>
      </w:r>
    </w:p>
    <w:p w14:paraId="74AEF68A" w14:textId="77777777" w:rsidR="00D15D7A" w:rsidRDefault="00000000">
      <w:pPr>
        <w:pStyle w:val="Heading2"/>
      </w:pPr>
      <w:r>
        <w:t>3.3 Policy support, machinery availability, and incentives</w:t>
      </w:r>
    </w:p>
    <w:p w14:paraId="7734F900" w14:textId="77777777" w:rsidR="00D15D7A" w:rsidRDefault="00000000">
      <w:pPr>
        <w:spacing w:after="120"/>
      </w:pPr>
      <w:r>
        <w:t>Policy and governance discussions highlighted machinery availability as a major barrier. Participants noted that existing machinery subsidy programs are either limited in coverage, limited by annual caps, or not sufficiently adapted to the specific machines required for mechanized DSR and ZT wheat. Some machinery categories may be eligible under broad farm mechanization schemes, while DSR-specific planters or related innovations may not receive adequate support.</w:t>
      </w:r>
    </w:p>
    <w:p w14:paraId="4641725B" w14:textId="77777777" w:rsidR="00D15D7A" w:rsidRDefault="00000000">
      <w:pPr>
        <w:spacing w:after="120"/>
      </w:pPr>
      <w:r>
        <w:t>The experience of Punjab and Haryana was repeatedly mentioned. These states provide incentives for DSR adoption, and participants suggested that Uttar Pradesh could consider similar direct incentives. The figures discussed included payments per hectare or acre in other states, with the broader point being that farmers may need short-term incentives to shift away from conventional puddled transplanted rice.</w:t>
      </w:r>
    </w:p>
    <w:p w14:paraId="57CCE28D" w14:textId="77777777" w:rsidR="00D15D7A" w:rsidRDefault="00000000">
      <w:pPr>
        <w:spacing w:after="120"/>
      </w:pPr>
      <w:r>
        <w:lastRenderedPageBreak/>
        <w:t>At the same time, the subsidy discussion raised the sustainability question: when and how do subsidies phase out? The response from participants was that DSR incentives may be justified because the government already bears costs through electricity subsidies, groundwater depletion, residue burning, and environmental commitments. If DSR saves water and electricity and reduces emissions, a DSR incentive can be framed as repurposing public expenditure rather than adding a permanent new cost. However, a clear phase-out or transition logic is still needed.</w:t>
      </w:r>
    </w:p>
    <w:p w14:paraId="6A1C1EBA" w14:textId="77777777" w:rsidR="00D15D7A" w:rsidRDefault="00000000">
      <w:pPr>
        <w:spacing w:after="120"/>
      </w:pPr>
      <w:r>
        <w:t>Participants also raised the potential role of carbon credits, but this was treated cautiously. Carbon markets in India were described as nascent, and current carbon credit returns may be too low to replace public incentives immediately. Carbon finance may become part of the future incentive architecture, but it cannot be the only near-term driver of adoption.</w:t>
      </w:r>
    </w:p>
    <w:p w14:paraId="53D3A7CD" w14:textId="77777777" w:rsidR="00D15D7A" w:rsidRDefault="00000000">
      <w:pPr>
        <w:spacing w:after="120"/>
      </w:pPr>
      <w:r>
        <w:t>Another policy issue was coordination across ministries. If the agriculture department pays DSR incentives but electricity or water departments receive some of the savings, then interdepartmental coordination becomes important. The policy case for DSR should be framed across agriculture, energy, water resources, climate, and environment.</w:t>
      </w:r>
    </w:p>
    <w:p w14:paraId="79D94254" w14:textId="77777777" w:rsidR="00D15D7A" w:rsidRDefault="00000000">
      <w:pPr>
        <w:spacing w:after="120"/>
      </w:pPr>
      <w:r>
        <w:t>Machinery compatibility was also discussed. DSR performance can be affected by how rice is harvested and how much residue remains in the field. Participants noted that some areas may require complementary harvesting machinery or residue management machinery, not just DSR planters. This reinforces the point that the innovation is a system, not a single machine.</w:t>
      </w:r>
    </w:p>
    <w:p w14:paraId="1ED28F12" w14:textId="77777777" w:rsidR="00D15D7A" w:rsidRDefault="00000000">
      <w:pPr>
        <w:pStyle w:val="Heading2"/>
      </w:pPr>
      <w:r>
        <w:t>3.4 Machinery service ecosystem: CHCs, PSPs, FPOs, operators, and repair</w:t>
      </w:r>
    </w:p>
    <w:p w14:paraId="0EC77770" w14:textId="77777777" w:rsidR="00D15D7A" w:rsidRDefault="00000000">
      <w:pPr>
        <w:spacing w:after="120"/>
      </w:pPr>
      <w:r>
        <w:t>Several discussions emphasized that most small and marginal farmers will not buy DSR machinery individually. The practical pathway is through service provision: CHCs, PSPs, FPOs, PACS, and local entrepreneurs provide mechanized services to farmers on a rental basis. This service economy is therefore central to scaling.</w:t>
      </w:r>
    </w:p>
    <w:p w14:paraId="153DCB9F" w14:textId="77777777" w:rsidR="00D15D7A" w:rsidRDefault="00000000">
      <w:pPr>
        <w:spacing w:after="120"/>
      </w:pPr>
      <w:r>
        <w:t>Participants recognized that CHCs and PSPs need more than access to machines. They need trained operators, technical knowledge, maintenance capacity, spare parts, business skills, and enough demand to keep machines utilized. A machine that is subsidized but underused will not create a sustainable service economy.</w:t>
      </w:r>
    </w:p>
    <w:p w14:paraId="7EB9549F" w14:textId="77777777" w:rsidR="00D15D7A" w:rsidRDefault="00000000">
      <w:pPr>
        <w:spacing w:after="120"/>
      </w:pPr>
      <w:r>
        <w:t>One group estimated that large-scale expansion would require thousands of trained operators. The discussion suggested that DSR is not a routine tractor operation. Operators need specific skills on soil moisture, seeding, calibration, weed and water management linkages, and timing. Hands-on training of operators and master trainers was therefore identified as a major requirement.</w:t>
      </w:r>
    </w:p>
    <w:p w14:paraId="26F04B01" w14:textId="77777777" w:rsidR="00D15D7A" w:rsidRDefault="00000000">
      <w:pPr>
        <w:spacing w:after="120"/>
      </w:pPr>
      <w:r>
        <w:t>Repair and maintenance networks were also identified as important. Weak repair systems and lack of spare parts can quickly undermine adoption if machines break down during the narrow planting window. The coaching discussion later strengthened this point by suggesting that machinery dealers and manufacturers should be more directly involved in spare parts, repair, after-sales service, and operator support.</w:t>
      </w:r>
    </w:p>
    <w:p w14:paraId="6B7A26EC" w14:textId="77777777" w:rsidR="00D15D7A" w:rsidRDefault="00000000">
      <w:pPr>
        <w:pStyle w:val="Heading2"/>
      </w:pPr>
      <w:r>
        <w:t>3.5 Gender inclusion and women-focused service models</w:t>
      </w:r>
    </w:p>
    <w:p w14:paraId="48342977" w14:textId="77777777" w:rsidR="00D15D7A" w:rsidRDefault="00000000">
      <w:pPr>
        <w:spacing w:after="120"/>
      </w:pPr>
      <w:r>
        <w:t>The gender group highlighted women’s underrepresentation in mechanization and agricultural decision-making, even though women contribute significantly to agriculture. The proposed solutions included training women through self-help groups, identifying women farmers within SHGs, supporting women-led CSCs or CHCs, and developing women as service providers, machine operators, or local agriculture entrepreneurs.</w:t>
      </w:r>
    </w:p>
    <w:p w14:paraId="14278C48" w14:textId="77777777" w:rsidR="00D15D7A" w:rsidRDefault="00000000">
      <w:pPr>
        <w:spacing w:after="120"/>
      </w:pPr>
      <w:r>
        <w:t xml:space="preserve">Participants noted that SHGs provide an existing platform, but not all SHG members are necessarily active rice farmers or decision-makers in rice production. The solution therefore requires filtering and targeting: </w:t>
      </w:r>
      <w:r>
        <w:lastRenderedPageBreak/>
        <w:t>identify women who are actually involved in agriculture, women-led households, women with decision authority, and women’s groups capable of managing or using DSR services.</w:t>
      </w:r>
    </w:p>
    <w:p w14:paraId="4C3D55A9" w14:textId="77777777" w:rsidR="00D15D7A" w:rsidRDefault="00000000">
      <w:pPr>
        <w:spacing w:after="120"/>
      </w:pPr>
      <w:r>
        <w:t>The coaching discussion later stressed that gender inclusion should not become a checkbox exercise. Inclusion should be measured by whether women receive real benefits, have decision-making authority, can influence adoption, and can participate as service users or service providers. Options discussed included women-led CHCs, women on CHC boards, SHG-sponsored CHCs, and special support for women PSPs where feasible.</w:t>
      </w:r>
    </w:p>
    <w:p w14:paraId="680C1460" w14:textId="77777777" w:rsidR="00D15D7A" w:rsidRDefault="00000000">
      <w:pPr>
        <w:pStyle w:val="Heading2"/>
      </w:pPr>
      <w:r>
        <w:t>3.6 Technical capacity building and knowledge transfer</w:t>
      </w:r>
    </w:p>
    <w:p w14:paraId="32769ADD" w14:textId="77777777" w:rsidR="00D15D7A" w:rsidRDefault="00000000">
      <w:pPr>
        <w:spacing w:after="120"/>
      </w:pPr>
      <w:r>
        <w:t>Technical knowledge was identified as a major bottleneck. DSR requires careful implementation of land preparation, soil moisture management, machine operation, seeding, herbicide timing, water management, weed control, nutrient management, and subsequent ZT wheat establishment.</w:t>
      </w:r>
    </w:p>
    <w:p w14:paraId="0B1FF105" w14:textId="77777777" w:rsidR="00D15D7A" w:rsidRDefault="00000000">
      <w:pPr>
        <w:spacing w:after="120"/>
      </w:pPr>
      <w:r>
        <w:t>Participants proposed a two-pronged capacity-building strategy. First, hands-on training and large-scale demonstrations for farmers, operators, extension staff, CHCs, PSPs, and entrepreneurs. Second, digital knowledge transfer using WhatsApp, videos, social media, and other digital platforms for wider outreach. The digital component was seen as useful for awareness and reinforcement, but not as a substitute for hands-on training, especially for machine operation and critical agronomic steps.</w:t>
      </w:r>
    </w:p>
    <w:p w14:paraId="636E1366" w14:textId="77777777" w:rsidR="00D15D7A" w:rsidRDefault="00000000">
      <w:pPr>
        <w:spacing w:after="120"/>
      </w:pPr>
      <w:r>
        <w:t>The group identified weed management and water management as especially critical. The intervention can fail if farmers or service providers get the timing wrong. This makes fidelity of implementation a central issue for scaling. Messages should therefore focus on the few most important practices, rather than overwhelming farmers with the full technical package.</w:t>
      </w:r>
    </w:p>
    <w:p w14:paraId="10EB0DF1" w14:textId="77777777" w:rsidR="00D15D7A" w:rsidRDefault="00000000">
      <w:pPr>
        <w:spacing w:after="120"/>
      </w:pPr>
      <w:r>
        <w:t>There was also a suggestion to create master trainers and skilled local operators. Without enough trained people to operate machines correctly, machinery availability alone will not translate into successful adoption.</w:t>
      </w:r>
    </w:p>
    <w:p w14:paraId="2482A0E2" w14:textId="77777777" w:rsidR="00D15D7A" w:rsidRDefault="00000000">
      <w:pPr>
        <w:pStyle w:val="Heading2"/>
      </w:pPr>
      <w:r>
        <w:t>3.7 Suitability mapping and targeted promotion</w:t>
      </w:r>
    </w:p>
    <w:p w14:paraId="4262B8C5" w14:textId="77777777" w:rsidR="00D15D7A" w:rsidRDefault="00000000">
      <w:pPr>
        <w:spacing w:after="120"/>
      </w:pPr>
      <w:r>
        <w:t>Suitability mapping was identified as a key solution. Participants argued that DSR should not be promoted everywhere equally. Suitability depends on soil type, irrigation access, field condition, residue levels, machinery availability, and service-provider access. Sandy soils and areas without adequate irrigation may be less suitable or riskier for DSR.</w:t>
      </w:r>
    </w:p>
    <w:p w14:paraId="60574005" w14:textId="77777777" w:rsidR="00D15D7A" w:rsidRDefault="00000000">
      <w:pPr>
        <w:spacing w:after="120"/>
      </w:pPr>
      <w:r>
        <w:t>The proposed approach is to identify high, medium, and lower-potential zones based on agronomic and service ecosystem criteria. DSR promotion should be concentrated in high-potential clusters where farmers can access the right machinery, water, inputs, operators, and advice.</w:t>
      </w:r>
    </w:p>
    <w:p w14:paraId="0E3FF395" w14:textId="77777777" w:rsidR="00D15D7A" w:rsidRDefault="00000000">
      <w:pPr>
        <w:spacing w:after="120"/>
      </w:pPr>
      <w:r>
        <w:t>The discussion also emphasized cluster-based demonstrations. Rather than scattered individual demonstrations, clusters can create visibility, build peer learning, reduce service-delivery transaction costs, and generate demand for machinery services. Cluster sites should be accessible, visible, and strategically located so that neighboring farmers can observe outcomes.</w:t>
      </w:r>
    </w:p>
    <w:p w14:paraId="467066F5" w14:textId="77777777" w:rsidR="00D15D7A" w:rsidRDefault="00000000">
      <w:pPr>
        <w:pStyle w:val="Heading2"/>
      </w:pPr>
      <w:r>
        <w:t>3.8 Affordability, finance, and business models</w:t>
      </w:r>
    </w:p>
    <w:p w14:paraId="612A97F3" w14:textId="77777777" w:rsidR="00D15D7A" w:rsidRDefault="00000000">
      <w:pPr>
        <w:spacing w:after="120"/>
      </w:pPr>
      <w:r>
        <w:t>Affordability was discussed from both the farmer and service-provider perspectives. Individual ownership of DSR machinery is not feasible for most smallholders because average landholdings are small and the implement cost is high. Therefore, service-based models through CHCs, FPOs, PACS, and rural entrepreneurs are more practical.</w:t>
      </w:r>
    </w:p>
    <w:p w14:paraId="3A14220A" w14:textId="77777777" w:rsidR="00D15D7A" w:rsidRDefault="00000000">
      <w:pPr>
        <w:spacing w:after="120"/>
      </w:pPr>
      <w:r>
        <w:t xml:space="preserve">The financial institution perspective highlighted the need to make existing schemes better known and usable. Participants mentioned Kisan Credit Cards, mechanization schemes, and agricultural credit products. One </w:t>
      </w:r>
      <w:r>
        <w:lastRenderedPageBreak/>
        <w:t>concrete proposal was to include DSR in district-level scale-of-finance guidelines so that banks can finance DSR-related costs through existing agricultural lending channels.</w:t>
      </w:r>
    </w:p>
    <w:p w14:paraId="316AAE87" w14:textId="77777777" w:rsidR="00D15D7A" w:rsidRDefault="00000000">
      <w:pPr>
        <w:spacing w:after="120"/>
      </w:pPr>
      <w:r>
        <w:t>It was clarified that scale of finance can include the cost of services, not only physical inputs. This matters because many farmers will hire a DSR service rather than purchase a machine. Including service costs in credit calculations could help farmers pay for timely DSR services when liquidity is tight.</w:t>
      </w:r>
    </w:p>
    <w:p w14:paraId="64B6432A" w14:textId="77777777" w:rsidR="00D15D7A" w:rsidRDefault="00000000">
      <w:pPr>
        <w:spacing w:after="120"/>
      </w:pPr>
      <w:r>
        <w:t>Participants also suggested working with NABARD or relevant institutions to include DSR implements in unit-cost guidelines. This would help banks understand the capital cost and support credit decisions for CHCs, FPOs, PSPs, and entrepreneurs.</w:t>
      </w:r>
    </w:p>
    <w:p w14:paraId="3F3B7F18" w14:textId="77777777" w:rsidR="00D15D7A" w:rsidRDefault="00000000">
      <w:pPr>
        <w:spacing w:after="120"/>
      </w:pPr>
      <w:r>
        <w:t>Another idea was to incentivize both farmers and service providers. Farmers could receive DSR adoption incentives, while service providers could receive a minimum business guarantee or other support during the early scaling phase. The purpose would be to reduce the risk that service providers invest in machines but do not receive enough demand in the first seasons.</w:t>
      </w:r>
    </w:p>
    <w:p w14:paraId="68879794" w14:textId="77777777" w:rsidR="00D15D7A" w:rsidRDefault="00000000">
      <w:pPr>
        <w:pStyle w:val="Heading2"/>
      </w:pPr>
      <w:r>
        <w:t>3.9 Building trust, awareness, and farmer confidence</w:t>
      </w:r>
    </w:p>
    <w:p w14:paraId="34CEFD21" w14:textId="77777777" w:rsidR="00D15D7A" w:rsidRDefault="00000000">
      <w:pPr>
        <w:spacing w:after="120"/>
      </w:pPr>
      <w:r>
        <w:t>Trust-building was a recurring theme. Farmers are more likely to adopt when they see DSR working in their own context or in nearby villages. Community-level demonstrations, Cluster Frontline Demonstrations, exposure visits, local success stories, and respected farmer testimonials were proposed as key mechanisms.</w:t>
      </w:r>
    </w:p>
    <w:p w14:paraId="03D1B834" w14:textId="77777777" w:rsidR="00D15D7A" w:rsidRDefault="00000000">
      <w:pPr>
        <w:spacing w:after="120"/>
      </w:pPr>
      <w:r>
        <w:t>The visible difference between puddled transplanted rice and DSR is an advantage. Farmers can observe differences in labor needs, field conditions, crop establishment, timing, and later wheat sowing. This visibility makes the technology easier to communicate than less observable innovations.</w:t>
      </w:r>
    </w:p>
    <w:p w14:paraId="1F9454DF" w14:textId="77777777" w:rsidR="00D15D7A" w:rsidRDefault="00000000">
      <w:pPr>
        <w:spacing w:after="120"/>
      </w:pPr>
      <w:r>
        <w:t>However, awareness alone is insufficient. Farmers need to understand what must be done differently, what risks exist, what support is available, and where they can access services. Trust also depends on having reliable service providers, good machinery, timely services, and functioning repair systems.</w:t>
      </w:r>
    </w:p>
    <w:p w14:paraId="1888A869" w14:textId="77777777" w:rsidR="00D15D7A" w:rsidRDefault="00000000">
      <w:pPr>
        <w:pStyle w:val="Heading1"/>
      </w:pPr>
      <w:r>
        <w:t>4. Richard / S4I coaching analysis and strategic discussion</w:t>
      </w:r>
    </w:p>
    <w:p w14:paraId="4DB17CDD" w14:textId="77777777" w:rsidR="00D15D7A" w:rsidRDefault="00000000">
      <w:pPr>
        <w:pStyle w:val="Heading2"/>
      </w:pPr>
      <w:r>
        <w:t>4.1 Strengths of the track</w:t>
      </w:r>
    </w:p>
    <w:p w14:paraId="2D101762" w14:textId="77777777" w:rsidR="00D15D7A" w:rsidRDefault="00000000">
      <w:pPr>
        <w:spacing w:after="120"/>
      </w:pPr>
      <w:r>
        <w:t>The coaching discussion recognized the track as very strong overall. Several scaling criteria are already favorable. The innovation has sound technical evidence; it is endorsed by credible institutions such as IRRI, government actors and research partners; it addresses problems farmers themselves recognize; it has visible field evidence; it offers cost savings; and it has major public investment through UPAGREES.</w:t>
      </w:r>
    </w:p>
    <w:p w14:paraId="5D5DD00F" w14:textId="77777777" w:rsidR="00D15D7A" w:rsidRDefault="00000000">
      <w:pPr>
        <w:spacing w:after="120"/>
      </w:pPr>
      <w:r>
        <w:t>The project also solves two farmer-recognized problems: labor shortages in rice establishment and delayed wheat sowing after rice. Because these are felt needs, not only expert-defined problems, the adoption proposition is stronger than many supply-driven technologies.</w:t>
      </w:r>
    </w:p>
    <w:p w14:paraId="7303B7E5" w14:textId="77777777" w:rsidR="00D15D7A" w:rsidRDefault="00000000">
      <w:pPr>
        <w:spacing w:after="120"/>
      </w:pPr>
      <w:r>
        <w:t>The innovation can also be tested at limited scale. Farmers can try DSR on part of their field before full adoption, and demonstrations can compare DSR with conventional practice side by side. This lowers the perceived risk and supports learning-by-seeing.</w:t>
      </w:r>
    </w:p>
    <w:p w14:paraId="70B2D455" w14:textId="77777777" w:rsidR="00D15D7A" w:rsidRDefault="00000000">
      <w:pPr>
        <w:pStyle w:val="Heading2"/>
      </w:pPr>
      <w:r>
        <w:t>4.2 Fidelity risk: DSR is knowledge-intensive</w:t>
      </w:r>
    </w:p>
    <w:p w14:paraId="1788C2BC" w14:textId="77777777" w:rsidR="00D15D7A" w:rsidRDefault="00000000">
      <w:pPr>
        <w:spacing w:after="120"/>
      </w:pPr>
      <w:r>
        <w:t>The main technical scaling concern is fidelity of implementation. DSR is not a plug-and-play technology. It requires correct timing, soil moisture, seeding, herbicide application, irrigation, weed management, and coordination with the wheat crop. If farmers adopt only part of the package or get the timing wrong, outcomes may decline sharply.</w:t>
      </w:r>
    </w:p>
    <w:p w14:paraId="74A35187" w14:textId="77777777" w:rsidR="00D15D7A" w:rsidRDefault="00000000">
      <w:pPr>
        <w:spacing w:after="120"/>
      </w:pPr>
      <w:r>
        <w:lastRenderedPageBreak/>
        <w:t>Richard encouraged the team to think about how robust the package is to imperfect adoption. For example: if a farmer gets herbicide timing wrong by a few days, how much does yield suffer? If irrigation timing is wrong, how much of the benefit is lost? If the farmer has only enough money for part of the package, which elements are essential and which can be delayed?</w:t>
      </w:r>
    </w:p>
    <w:p w14:paraId="387BA0D4" w14:textId="77777777" w:rsidR="00D15D7A" w:rsidRDefault="00000000">
      <w:pPr>
        <w:spacing w:after="120"/>
      </w:pPr>
      <w:r>
        <w:t>This is important because scaling always produces variation in implementation quality. The team should not rely only on average trial results. It should understand the distribution of farmer outcomes, including the share of farmers who may have a poor experience and why.</w:t>
      </w:r>
    </w:p>
    <w:p w14:paraId="79D5B75C" w14:textId="77777777" w:rsidR="00D15D7A" w:rsidRDefault="00000000">
      <w:pPr>
        <w:pStyle w:val="Heading2"/>
      </w:pPr>
      <w:r>
        <w:t>4.3 Targeting and prioritization</w:t>
      </w:r>
    </w:p>
    <w:p w14:paraId="16E8362A" w14:textId="77777777" w:rsidR="00D15D7A" w:rsidRDefault="00000000">
      <w:pPr>
        <w:spacing w:after="120"/>
      </w:pPr>
      <w:r>
        <w:t>The coaching discussion recommended sharpening targeting. Low productivity villages are a logical starting point, but they should not be the only criterion. It also matters whether DSR services already exist, whether there are medium-sized farmers with tractors who could become PSPs, whether there is machine availability, whether the village is suitable for DSR, and whether demonstrations are visible enough to generate spillovers.</w:t>
      </w:r>
    </w:p>
    <w:p w14:paraId="6572B8E8" w14:textId="77777777" w:rsidR="00D15D7A" w:rsidRDefault="00000000">
      <w:pPr>
        <w:spacing w:after="120"/>
      </w:pPr>
      <w:r>
        <w:t>The team noted that suitability mapping is already being done and overlaid with target villages. This should be used actively to avoid promoting DSR in places where agronomic or service conditions make success unlikely. Villages that are unsuitable for DSR can be targeted with other interventions.</w:t>
      </w:r>
    </w:p>
    <w:p w14:paraId="7D2C7957" w14:textId="77777777" w:rsidR="00D15D7A" w:rsidRDefault="00000000">
      <w:pPr>
        <w:spacing w:after="120"/>
      </w:pPr>
      <w:r>
        <w:t>A more strategic targeting framework could combine: low productivity, DSR suitability, lack of existing DSR service, presence of potential service providers, visibility/accessibility of demo sites, women-headed household density where inclusion is a priority, SHG presence, and potential for social-network spillovers.</w:t>
      </w:r>
    </w:p>
    <w:p w14:paraId="2E37EF60" w14:textId="77777777" w:rsidR="00D15D7A" w:rsidRDefault="00000000">
      <w:pPr>
        <w:pStyle w:val="Heading2"/>
      </w:pPr>
      <w:r>
        <w:t>4.4 Scaling vs accelerating scaling</w:t>
      </w:r>
    </w:p>
    <w:p w14:paraId="32E6F797" w14:textId="77777777" w:rsidR="00D15D7A" w:rsidRDefault="00000000">
      <w:pPr>
        <w:spacing w:after="120"/>
      </w:pPr>
      <w:r>
        <w:t>Richard suggested that DSR may already have the potential to scale organically over time because the benefits are visible and machinery demand is emerging. Therefore, the project may be more accurately framed as accelerating the scaling of DSR rather than creating scaling from scratch.</w:t>
      </w:r>
    </w:p>
    <w:p w14:paraId="61B51ACB" w14:textId="77777777" w:rsidR="00D15D7A" w:rsidRDefault="00000000">
      <w:pPr>
        <w:spacing w:after="120"/>
      </w:pPr>
      <w:r>
        <w:t>This distinction matters for policy advocacy. The government can be shown two possible curves: the slow organic adoption curve without intervention, and the accelerated curve with public investment, demonstrations, subsidies, and service ecosystem strengthening. This could help justify short-term public incentives and investments.</w:t>
      </w:r>
    </w:p>
    <w:p w14:paraId="7BD1CDC3" w14:textId="77777777" w:rsidR="00D15D7A" w:rsidRDefault="00000000">
      <w:pPr>
        <w:pStyle w:val="Heading2"/>
      </w:pPr>
      <w:r>
        <w:t>4.5 Multiplier effects and social network analysis</w:t>
      </w:r>
    </w:p>
    <w:p w14:paraId="3ACFA0E2" w14:textId="77777777" w:rsidR="00D15D7A" w:rsidRDefault="00000000">
      <w:pPr>
        <w:spacing w:after="120"/>
      </w:pPr>
      <w:r>
        <w:t>The project appears to assume a multiplier effect: farmers directly reached through demonstrations or clusters will influence neighboring farmers. This is reasonable, but the assumption should be validated. The team discussed whether a one-to-three or one-to-four multiplier has been used in the proposal, and Richard suggested checking this empirically in early demo sites.</w:t>
      </w:r>
    </w:p>
    <w:p w14:paraId="4A5BDF6F" w14:textId="77777777" w:rsidR="00D15D7A" w:rsidRDefault="00000000">
      <w:pPr>
        <w:spacing w:after="120"/>
      </w:pPr>
      <w:r>
        <w:t>Social network analysis could strengthen the cluster strategy. Rather than selecting demonstration farmers only to be representative, the project should also consider who is influential. In some communities, larger farmers may influence small farmers. In others, caste, religion, kinship, SHGs, or local leadership may shape influence pathways. Selecting the right demonstration farmers can improve secondary adoption.</w:t>
      </w:r>
    </w:p>
    <w:p w14:paraId="41977D4A" w14:textId="77777777" w:rsidR="00D15D7A" w:rsidRDefault="00000000">
      <w:pPr>
        <w:pStyle w:val="Heading2"/>
      </w:pPr>
      <w:r>
        <w:t>4.6 Machinery companies and dealers should be more active</w:t>
      </w:r>
    </w:p>
    <w:p w14:paraId="6BAE6329" w14:textId="77777777" w:rsidR="00D15D7A" w:rsidRDefault="00000000">
      <w:pPr>
        <w:spacing w:after="120"/>
      </w:pPr>
      <w:r>
        <w:t>A major coaching point was that machinery manufacturers and dealers appear insufficiently integrated into implementation. They may attend meetings, but they should be more actively involved in demonstrations, operator training, after-sales support, spare parts, repairs, and farmer/service-provider confidence-building.</w:t>
      </w:r>
    </w:p>
    <w:p w14:paraId="1C1F0F96" w14:textId="77777777" w:rsidR="00D15D7A" w:rsidRDefault="00000000">
      <w:pPr>
        <w:spacing w:after="120"/>
      </w:pPr>
      <w:r>
        <w:lastRenderedPageBreak/>
        <w:t>One proposal was to use subsidy eligibility as leverage. If a machinery company wants its specific machine included in subsidy programs or promoted through the project, it should contribute to demonstrations, training, product support, after-sales service, and repair capacity. This would align public incentives with private sector responsibilities.</w:t>
      </w:r>
    </w:p>
    <w:p w14:paraId="6EA5B259" w14:textId="77777777" w:rsidR="00D15D7A" w:rsidRDefault="00000000">
      <w:pPr>
        <w:spacing w:after="120"/>
      </w:pPr>
      <w:r>
        <w:t>Dealers may also be important as knowledge providers. Farmers and service providers may contact machinery dealers first when they have problems. If dealers are trained on DSR basics, machine calibration, and critical agronomic messages, they can become part of the support system rather than only sellers of equipment.</w:t>
      </w:r>
    </w:p>
    <w:p w14:paraId="65B7FDC3" w14:textId="77777777" w:rsidR="00D15D7A" w:rsidRDefault="00000000">
      <w:pPr>
        <w:pStyle w:val="Heading2"/>
      </w:pPr>
      <w:r>
        <w:t>4.7 Subsidies should be better targeted and time-bound</w:t>
      </w:r>
    </w:p>
    <w:p w14:paraId="5E8EFE60" w14:textId="77777777" w:rsidR="00D15D7A" w:rsidRDefault="00000000">
      <w:pPr>
        <w:spacing w:after="120"/>
      </w:pPr>
      <w:r>
        <w:t>The coaching discussion did not reject subsidies. Instead, it emphasized that subsidies should be catalytic, targeted, and linked to a transition pathway. Current lottery-type subsidy systems may not prioritize the farmers or service providers most likely to scale DSR services.</w:t>
      </w:r>
    </w:p>
    <w:p w14:paraId="2EC18F3A" w14:textId="77777777" w:rsidR="00D15D7A" w:rsidRDefault="00000000">
      <w:pPr>
        <w:spacing w:after="120"/>
      </w:pPr>
      <w:r>
        <w:t>A more targeted subsidy approach could prioritize medium-sized farmers or entrepreneurs with tractors but no seeders in low-productivity and DSR-suitable villages where service gaps exist. This would increase the probability that subsidies create functional DSR service provision rather than isolated machinery ownership.</w:t>
      </w:r>
    </w:p>
    <w:p w14:paraId="52A0828E" w14:textId="77777777" w:rsidR="00D15D7A" w:rsidRDefault="00000000">
      <w:pPr>
        <w:spacing w:after="120"/>
      </w:pPr>
      <w:r>
        <w:t>The team should also clarify when subsidies are expected to decline, what adoption or service-provider density is needed before they can phase out, and how private sector demand, carbon credits, or service-provider profitability will eventually sustain the system.</w:t>
      </w:r>
    </w:p>
    <w:p w14:paraId="72BD5D4C" w14:textId="77777777" w:rsidR="00D15D7A" w:rsidRDefault="00000000">
      <w:pPr>
        <w:pStyle w:val="Heading2"/>
      </w:pPr>
      <w:r>
        <w:t>4.8 CHCs may be the weakest institutional link</w:t>
      </w:r>
    </w:p>
    <w:p w14:paraId="65B11309" w14:textId="77777777" w:rsidR="00D15D7A" w:rsidRDefault="00000000">
      <w:pPr>
        <w:spacing w:after="120"/>
      </w:pPr>
      <w:r>
        <w:t>Richard expressed concern that CHCs, FPOs, and collective service models can vary widely in quality. Some will be strong, but others may be weak, inactive, poorly governed, or unable to manage service businesses. Providing a machine to a weak CHC will not necessarily produce reliable service delivery.</w:t>
      </w:r>
    </w:p>
    <w:p w14:paraId="553425CC" w14:textId="77777777" w:rsidR="00D15D7A" w:rsidRDefault="00000000">
      <w:pPr>
        <w:spacing w:after="120"/>
      </w:pPr>
      <w:r>
        <w:t>The recommendation was to treat CHC strengthening as a business and governance challenge, not only a technical-training issue. CHCs may need management training, leadership training, financial planning, booking systems, maintenance planning, customer service practices, and accountability systems. The team should distinguish strong CHCs from weak ones and avoid assuming that all CHCs can function equally well.</w:t>
      </w:r>
    </w:p>
    <w:p w14:paraId="4C9AE1AB" w14:textId="77777777" w:rsidR="00D15D7A" w:rsidRDefault="00000000">
      <w:pPr>
        <w:spacing w:after="120"/>
      </w:pPr>
      <w:r>
        <w:t>The project should experiment with different service-provider models: individual PSPs, FPO-led CHCs, PACS-linked CHCs, women-led CHCs, SHG-sponsored service models, private dealer-linked service providers, and hybrid models. The aim is to learn which models work best under which conditions.</w:t>
      </w:r>
    </w:p>
    <w:p w14:paraId="6CD03FCD" w14:textId="77777777" w:rsidR="00D15D7A" w:rsidRDefault="00000000">
      <w:pPr>
        <w:pStyle w:val="Heading2"/>
      </w:pPr>
      <w:r>
        <w:t>4.9 Knowledge systems should not depend only on project extension</w:t>
      </w:r>
    </w:p>
    <w:p w14:paraId="0C2C7DC8" w14:textId="77777777" w:rsidR="00D15D7A" w:rsidRDefault="00000000">
      <w:pPr>
        <w:spacing w:after="120"/>
      </w:pPr>
      <w:r>
        <w:t>The project has its own support organizations and field-level extension agents, which is a strength during implementation. However, the coaching discussion raised concerns about long-term sustainability after project support ends. If new farmers adopt through peer learning several years later, where will they get accurate advice?</w:t>
      </w:r>
    </w:p>
    <w:p w14:paraId="21E2211F" w14:textId="77777777" w:rsidR="00D15D7A" w:rsidRDefault="00000000">
      <w:pPr>
        <w:spacing w:after="120"/>
      </w:pPr>
      <w:r>
        <w:t>The solution is to diversify knowledge channels. Extension officers, project support organizations, machinery dealers, agrochemical dealers, input companies such as Bayer, private sector field staff, videos, WhatsApp groups, progressive farmers, and service providers can all reinforce correct practices if they are aligned around the same core messages.</w:t>
      </w:r>
    </w:p>
    <w:p w14:paraId="7B1D7654" w14:textId="77777777" w:rsidR="00D15D7A" w:rsidRDefault="00000000">
      <w:pPr>
        <w:spacing w:after="120"/>
      </w:pPr>
      <w:r>
        <w:t>The team should focus communications on the few practices that most affect success, especially water management and weed management. Digital tools are useful, but hands-on support is still required for high-fidelity adoption.</w:t>
      </w:r>
    </w:p>
    <w:p w14:paraId="34516D14" w14:textId="77777777" w:rsidR="00D15D7A" w:rsidRDefault="00000000">
      <w:pPr>
        <w:pStyle w:val="Heading2"/>
      </w:pPr>
      <w:r>
        <w:lastRenderedPageBreak/>
        <w:t>4.10 Private sector synergies: Bayer, ITC and others</w:t>
      </w:r>
    </w:p>
    <w:p w14:paraId="32D255C8" w14:textId="77777777" w:rsidR="00D15D7A" w:rsidRDefault="00000000">
      <w:pPr>
        <w:spacing w:after="120"/>
      </w:pPr>
      <w:r>
        <w:t>The coaching discussion noted that other actors are also scaling or preparing to scale DSR-related approaches, including Bayer and ITC. Bayer’s interest in input packages and DSR promotion could complement the project if recommendations are aligned with IRRI/UPAGREES guidance. ITC and CSR programs may also support sustainable agriculture practices.</w:t>
      </w:r>
    </w:p>
    <w:p w14:paraId="4A31B85E" w14:textId="77777777" w:rsidR="00D15D7A" w:rsidRDefault="00000000">
      <w:pPr>
        <w:spacing w:after="120"/>
      </w:pPr>
      <w:r>
        <w:t>The recommendation was to treat these actors as part of the broader scaling ecosystem. Their farmer reach, data, training systems, input distribution, and field staff could help accelerate adoption, provided the advice remains technically sound and does not fragment messages to farmers.</w:t>
      </w:r>
    </w:p>
    <w:p w14:paraId="707AB866" w14:textId="77777777" w:rsidR="00D15D7A" w:rsidRDefault="00000000">
      <w:pPr>
        <w:pStyle w:val="Heading2"/>
      </w:pPr>
      <w:r>
        <w:t>4.11 Crop insurance: useful but not a priority if it distracts</w:t>
      </w:r>
    </w:p>
    <w:p w14:paraId="2F01217C" w14:textId="77777777" w:rsidR="00D15D7A" w:rsidRDefault="00000000">
      <w:pPr>
        <w:spacing w:after="120"/>
      </w:pPr>
      <w:r>
        <w:t>Crop insurance was briefly discussed because public crop insurance schemes already exist. One idea was to encourage farmers to register, especially where climate or production risks remain. However, the team also recognized that adding insurance could create a new partnership and data burden that might distract from core strategies.</w:t>
      </w:r>
    </w:p>
    <w:p w14:paraId="596E5269" w14:textId="77777777" w:rsidR="00D15D7A" w:rsidRDefault="00000000">
      <w:pPr>
        <w:spacing w:after="120"/>
      </w:pPr>
      <w:r>
        <w:t>The practical conclusion was to keep insurance in view but not allow it to divert attention from the more immediate scaling issues: machinery access, service providers, weed/water management, farmer confidence, and policy incentives.</w:t>
      </w:r>
    </w:p>
    <w:p w14:paraId="785C611B" w14:textId="77777777" w:rsidR="00D15D7A" w:rsidRDefault="00000000">
      <w:pPr>
        <w:pStyle w:val="Heading2"/>
      </w:pPr>
      <w:r>
        <w:t>4.12 Gender inclusion should be substantive</w:t>
      </w:r>
    </w:p>
    <w:p w14:paraId="0B063648" w14:textId="77777777" w:rsidR="00D15D7A" w:rsidRDefault="00000000">
      <w:pPr>
        <w:spacing w:after="120"/>
      </w:pPr>
      <w:r>
        <w:t>The coaching discussion emphasized that gender inclusion should not be reduced to counting women in clusters. The key question is whether women have decision-making authority, access to services, control over benefits, and opportunities to participate as service providers or entrepreneurs.</w:t>
      </w:r>
    </w:p>
    <w:p w14:paraId="085D2A2C" w14:textId="77777777" w:rsidR="00D15D7A" w:rsidRDefault="00000000">
      <w:pPr>
        <w:spacing w:after="120"/>
      </w:pPr>
      <w:r>
        <w:t>Possible approaches include targeting villages with higher women-headed households, working through SHGs and federations, experimenting with women-led CHCs, reserving positions for women in CHC governance, and identifying women who are actually involved in rice farming and can influence adoption. The team should test whether women-specific models produce different outcomes than mixed models.</w:t>
      </w:r>
    </w:p>
    <w:p w14:paraId="79278E6E" w14:textId="77777777" w:rsidR="00D15D7A" w:rsidRDefault="00000000">
      <w:pPr>
        <w:pStyle w:val="Heading1"/>
      </w:pPr>
      <w:r>
        <w:t>5. Key bottlenecks and challenges identified</w:t>
      </w:r>
    </w:p>
    <w:p w14:paraId="7D9017DB" w14:textId="77777777" w:rsidR="00D15D7A" w:rsidRDefault="00000000">
      <w:pPr>
        <w:pStyle w:val="ListBullet"/>
      </w:pPr>
      <w:r>
        <w:t>Machinery access is limited and the current subsidy system may not prioritize DSR-specific machines or the most strategic service providers.</w:t>
      </w:r>
    </w:p>
    <w:p w14:paraId="1BF01D2E" w14:textId="77777777" w:rsidR="00D15D7A" w:rsidRDefault="00000000">
      <w:pPr>
        <w:pStyle w:val="ListBullet"/>
      </w:pPr>
      <w:r>
        <w:t>CHCs, FPOs, PACS and PSPs are essential for smallholder access, but their business and governance capacity varies.</w:t>
      </w:r>
    </w:p>
    <w:p w14:paraId="659C217C" w14:textId="77777777" w:rsidR="00D15D7A" w:rsidRDefault="00000000">
      <w:pPr>
        <w:pStyle w:val="ListBullet"/>
      </w:pPr>
      <w:r>
        <w:t>DSR is knowledge-intensive; poor fidelity in water management, weed management, herbicide timing, soil moisture, or machine operation can reduce benefits.</w:t>
      </w:r>
    </w:p>
    <w:p w14:paraId="31BD7F98" w14:textId="77777777" w:rsidR="00D15D7A" w:rsidRDefault="00000000">
      <w:pPr>
        <w:pStyle w:val="ListBullet"/>
      </w:pPr>
      <w:r>
        <w:t>Farmer trust is still a barrier because DSR differs from long-established practices and is perceived as risky.</w:t>
      </w:r>
    </w:p>
    <w:p w14:paraId="4DD4B320" w14:textId="77777777" w:rsidR="00D15D7A" w:rsidRDefault="00000000">
      <w:pPr>
        <w:pStyle w:val="ListBullet"/>
      </w:pPr>
      <w:r>
        <w:t>Service-provider profitability depends on sufficient local demand, trained operators, maintenance systems, and fast access to spare parts.</w:t>
      </w:r>
    </w:p>
    <w:p w14:paraId="73E8A259" w14:textId="77777777" w:rsidR="00D15D7A" w:rsidRDefault="00000000">
      <w:pPr>
        <w:pStyle w:val="ListBullet"/>
      </w:pPr>
      <w:r>
        <w:t>Digital outreach can spread messages but may not be enough for a sophisticated practice that requires hands-on execution.</w:t>
      </w:r>
    </w:p>
    <w:p w14:paraId="3EA9145D" w14:textId="77777777" w:rsidR="00D15D7A" w:rsidRDefault="00000000">
      <w:pPr>
        <w:pStyle w:val="ListBullet"/>
      </w:pPr>
      <w:r>
        <w:t>Current subsidy and incentive systems may not have a clear transition or phase-out pathway.</w:t>
      </w:r>
    </w:p>
    <w:p w14:paraId="777EFA24" w14:textId="77777777" w:rsidR="00D15D7A" w:rsidRDefault="00000000">
      <w:pPr>
        <w:pStyle w:val="ListBullet"/>
      </w:pPr>
      <w:r>
        <w:t>Gender inclusion risks becoming tokenistic unless women are targeted as real decision-makers, service users, and service providers.</w:t>
      </w:r>
    </w:p>
    <w:p w14:paraId="5D4F266C" w14:textId="77777777" w:rsidR="00D15D7A" w:rsidRDefault="00000000">
      <w:pPr>
        <w:pStyle w:val="ListBullet"/>
      </w:pPr>
      <w:r>
        <w:lastRenderedPageBreak/>
        <w:t>Suitability varies by soil, irrigation, residue condition, service availability, and machine access, so blanket promotion is risky.</w:t>
      </w:r>
    </w:p>
    <w:p w14:paraId="4081D414" w14:textId="77777777" w:rsidR="00D15D7A" w:rsidRDefault="00000000">
      <w:pPr>
        <w:pStyle w:val="ListBullet"/>
      </w:pPr>
      <w:r>
        <w:t>Private sector actors are present but not yet fully integrated into service delivery, training, after-sales support, and repair systems.</w:t>
      </w:r>
    </w:p>
    <w:p w14:paraId="4FB1CABF" w14:textId="77777777" w:rsidR="00D15D7A" w:rsidRDefault="00000000">
      <w:pPr>
        <w:pStyle w:val="ListBullet"/>
      </w:pPr>
      <w:r>
        <w:t>Farmer and service-provider finance requires better awareness of KCC, mechanization schemes, scale-of-finance inclusion, unit costs, and potentially minimum business guarantees.</w:t>
      </w:r>
    </w:p>
    <w:p w14:paraId="72BBE62A" w14:textId="77777777" w:rsidR="00D15D7A" w:rsidRDefault="00000000">
      <w:pPr>
        <w:pStyle w:val="ListBullet"/>
      </w:pPr>
      <w:r>
        <w:t>The project needs stronger evidence on multiplier effects, sustained adoption, dropouts, and the distribution of outcomes under real farmer conditions.</w:t>
      </w:r>
    </w:p>
    <w:p w14:paraId="2D79BEDD" w14:textId="77777777" w:rsidR="00D15D7A" w:rsidRDefault="00000000">
      <w:pPr>
        <w:pStyle w:val="Heading1"/>
      </w:pPr>
      <w:r>
        <w:t>6. Solutions proposed and discussed</w:t>
      </w:r>
    </w:p>
    <w:p w14:paraId="329BE373" w14:textId="77777777" w:rsidR="00D15D7A" w:rsidRDefault="00000000">
      <w:pPr>
        <w:pStyle w:val="ListBullet"/>
      </w:pPr>
      <w:r>
        <w:t>Establish or strengthen district/regional convergence platforms that coordinate seed, machinery, agrochemical, procurement, finance, extension, CHCs, FPOs, PSPs, and government actors.</w:t>
      </w:r>
    </w:p>
    <w:p w14:paraId="21719157" w14:textId="77777777" w:rsidR="00D15D7A" w:rsidRDefault="00000000">
      <w:pPr>
        <w:pStyle w:val="ListBullet"/>
      </w:pPr>
      <w:r>
        <w:t>Conduct stakeholder capacity mapping, not just stakeholder listing, to identify who can implement, support, influence, finance, or sustain different parts of the package.</w:t>
      </w:r>
    </w:p>
    <w:p w14:paraId="1CE172ED" w14:textId="77777777" w:rsidR="00D15D7A" w:rsidRDefault="00000000">
      <w:pPr>
        <w:pStyle w:val="ListBullet"/>
      </w:pPr>
      <w:r>
        <w:t>Use suitability mapping to prioritize areas where DSR is likely to perform well and where the service ecosystem can be built.</w:t>
      </w:r>
    </w:p>
    <w:p w14:paraId="1002AA0B" w14:textId="77777777" w:rsidR="00D15D7A" w:rsidRDefault="00000000">
      <w:pPr>
        <w:pStyle w:val="ListBullet"/>
      </w:pPr>
      <w:r>
        <w:t>Adopt cluster-based demonstrations and exposure visits so farmers can directly compare DSR with conventional practice.</w:t>
      </w:r>
    </w:p>
    <w:p w14:paraId="51422776" w14:textId="77777777" w:rsidR="00D15D7A" w:rsidRDefault="00000000">
      <w:pPr>
        <w:pStyle w:val="ListBullet"/>
      </w:pPr>
      <w:r>
        <w:t>Train operators, master trainers, CHC managers, extension agents, support organizations, machinery dealers, input dealers, and progressive farmers.</w:t>
      </w:r>
    </w:p>
    <w:p w14:paraId="71F0ADEF" w14:textId="77777777" w:rsidR="00D15D7A" w:rsidRDefault="00000000">
      <w:pPr>
        <w:pStyle w:val="ListBullet"/>
      </w:pPr>
      <w:r>
        <w:t>Develop short, practical knowledge products focused on the most critical success factors, especially water and weed management.</w:t>
      </w:r>
    </w:p>
    <w:p w14:paraId="394DA262" w14:textId="77777777" w:rsidR="00D15D7A" w:rsidRDefault="00000000">
      <w:pPr>
        <w:pStyle w:val="ListBullet"/>
      </w:pPr>
      <w:r>
        <w:t>Integrate DSR costs into scale-of-finance guidelines and include DSR implements in unit-cost guidance for banks and NABARD-type processes.</w:t>
      </w:r>
    </w:p>
    <w:p w14:paraId="725B6D7A" w14:textId="77777777" w:rsidR="00D15D7A" w:rsidRDefault="00000000">
      <w:pPr>
        <w:pStyle w:val="ListBullet"/>
      </w:pPr>
      <w:r>
        <w:t>Improve awareness of KCC, mechanization schemes, and existing subsidy or credit options.</w:t>
      </w:r>
    </w:p>
    <w:p w14:paraId="3883E665" w14:textId="77777777" w:rsidR="00D15D7A" w:rsidRDefault="00000000">
      <w:pPr>
        <w:pStyle w:val="ListBullet"/>
      </w:pPr>
      <w:r>
        <w:t>Create targeted machinery subsidies for DSR-related machines and for strategically important service providers, especially tractor owners in service gaps.</w:t>
      </w:r>
    </w:p>
    <w:p w14:paraId="372A7AF2" w14:textId="77777777" w:rsidR="00D15D7A" w:rsidRDefault="00000000">
      <w:pPr>
        <w:pStyle w:val="ListBullet"/>
      </w:pPr>
      <w:r>
        <w:t>Consider direct DSR adoption incentives and service-provider incentives or minimum business guarantees during early scaling.</w:t>
      </w:r>
    </w:p>
    <w:p w14:paraId="73BB6FFA" w14:textId="77777777" w:rsidR="00D15D7A" w:rsidRDefault="00000000">
      <w:pPr>
        <w:pStyle w:val="ListBullet"/>
      </w:pPr>
      <w:r>
        <w:t>Use public incentives as catalytic and time-bound support while building a self-sustaining service economy.</w:t>
      </w:r>
    </w:p>
    <w:p w14:paraId="78C3B065" w14:textId="77777777" w:rsidR="00D15D7A" w:rsidRDefault="00000000">
      <w:pPr>
        <w:pStyle w:val="ListBullet"/>
      </w:pPr>
      <w:r>
        <w:t>Bring machinery companies and dealers into demonstrations, after-sales support, repair, maintenance, and spare parts systems.</w:t>
      </w:r>
    </w:p>
    <w:p w14:paraId="06530629" w14:textId="77777777" w:rsidR="00D15D7A" w:rsidRDefault="00000000">
      <w:pPr>
        <w:pStyle w:val="ListBullet"/>
      </w:pPr>
      <w:r>
        <w:t>Experiment with women-led CHCs, SHG-based models, and women farmer networks, while tracking real benefits rather than only participation counts.</w:t>
      </w:r>
    </w:p>
    <w:p w14:paraId="3A2002ED" w14:textId="77777777" w:rsidR="00D15D7A" w:rsidRDefault="00000000">
      <w:pPr>
        <w:pStyle w:val="ListBullet"/>
      </w:pPr>
      <w:r>
        <w:t>Validate assumptions on multiplier effects, sustained adoption, and dropouts through early monitoring.</w:t>
      </w:r>
    </w:p>
    <w:p w14:paraId="791D0221" w14:textId="77777777" w:rsidR="00D15D7A" w:rsidRDefault="00000000">
      <w:pPr>
        <w:pStyle w:val="ListBullet"/>
      </w:pPr>
      <w:r>
        <w:t>Coordinate with private actors such as Bayer, ITC, input dealers, machinery firms, and CSR programs to align messages and leverage additional reach.</w:t>
      </w:r>
    </w:p>
    <w:p w14:paraId="68E7A97E" w14:textId="77777777" w:rsidR="00D15D7A" w:rsidRDefault="00000000">
      <w:pPr>
        <w:pStyle w:val="Heading1"/>
      </w:pPr>
      <w:r>
        <w:lastRenderedPageBreak/>
        <w:t>7. Lessons learned for this scaling solution</w:t>
      </w:r>
    </w:p>
    <w:p w14:paraId="1A5E2A35" w14:textId="77777777" w:rsidR="00D15D7A" w:rsidRDefault="00000000">
      <w:pPr>
        <w:pStyle w:val="Heading2"/>
      </w:pPr>
      <w:r>
        <w:t>Lesson 1: Strong technical evidence helps, but credible messengers matter.</w:t>
      </w:r>
    </w:p>
    <w:p w14:paraId="2985E828" w14:textId="77777777" w:rsidR="00D15D7A" w:rsidRDefault="00000000">
      <w:pPr>
        <w:spacing w:after="120"/>
      </w:pPr>
      <w:r>
        <w:t>The track benefits from endorsement by respected institutions and public partners. For scaling, evidence must be credible not only scientifically but also socially and institutionally.</w:t>
      </w:r>
    </w:p>
    <w:p w14:paraId="11280327" w14:textId="77777777" w:rsidR="00D15D7A" w:rsidRDefault="00000000">
      <w:pPr>
        <w:pStyle w:val="Heading2"/>
      </w:pPr>
      <w:r>
        <w:t>Lesson 2: Visibility is a major advantage.</w:t>
      </w:r>
    </w:p>
    <w:p w14:paraId="470DA09F" w14:textId="77777777" w:rsidR="00D15D7A" w:rsidRDefault="00000000">
      <w:pPr>
        <w:spacing w:after="120"/>
      </w:pPr>
      <w:r>
        <w:t>Farmers can see the difference between DSR and puddled transplanted rice. This makes demonstrations and peer learning especially powerful.</w:t>
      </w:r>
    </w:p>
    <w:p w14:paraId="70D7C91A" w14:textId="77777777" w:rsidR="00D15D7A" w:rsidRDefault="00000000">
      <w:pPr>
        <w:pStyle w:val="Heading2"/>
      </w:pPr>
      <w:r>
        <w:t>Lesson 3: DSR is not a simple product substitution.</w:t>
      </w:r>
    </w:p>
    <w:p w14:paraId="214AE661" w14:textId="77777777" w:rsidR="00D15D7A" w:rsidRDefault="00000000">
      <w:pPr>
        <w:spacing w:after="120"/>
      </w:pPr>
      <w:r>
        <w:t>The practice requires correct timing and management. The project must manage fidelity carefully as it scales beyond closely supervised demonstrations.</w:t>
      </w:r>
    </w:p>
    <w:p w14:paraId="5174DB7F" w14:textId="77777777" w:rsidR="00D15D7A" w:rsidRDefault="00000000">
      <w:pPr>
        <w:pStyle w:val="Heading2"/>
      </w:pPr>
      <w:r>
        <w:t>Lesson 4: Service delivery is the pathway to smallholder adoption.</w:t>
      </w:r>
    </w:p>
    <w:p w14:paraId="0B158330" w14:textId="77777777" w:rsidR="00D15D7A" w:rsidRDefault="00000000">
      <w:pPr>
        <w:spacing w:after="120"/>
      </w:pPr>
      <w:r>
        <w:t>Because most smallholders cannot buy machinery, the quality of CHCs, PSPs, FPOs, PACS and operators will determine whether the innovation reaches farmers affordably and reliably.</w:t>
      </w:r>
    </w:p>
    <w:p w14:paraId="53567911" w14:textId="77777777" w:rsidR="00D15D7A" w:rsidRDefault="00000000">
      <w:pPr>
        <w:pStyle w:val="Heading2"/>
      </w:pPr>
      <w:r>
        <w:t>Lesson 5: Subsidies can accelerate adoption but must be strategic.</w:t>
      </w:r>
    </w:p>
    <w:p w14:paraId="376F5698" w14:textId="77777777" w:rsidR="00D15D7A" w:rsidRDefault="00000000">
      <w:pPr>
        <w:spacing w:after="120"/>
      </w:pPr>
      <w:r>
        <w:t>Subsidies and incentives should target the actors and locations most likely to build service capacity, and they should have a transition logic toward commercial viability.</w:t>
      </w:r>
    </w:p>
    <w:p w14:paraId="4559E1C1" w14:textId="77777777" w:rsidR="00D15D7A" w:rsidRDefault="00000000">
      <w:pPr>
        <w:pStyle w:val="Heading2"/>
      </w:pPr>
      <w:r>
        <w:t>Lesson 6: The multiplier effect should be designed, not assumed.</w:t>
      </w:r>
    </w:p>
    <w:p w14:paraId="24368F78" w14:textId="77777777" w:rsidR="00D15D7A" w:rsidRDefault="00000000">
      <w:pPr>
        <w:spacing w:after="120"/>
      </w:pPr>
      <w:r>
        <w:t>Demonstration farmers and clusters should be selected partly for their influence and visibility. Social networks can make or break secondary adoption.</w:t>
      </w:r>
    </w:p>
    <w:p w14:paraId="5C2AA6B7" w14:textId="77777777" w:rsidR="00D15D7A" w:rsidRDefault="00000000">
      <w:pPr>
        <w:pStyle w:val="Heading2"/>
      </w:pPr>
      <w:r>
        <w:t>Lesson 7: Gender inclusion needs experimentation.</w:t>
      </w:r>
    </w:p>
    <w:p w14:paraId="6B4A9631" w14:textId="77777777" w:rsidR="00D15D7A" w:rsidRDefault="00000000">
      <w:pPr>
        <w:spacing w:after="120"/>
      </w:pPr>
      <w:r>
        <w:t>The project should test different women-focused delivery models and measure whether women benefit substantively, not only whether they attend trainings.</w:t>
      </w:r>
    </w:p>
    <w:p w14:paraId="2770BC3B" w14:textId="77777777" w:rsidR="00D15D7A" w:rsidRDefault="00000000">
      <w:pPr>
        <w:pStyle w:val="Heading1"/>
      </w:pPr>
      <w:r>
        <w:t>8. Primary risks and concerns</w:t>
      </w:r>
    </w:p>
    <w:p w14:paraId="2AF1E29A" w14:textId="77777777" w:rsidR="00D15D7A" w:rsidRDefault="00000000">
      <w:pPr>
        <w:pStyle w:val="ListBullet"/>
      </w:pPr>
      <w:r>
        <w:t>Adoption quality risk: farmers or operators may apply DSR incorrectly, leading to poor yields and negative reputation effects.</w:t>
      </w:r>
    </w:p>
    <w:p w14:paraId="1C8EE625" w14:textId="77777777" w:rsidR="00D15D7A" w:rsidRDefault="00000000">
      <w:pPr>
        <w:pStyle w:val="ListBullet"/>
      </w:pPr>
      <w:r>
        <w:t>Service-provider risk: CHCs or PSPs may lack the business capacity to deliver timely, reliable, profitable services.</w:t>
      </w:r>
    </w:p>
    <w:p w14:paraId="311FD5C3" w14:textId="77777777" w:rsidR="00D15D7A" w:rsidRDefault="00000000">
      <w:pPr>
        <w:pStyle w:val="ListBullet"/>
      </w:pPr>
      <w:r>
        <w:t>Machinery downtime risk: weak repair and spare parts systems could disrupt planting windows.</w:t>
      </w:r>
    </w:p>
    <w:p w14:paraId="2D5855C9" w14:textId="77777777" w:rsidR="00D15D7A" w:rsidRDefault="00000000">
      <w:pPr>
        <w:pStyle w:val="ListBullet"/>
      </w:pPr>
      <w:r>
        <w:t>Subsidy-dependency risk: the system may not transition to private-sector-led service delivery if subsidies remain the main driver.</w:t>
      </w:r>
    </w:p>
    <w:p w14:paraId="30DFBF7C" w14:textId="77777777" w:rsidR="00D15D7A" w:rsidRDefault="00000000">
      <w:pPr>
        <w:pStyle w:val="ListBullet"/>
      </w:pPr>
      <w:r>
        <w:t>Targeting risk: promotion in unsuitable areas could create failures that damage farmer confidence.</w:t>
      </w:r>
    </w:p>
    <w:p w14:paraId="12C1CC1F" w14:textId="77777777" w:rsidR="00D15D7A" w:rsidRDefault="00000000">
      <w:pPr>
        <w:pStyle w:val="ListBullet"/>
      </w:pPr>
      <w:r>
        <w:t>Inclusion risk: benefits may be captured by larger farmers or better-connected service providers unless targeting is deliberate.</w:t>
      </w:r>
    </w:p>
    <w:p w14:paraId="2FC06D19" w14:textId="77777777" w:rsidR="00D15D7A" w:rsidRDefault="00000000">
      <w:pPr>
        <w:pStyle w:val="ListBullet"/>
      </w:pPr>
      <w:r>
        <w:t>Gender tokenism risk: women may be counted without gaining decision power, income, or service access.</w:t>
      </w:r>
    </w:p>
    <w:p w14:paraId="04261587" w14:textId="77777777" w:rsidR="00D15D7A" w:rsidRDefault="00000000">
      <w:pPr>
        <w:pStyle w:val="ListBullet"/>
      </w:pPr>
      <w:r>
        <w:t>Coordination risk: many actors exist, but fragmented delivery could confuse farmers or duplicate effort.</w:t>
      </w:r>
    </w:p>
    <w:p w14:paraId="44148D6C" w14:textId="77777777" w:rsidR="00D15D7A" w:rsidRDefault="00000000">
      <w:pPr>
        <w:pStyle w:val="ListBullet"/>
      </w:pPr>
      <w:r>
        <w:t>Private-sector misalignment risk: input, machinery, and service companies may promote products without consistent agronomic guidance.</w:t>
      </w:r>
    </w:p>
    <w:p w14:paraId="6382369C" w14:textId="77777777" w:rsidR="00D15D7A" w:rsidRDefault="00000000">
      <w:pPr>
        <w:pStyle w:val="ListBullet"/>
      </w:pPr>
      <w:r>
        <w:lastRenderedPageBreak/>
        <w:t>Evidence risk: the team may not yet have enough evidence on fidelity, multiplier effects, service-provider profitability, dropout rates, and long-term adoption.</w:t>
      </w:r>
    </w:p>
    <w:p w14:paraId="1575D85D" w14:textId="77777777" w:rsidR="00D15D7A" w:rsidRDefault="00000000">
      <w:pPr>
        <w:pStyle w:val="Heading1"/>
      </w:pPr>
      <w:r>
        <w:t>9. What to continue, improve, and stop or avoid</w:t>
      </w:r>
    </w:p>
    <w:p w14:paraId="64FA2B85" w14:textId="77777777" w:rsidR="00D15D7A" w:rsidRDefault="00000000">
      <w:pPr>
        <w:pStyle w:val="Heading2"/>
      </w:pPr>
      <w:r>
        <w:t>Continue</w:t>
      </w:r>
    </w:p>
    <w:p w14:paraId="6C646EF2" w14:textId="77777777" w:rsidR="00D15D7A" w:rsidRDefault="00000000">
      <w:pPr>
        <w:pStyle w:val="ListBullet"/>
      </w:pPr>
      <w:r>
        <w:t>Continue using visible cluster demonstrations because they fit the "seeing is believing" nature of DSR.</w:t>
      </w:r>
    </w:p>
    <w:p w14:paraId="64012DC0" w14:textId="77777777" w:rsidR="00D15D7A" w:rsidRDefault="00000000">
      <w:pPr>
        <w:pStyle w:val="ListBullet"/>
      </w:pPr>
      <w:r>
        <w:t>Continue positioning DSR plus ZT wheat as a full rice-wheat system optimization package, not as a single technology.</w:t>
      </w:r>
    </w:p>
    <w:p w14:paraId="1C451810" w14:textId="77777777" w:rsidR="00D15D7A" w:rsidRDefault="00000000">
      <w:pPr>
        <w:pStyle w:val="ListBullet"/>
      </w:pPr>
      <w:r>
        <w:t>Continue embedding the work in the UPAGREES and government platform, because public investment and policy alignment are major strengths.</w:t>
      </w:r>
    </w:p>
    <w:p w14:paraId="21B8D436" w14:textId="77777777" w:rsidR="00D15D7A" w:rsidRDefault="00000000">
      <w:pPr>
        <w:pStyle w:val="ListBullet"/>
      </w:pPr>
      <w:r>
        <w:t>Continue building the convergence platform and bringing public, private, research, finance, FPO, CHC, and extension actors together.</w:t>
      </w:r>
    </w:p>
    <w:p w14:paraId="4AB1F083" w14:textId="77777777" w:rsidR="00D15D7A" w:rsidRDefault="00000000">
      <w:pPr>
        <w:pStyle w:val="ListBullet"/>
      </w:pPr>
      <w:r>
        <w:t>Continue focusing on water and weed management as critical technical messages.</w:t>
      </w:r>
    </w:p>
    <w:p w14:paraId="2764A3B7" w14:textId="77777777" w:rsidR="00D15D7A" w:rsidRDefault="00000000">
      <w:pPr>
        <w:pStyle w:val="Heading2"/>
      </w:pPr>
      <w:r>
        <w:t>Improve</w:t>
      </w:r>
    </w:p>
    <w:p w14:paraId="5AE959F4" w14:textId="77777777" w:rsidR="00D15D7A" w:rsidRDefault="00000000">
      <w:pPr>
        <w:pStyle w:val="ListBullet"/>
      </w:pPr>
      <w:r>
        <w:t>Sharpen targeting by combining productivity, DSR suitability, service gaps, potential PSPs, demo visibility, and social-network influence.</w:t>
      </w:r>
    </w:p>
    <w:p w14:paraId="452CC181" w14:textId="77777777" w:rsidR="00D15D7A" w:rsidRDefault="00000000">
      <w:pPr>
        <w:pStyle w:val="ListBullet"/>
      </w:pPr>
      <w:r>
        <w:t>Strengthen machinery dealer and manufacturer roles in demonstrations, training, spare parts, repairs, and after-sales service.</w:t>
      </w:r>
    </w:p>
    <w:p w14:paraId="61083FDD" w14:textId="77777777" w:rsidR="00D15D7A" w:rsidRDefault="00000000">
      <w:pPr>
        <w:pStyle w:val="ListBullet"/>
      </w:pPr>
      <w:r>
        <w:t>Develop CHC/PSP business incubation support, not just technical training.</w:t>
      </w:r>
    </w:p>
    <w:p w14:paraId="1486DE80" w14:textId="77777777" w:rsidR="00D15D7A" w:rsidRDefault="00000000">
      <w:pPr>
        <w:pStyle w:val="ListBullet"/>
      </w:pPr>
      <w:r>
        <w:t>Create a clearer subsidy strategy that includes targeting, transition, and phase-out logic.</w:t>
      </w:r>
    </w:p>
    <w:p w14:paraId="1512867B" w14:textId="77777777" w:rsidR="00D15D7A" w:rsidRDefault="00000000">
      <w:pPr>
        <w:pStyle w:val="ListBullet"/>
      </w:pPr>
      <w:r>
        <w:t>Build an evidence agenda on fidelity, partial adoption, multiplier effects, sustained use, dropouts, and profitability.</w:t>
      </w:r>
    </w:p>
    <w:p w14:paraId="02BDD615" w14:textId="77777777" w:rsidR="00D15D7A" w:rsidRDefault="00000000">
      <w:pPr>
        <w:pStyle w:val="ListBullet"/>
      </w:pPr>
      <w:r>
        <w:t>Integrate gender into the business and service model through women-led or SHG-linked experiments, not only through participation targets.</w:t>
      </w:r>
    </w:p>
    <w:p w14:paraId="47CA9C59" w14:textId="77777777" w:rsidR="00D15D7A" w:rsidRDefault="00000000">
      <w:pPr>
        <w:pStyle w:val="ListBullet"/>
      </w:pPr>
      <w:r>
        <w:t>Align private-sector messages and data systems with the project so Bayer, ITC, machinery companies, input dealers, and other actors reinforce the same package.</w:t>
      </w:r>
    </w:p>
    <w:p w14:paraId="42DCEF6E" w14:textId="77777777" w:rsidR="00D15D7A" w:rsidRDefault="00000000">
      <w:pPr>
        <w:pStyle w:val="Heading2"/>
      </w:pPr>
      <w:r>
        <w:t>Stop or avoid</w:t>
      </w:r>
    </w:p>
    <w:p w14:paraId="30DA2B6C" w14:textId="77777777" w:rsidR="00D15D7A" w:rsidRDefault="00000000">
      <w:pPr>
        <w:pStyle w:val="ListBullet"/>
      </w:pPr>
      <w:r>
        <w:t>Avoid promoting DSR uniformly in areas that are not agronomically or institutionally suitable.</w:t>
      </w:r>
    </w:p>
    <w:p w14:paraId="3CC0AD9E" w14:textId="77777777" w:rsidR="00D15D7A" w:rsidRDefault="00000000">
      <w:pPr>
        <w:pStyle w:val="ListBullet"/>
      </w:pPr>
      <w:r>
        <w:t>Avoid assuming that a CHC or FPO is functional simply because it exists.</w:t>
      </w:r>
    </w:p>
    <w:p w14:paraId="46D16901" w14:textId="77777777" w:rsidR="00D15D7A" w:rsidRDefault="00000000">
      <w:pPr>
        <w:pStyle w:val="ListBullet"/>
      </w:pPr>
      <w:r>
        <w:t>Avoid relying only on project extension agents for long-term advice and support.</w:t>
      </w:r>
    </w:p>
    <w:p w14:paraId="6AB626B3" w14:textId="77777777" w:rsidR="00D15D7A" w:rsidRDefault="00000000">
      <w:pPr>
        <w:pStyle w:val="ListBullet"/>
      </w:pPr>
      <w:r>
        <w:t>Avoid treating digital outreach as a substitute for hands-on training and field learning.</w:t>
      </w:r>
    </w:p>
    <w:p w14:paraId="68F78AF9" w14:textId="77777777" w:rsidR="00D15D7A" w:rsidRDefault="00000000">
      <w:pPr>
        <w:pStyle w:val="ListBullet"/>
      </w:pPr>
      <w:r>
        <w:t>Avoid adding too many new components, such as insurance or carbon credits, before the core service-delivery system is working.</w:t>
      </w:r>
    </w:p>
    <w:p w14:paraId="665D6F78" w14:textId="73AADFAC" w:rsidR="00D15D7A" w:rsidRDefault="00000000" w:rsidP="00A554CC">
      <w:pPr>
        <w:pStyle w:val="ListBullet"/>
      </w:pPr>
      <w:r>
        <w:t>Avoid check-the-box gender inclusion that does not translate into real control, benefit, or decision-making power for women.</w:t>
      </w:r>
    </w:p>
    <w:sectPr w:rsidR="00D15D7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1EB3F" w14:textId="77777777" w:rsidR="00651105" w:rsidRDefault="00651105">
      <w:pPr>
        <w:spacing w:after="0" w:line="240" w:lineRule="auto"/>
      </w:pPr>
      <w:r>
        <w:separator/>
      </w:r>
    </w:p>
  </w:endnote>
  <w:endnote w:type="continuationSeparator" w:id="0">
    <w:p w14:paraId="34734F34" w14:textId="77777777" w:rsidR="00651105" w:rsidRDefault="00651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BAE28" w14:textId="77777777" w:rsidR="00D15D7A" w:rsidRDefault="00000000">
    <w:pPr>
      <w:pStyle w:val="Footer"/>
      <w:jc w:val="center"/>
    </w:pPr>
    <w:r>
      <w:t>Rice-Wheat Systems India - Coaching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33588" w14:textId="77777777" w:rsidR="00651105" w:rsidRDefault="00651105">
      <w:pPr>
        <w:spacing w:after="0" w:line="240" w:lineRule="auto"/>
      </w:pPr>
      <w:r>
        <w:separator/>
      </w:r>
    </w:p>
  </w:footnote>
  <w:footnote w:type="continuationSeparator" w:id="0">
    <w:p w14:paraId="78B02F59" w14:textId="77777777" w:rsidR="00651105" w:rsidRDefault="00651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801385">
    <w:abstractNumId w:val="8"/>
  </w:num>
  <w:num w:numId="2" w16cid:durableId="947154578">
    <w:abstractNumId w:val="6"/>
  </w:num>
  <w:num w:numId="3" w16cid:durableId="1383797223">
    <w:abstractNumId w:val="5"/>
  </w:num>
  <w:num w:numId="4" w16cid:durableId="617838601">
    <w:abstractNumId w:val="4"/>
  </w:num>
  <w:num w:numId="5" w16cid:durableId="660739889">
    <w:abstractNumId w:val="7"/>
  </w:num>
  <w:num w:numId="6" w16cid:durableId="1734043950">
    <w:abstractNumId w:val="3"/>
  </w:num>
  <w:num w:numId="7" w16cid:durableId="664170272">
    <w:abstractNumId w:val="2"/>
  </w:num>
  <w:num w:numId="8" w16cid:durableId="216086987">
    <w:abstractNumId w:val="1"/>
  </w:num>
  <w:num w:numId="9" w16cid:durableId="171562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105"/>
    <w:rsid w:val="00A554CC"/>
    <w:rsid w:val="00AA1D8D"/>
    <w:rsid w:val="00B47730"/>
    <w:rsid w:val="00CB0664"/>
    <w:rsid w:val="00D15D7A"/>
    <w:rsid w:val="00D556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59981"/>
  <w14:defaultImageDpi w14:val="300"/>
  <w15:docId w15:val="{3923EDB0-C4F3-4B10-AA40-ADAD2B5E9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5243</Words>
  <Characters>29888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Otieno, Felix Owino (Alliance Bioversity-CIAT)</cp:lastModifiedBy>
  <cp:revision>2</cp:revision>
  <dcterms:created xsi:type="dcterms:W3CDTF">2013-12-23T23:15:00Z</dcterms:created>
  <dcterms:modified xsi:type="dcterms:W3CDTF">2026-07-06T22:06:00Z</dcterms:modified>
  <cp:category/>
</cp:coreProperties>
</file>