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80"/>
        <w:jc w:val="center"/>
      </w:pPr>
      <w:r>
        <w:rPr>
          <w:rFonts w:ascii="Aptos Display" w:hAnsi="Aptos Display"/>
          <w:b/>
          <w:color w:val="1F374E"/>
          <w:sz w:val="48"/>
        </w:rPr>
        <w:t>FORAGE-BASED LIVESTOCK FEED INNOVATION</w:t>
        <w:br/>
        <w:t>EASTERN PROVINCE, ZAMBIA</w:t>
      </w:r>
    </w:p>
    <w:p>
      <w:pPr>
        <w:spacing w:after="320"/>
        <w:jc w:val="center"/>
      </w:pPr>
      <w:r>
        <w:rPr>
          <w:rFonts w:ascii="Aptos Display" w:hAnsi="Aptos Display"/>
          <w:b/>
          <w:color w:val="266F76"/>
          <w:sz w:val="32"/>
        </w:rPr>
        <w:t>Comprehensive Partner Engagement and Coaching Notes</w:t>
      </w:r>
    </w:p>
    <w:p>
      <w:pPr>
        <w:spacing w:after="240"/>
        <w:jc w:val="center"/>
      </w:pPr>
      <w:r>
        <w:rPr>
          <w:rFonts w:ascii="Aptos" w:hAnsi="Aptos"/>
          <w:color w:val="646464"/>
          <w:sz w:val="22"/>
        </w:rPr>
        <w:t>Session dates: 30 June and 1 July 2026</w:t>
        <w:br/>
        <w:t>Recording segments: 39 minutes 8 seconds; 2 hours 32 minutes 22 seconds; and 17 minutes 1 second</w:t>
        <w:br/>
        <w:t>Focus: partner roles and business pathways for forage seed, feed preparation, cattle fattening, machinery, finance, insurance, cooperatives and market linkage</w:t>
      </w:r>
    </w:p>
    <w:p>
      <w:pPr>
        <w:spacing w:after="140"/>
        <w:jc w:val="center"/>
      </w:pPr>
      <w:r>
        <w:rPr>
          <w:rFonts w:ascii="Aptos" w:hAnsi="Aptos"/>
          <w:color w:val="646464"/>
          <w:sz w:val="19"/>
        </w:rPr>
        <w:t>Prepared as a complete thematic record of the Zambia partner discussions and coaching-oriented analysis, including partner perspectives, evidence, contradictions, risks, recommendations, commitments and unresolved issues.</w:t>
      </w:r>
    </w:p>
    <w:p>
      <w:pPr>
        <w:spacing w:after="280"/>
        <w:jc w:val="center"/>
      </w:pPr>
      <w:r>
        <w:rPr>
          <w:rFonts w:ascii="Aptos" w:hAnsi="Aptos"/>
          <w:color w:val="646464"/>
          <w:sz w:val="18"/>
        </w:rPr>
        <w:t>Interpretation note: the automated transcript is highly imperfect and contains several unclear names, figures and technical terms. The notes preserve the substantive meaning, distinguish reported statements from coaching interpretation, and mark figures that require verification.</w:t>
      </w:r>
    </w:p>
    <w:tbl>
      <w:tblPr>
        <w:tblW w:type="auto" w:w="0"/>
        <w:jc w:val="center"/>
        <w:tblLook w:firstColumn="1" w:firstRow="1" w:lastColumn="0" w:lastRow="0" w:noHBand="0" w:noVBand="1" w:val="04A0"/>
      </w:tblPr>
      <w:tblGrid>
        <w:gridCol w:w="9994"/>
      </w:tblGrid>
      <w:tr>
        <w:trPr>
          <w:cantSplit/>
        </w:trPr>
        <w:tc>
          <w:tcPr>
            <w:tcW w:type="dxa" w:w="9994"/>
            <w:shd w:fill="DDEDEF"/>
            <w:tcMar>
              <w:top w:w="160" w:type="dxa"/>
              <w:start w:w="180" w:type="dxa"/>
              <w:bottom w:w="150" w:type="dxa"/>
              <w:end w:w="180" w:type="dxa"/>
            </w:tcMar>
          </w:tcPr>
          <w:p>
            <w:pPr>
              <w:spacing w:after="80"/>
            </w:pPr>
            <w:r>
              <w:rPr>
                <w:rFonts w:ascii="Aptos Display" w:hAnsi="Aptos Display"/>
                <w:b/>
                <w:color w:val="1F374E"/>
                <w:sz w:val="22"/>
              </w:rPr>
              <w:t>Central coaching conclusion</w:t>
            </w:r>
          </w:p>
          <w:p>
            <w:pPr>
              <w:spacing w:after="0" w:line="259" w:lineRule="auto"/>
            </w:pPr>
            <w:r>
              <w:rPr>
                <w:rFonts w:ascii="Aptos" w:hAnsi="Aptos"/>
                <w:color w:val="282828"/>
                <w:sz w:val="19"/>
              </w:rPr>
              <w:t>The solution has a credible technical rationale, but it does not yet have one proven and scalable business system. The immediate task is to convert a collection of promising partners into a coherent commercial pathway in which the target farmer can secure enough feed, obtain suitable machinery and finance, manage the animals profitably, and sell through a dependable market. The business case, not awareness alone, must determine which farmer segments, cooperatives, service providers and partners should be prioritized.</w:t>
            </w:r>
          </w:p>
        </w:tc>
      </w:tr>
    </w:tbl>
    <w:p>
      <w:pPr>
        <w:spacing w:after="0"/>
      </w:pPr>
    </w:p>
    <w:p>
      <w:r>
        <w:br w:type="page"/>
      </w:r>
    </w:p>
    <w:p>
      <w:pPr>
        <w:pStyle w:val="Heading1"/>
        <w:keepNext/>
      </w:pPr>
      <w:r>
        <w:t>Contents</w:t>
      </w:r>
    </w:p>
    <w:p>
      <w:pPr>
        <w:spacing w:after="40"/>
        <w:ind w:left="173"/>
      </w:pPr>
      <w:r>
        <w:rPr>
          <w:color w:val="1F374E"/>
          <w:sz w:val="19"/>
        </w:rPr>
        <w:t>1. Executive synthesis</w:t>
      </w:r>
    </w:p>
    <w:p>
      <w:pPr>
        <w:spacing w:after="40"/>
        <w:ind w:left="173"/>
      </w:pPr>
      <w:r>
        <w:rPr>
          <w:color w:val="1F374E"/>
          <w:sz w:val="19"/>
        </w:rPr>
        <w:t>2. Session purpose, format and participant groups</w:t>
      </w:r>
    </w:p>
    <w:p>
      <w:pPr>
        <w:spacing w:after="40"/>
        <w:ind w:left="173"/>
      </w:pPr>
      <w:r>
        <w:rPr>
          <w:color w:val="1F374E"/>
          <w:sz w:val="19"/>
        </w:rPr>
        <w:t>3. Solution logic and the minimum viable scaling package</w:t>
      </w:r>
    </w:p>
    <w:p>
      <w:pPr>
        <w:spacing w:after="40"/>
        <w:ind w:left="173"/>
      </w:pPr>
      <w:r>
        <w:rPr>
          <w:color w:val="1F374E"/>
          <w:sz w:val="19"/>
        </w:rPr>
        <w:t>4. Target farmers and market segmentation</w:t>
      </w:r>
    </w:p>
    <w:p>
      <w:pPr>
        <w:spacing w:after="40"/>
        <w:ind w:left="173"/>
      </w:pPr>
      <w:r>
        <w:rPr>
          <w:color w:val="1F374E"/>
          <w:sz w:val="19"/>
        </w:rPr>
        <w:t>5. Feed-resource, land and ration feasibility</w:t>
      </w:r>
    </w:p>
    <w:p>
      <w:pPr>
        <w:spacing w:after="40"/>
        <w:ind w:left="173"/>
      </w:pPr>
      <w:r>
        <w:rPr>
          <w:color w:val="1F374E"/>
          <w:sz w:val="19"/>
        </w:rPr>
        <w:t>6. Forage seed and input-supply pathway</w:t>
      </w:r>
    </w:p>
    <w:p>
      <w:pPr>
        <w:spacing w:after="40"/>
        <w:ind w:left="173"/>
      </w:pPr>
      <w:r>
        <w:rPr>
          <w:color w:val="1F374E"/>
          <w:sz w:val="19"/>
        </w:rPr>
        <w:t>7. Farmer awareness, extension and demand creation</w:t>
      </w:r>
    </w:p>
    <w:p>
      <w:pPr>
        <w:spacing w:after="40"/>
        <w:ind w:left="173"/>
      </w:pPr>
      <w:r>
        <w:rPr>
          <w:color w:val="1F374E"/>
          <w:sz w:val="19"/>
        </w:rPr>
        <w:t>8. COMACO, cooperatives and livestock-market linkage</w:t>
      </w:r>
    </w:p>
    <w:p>
      <w:pPr>
        <w:spacing w:after="40"/>
        <w:ind w:left="173"/>
      </w:pPr>
      <w:r>
        <w:rPr>
          <w:color w:val="1F374E"/>
          <w:sz w:val="19"/>
        </w:rPr>
        <w:t>9. Machinery and feed-processing pathway</w:t>
      </w:r>
    </w:p>
    <w:p>
      <w:pPr>
        <w:spacing w:after="40"/>
        <w:ind w:left="173"/>
      </w:pPr>
      <w:r>
        <w:rPr>
          <w:color w:val="1F374E"/>
          <w:sz w:val="19"/>
        </w:rPr>
        <w:t>10. Equipment affordability, ownership and service models</w:t>
      </w:r>
    </w:p>
    <w:p>
      <w:pPr>
        <w:spacing w:after="40"/>
        <w:ind w:left="173"/>
      </w:pPr>
      <w:r>
        <w:rPr>
          <w:color w:val="1F374E"/>
          <w:sz w:val="19"/>
        </w:rPr>
        <w:t>11. Cooperative governance and organizational readiness</w:t>
      </w:r>
    </w:p>
    <w:p>
      <w:pPr>
        <w:spacing w:after="40"/>
        <w:ind w:left="173"/>
      </w:pPr>
      <w:r>
        <w:rPr>
          <w:color w:val="1F374E"/>
          <w:sz w:val="19"/>
        </w:rPr>
        <w:t>12. Bank-finance pathway</w:t>
      </w:r>
    </w:p>
    <w:p>
      <w:pPr>
        <w:spacing w:after="40"/>
        <w:ind w:left="173"/>
      </w:pPr>
      <w:r>
        <w:rPr>
          <w:color w:val="1F374E"/>
          <w:sz w:val="19"/>
        </w:rPr>
        <w:t>13. Livestock-insurance and risk-transfer pathway</w:t>
      </w:r>
    </w:p>
    <w:p>
      <w:pPr>
        <w:spacing w:after="40"/>
        <w:ind w:left="173"/>
      </w:pPr>
      <w:r>
        <w:rPr>
          <w:color w:val="1F374E"/>
          <w:sz w:val="19"/>
        </w:rPr>
        <w:t>14. Animal identification, valuation and collateral</w:t>
      </w:r>
    </w:p>
    <w:p>
      <w:pPr>
        <w:spacing w:after="40"/>
        <w:ind w:left="173"/>
      </w:pPr>
      <w:r>
        <w:rPr>
          <w:color w:val="1F374E"/>
          <w:sz w:val="19"/>
        </w:rPr>
        <w:t>15. Market pull, offtake and the economics of fattening</w:t>
      </w:r>
    </w:p>
    <w:p>
      <w:pPr>
        <w:spacing w:after="40"/>
        <w:ind w:left="173"/>
      </w:pPr>
      <w:r>
        <w:rPr>
          <w:color w:val="1F374E"/>
          <w:sz w:val="19"/>
        </w:rPr>
        <w:t>16. Government roles and delivery capacity</w:t>
      </w:r>
    </w:p>
    <w:p>
      <w:pPr>
        <w:spacing w:after="40"/>
        <w:ind w:left="173"/>
      </w:pPr>
      <w:r>
        <w:rPr>
          <w:color w:val="1F374E"/>
          <w:sz w:val="19"/>
        </w:rPr>
        <w:t>17. Gender, youth and inclusion</w:t>
      </w:r>
    </w:p>
    <w:p>
      <w:pPr>
        <w:spacing w:after="40"/>
        <w:ind w:left="173"/>
      </w:pPr>
      <w:r>
        <w:rPr>
          <w:color w:val="1F374E"/>
          <w:sz w:val="19"/>
        </w:rPr>
        <w:t>18. Responsible scaling and unintended risks</w:t>
      </w:r>
    </w:p>
    <w:p>
      <w:pPr>
        <w:spacing w:after="40"/>
        <w:ind w:left="173"/>
      </w:pPr>
      <w:r>
        <w:rPr>
          <w:color w:val="1F374E"/>
          <w:sz w:val="19"/>
        </w:rPr>
        <w:t>19. Monitoring, evidence and learning</w:t>
      </w:r>
    </w:p>
    <w:p>
      <w:pPr>
        <w:spacing w:after="40"/>
        <w:ind w:left="173"/>
      </w:pPr>
      <w:r>
        <w:rPr>
          <w:color w:val="1F374E"/>
          <w:sz w:val="19"/>
        </w:rPr>
        <w:t>20. Consolidated coaching recommendations</w:t>
      </w:r>
    </w:p>
    <w:p>
      <w:pPr>
        <w:spacing w:after="40"/>
        <w:ind w:left="173"/>
      </w:pPr>
      <w:r>
        <w:rPr>
          <w:color w:val="1F374E"/>
          <w:sz w:val="19"/>
        </w:rPr>
        <w:t>21. Follow-up actions and commitments</w:t>
      </w:r>
    </w:p>
    <w:p>
      <w:pPr>
        <w:spacing w:after="40"/>
        <w:ind w:left="173"/>
      </w:pPr>
      <w:r>
        <w:rPr>
          <w:color w:val="1F374E"/>
          <w:sz w:val="19"/>
        </w:rPr>
        <w:t>22. Outstanding questions and evidence gaps</w:t>
      </w:r>
    </w:p>
    <w:p>
      <w:pPr>
        <w:spacing w:after="40"/>
        <w:ind w:left="173"/>
      </w:pPr>
      <w:r>
        <w:rPr>
          <w:color w:val="1F374E"/>
          <w:sz w:val="19"/>
        </w:rPr>
        <w:t>23. Overall assessment of the solution track</w:t>
      </w:r>
    </w:p>
    <w:p>
      <w:pPr>
        <w:spacing w:after="40"/>
        <w:ind w:left="173"/>
      </w:pPr>
      <w:r>
        <w:rPr>
          <w:color w:val="1F374E"/>
          <w:sz w:val="19"/>
        </w:rPr>
        <w:t>Annex A. Key figures mentioned in the sessions</w:t>
      </w:r>
    </w:p>
    <w:p>
      <w:pPr>
        <w:spacing w:after="40"/>
        <w:ind w:left="173"/>
      </w:pPr>
      <w:r>
        <w:rPr>
          <w:color w:val="1F374E"/>
          <w:sz w:val="19"/>
        </w:rPr>
        <w:t>Annex B. Selected coaching messages</w:t>
      </w:r>
    </w:p>
    <w:p>
      <w:r>
        <w:br w:type="page"/>
      </w:r>
    </w:p>
    <w:p>
      <w:pPr>
        <w:pStyle w:val="Heading1"/>
        <w:keepNext/>
      </w:pPr>
      <w:r>
        <w:t>1. Executive synthesis</w:t>
      </w:r>
    </w:p>
    <w:p>
      <w:pPr>
        <w:pStyle w:val="ExecutiveSummary"/>
      </w:pPr>
      <w:r>
        <w:rPr>
          <w:rFonts w:ascii="Aptos" w:hAnsi="Aptos"/>
          <w:color w:val="1F374E"/>
          <w:sz w:val="21"/>
        </w:rPr>
        <w:t>The discussions covered the full enabling system around the forage-based livestock feed innovation in Eastern Province, Zambia. Rather than focusing only on forage crops, the session examined the chain from forage and crop residues to feed preparation, cattle fattening, machinery access, credit, insurance, cooperative management, aggregation and final markets.</w:t>
      </w:r>
    </w:p>
    <w:p>
      <w:pPr>
        <w:pStyle w:val="ExecutiveSummary"/>
      </w:pPr>
      <w:r>
        <w:rPr>
          <w:rFonts w:ascii="Aptos" w:hAnsi="Aptos"/>
          <w:color w:val="1F374E"/>
          <w:sz w:val="21"/>
        </w:rPr>
        <w:t>The main strategic finding is that the solution remains a bundle of partially connected pathways rather than a proven end-to-end delivery model. Several partners expressed interest, but interest was often conditional on project-supported training, equipment purchases, farmer mobilization or risk reduction. The track therefore needs to distinguish genuine commercial commitment from willingness to participate while external resources are available.</w:t>
      </w:r>
    </w:p>
    <w:p>
      <w:pPr>
        <w:pStyle w:val="ExecutiveSummary"/>
      </w:pPr>
      <w:r>
        <w:rPr>
          <w:rFonts w:ascii="Aptos" w:hAnsi="Aptos"/>
          <w:color w:val="1F374E"/>
          <w:sz w:val="21"/>
        </w:rPr>
        <w:t>Demand for forage seed and specialized cattle-feed services is still early. A private livestock-services business reported that only three farmers had purchased forage seed in the most recent season and about 27 people had received focused training on supplementation. The company viewed forage seed as a small business line relative to veterinary medicines and conventional feeds. This is a useful reality check: the market cannot yet be presented as mature merely because farmers express curiosity during training.</w:t>
      </w:r>
    </w:p>
    <w:p>
      <w:pPr>
        <w:pStyle w:val="ExecutiveSummary"/>
      </w:pPr>
      <w:r>
        <w:rPr>
          <w:rFonts w:ascii="Aptos" w:hAnsi="Aptos"/>
          <w:color w:val="1F374E"/>
          <w:sz w:val="21"/>
        </w:rPr>
        <w:t>The feed-resource discussion exposed a fundamental feasibility question. The rough calculations used in the meeting suggested that a cattle-fattening enterprise may require substantial quantities of forage and groundnut haulms, while many target farmers cultivate only small groundnut plots and have competing uses for their land. Reliance on unused residues from neighboring farms may work for a few early adopters but becomes less viable as adoption expands. A formal feed budget by cattle number, fattening period, crop yield and landholding is therefore essential.</w:t>
      </w:r>
    </w:p>
    <w:p>
      <w:pPr>
        <w:pStyle w:val="ExecutiveSummary"/>
      </w:pPr>
      <w:r>
        <w:rPr>
          <w:rFonts w:ascii="Aptos" w:hAnsi="Aptos"/>
          <w:color w:val="1F374E"/>
          <w:sz w:val="21"/>
        </w:rPr>
        <w:t>COMACO appears to offer valuable reach, extension infrastructure, processing and market-linkage experience, with women reportedly forming a large share of its membership. However, its proposed role in forage extension and livestock marketing was not yet backed by a clear revenue model. The discussion considered both brokering live cattle to abattoirs and arranging slaughter followed by meat marketing, but cold-chain, logistics, pricing, volume, standards and risk allocation remain unresolved. The pending partnership agreement should specify what COMACO will do, why it will invest, and how the function will continue without project subsidy.</w:t>
      </w:r>
    </w:p>
    <w:p>
      <w:pPr>
        <w:pStyle w:val="ExecutiveSummary"/>
      </w:pPr>
      <w:r>
        <w:rPr>
          <w:rFonts w:ascii="Aptos" w:hAnsi="Aptos"/>
          <w:color w:val="1F374E"/>
          <w:sz w:val="21"/>
        </w:rPr>
        <w:t>The machinery pathway is more commercially developed. CAMCO reported the capacity to supply most equipment, train operators, provide after-sales service, stock spare parts and source a combined chopper-grinder within two to three months. The project was discussing an initial purchase, and CAMCO indicated it would import additional units for commercial sale. This is encouraging, but current machinery customers are mostly individual medium-scale farmers and existing feed machinery is often used for poultry or concentrate-based feed. The track still needs to prove affordability and utilization for the intended smallholder cattle segment.</w:t>
      </w:r>
    </w:p>
    <w:p>
      <w:pPr>
        <w:pStyle w:val="ExecutiveSummary"/>
      </w:pPr>
      <w:r>
        <w:rPr>
          <w:rFonts w:ascii="Aptos" w:hAnsi="Aptos"/>
          <w:color w:val="1F374E"/>
          <w:sz w:val="21"/>
        </w:rPr>
        <w:t>Finance is available in principle but not yet proven for the target model. The bank described agricultural and machinery loans with a reported subsidized interest rate of approximately 16.25 percent, a maximum tenor of three years, flexible repayment schedules and possible working capital. However, cattle are generally treated as additional rather than primary security, cooperatives are viewed cautiously, and no cattle-fattening loan had yet been completed in the branch. Formal offtake contracts, quality business plans and credible management were repeatedly identified as necessary conditions.</w:t>
      </w:r>
    </w:p>
    <w:p>
      <w:pPr>
        <w:pStyle w:val="ExecutiveSummary"/>
      </w:pPr>
      <w:r>
        <w:rPr>
          <w:rFonts w:ascii="Aptos" w:hAnsi="Aptos"/>
          <w:color w:val="1F374E"/>
          <w:sz w:val="21"/>
        </w:rPr>
        <w:t>The livestock-insurance pathway is even earlier. Agricultural insurance represented less than five percent of the insurer’s book, and the discussion indicated only one sheep policy and no completed cattle policies in Eastern Province. The product is indemnity-based and requires pre-inspection, documentation and claim verification. Product terms, drought coverage, animal valuation, ownership evidence and claim requirements were not consistently understood during the meeting. Insurance should therefore be treated as an emerging pilot, not a functioning scale pathway.</w:t>
      </w:r>
    </w:p>
    <w:p>
      <w:pPr>
        <w:pStyle w:val="ExecutiveSummary"/>
      </w:pPr>
      <w:r>
        <w:rPr>
          <w:rFonts w:ascii="Aptos" w:hAnsi="Aptos"/>
          <w:color w:val="1F374E"/>
          <w:sz w:val="21"/>
        </w:rPr>
        <w:t>Cooperative quality is a cross-cutting constraint. Many cooperatives were described as having been formed primarily to access input subsidies and government grain markets. Participants raised concerns about leadership, financial management, continuity, member commitment and shared-asset maintenance. A cooperative-owned machine or feedlot is not automatically inclusive or sustainable. The project should screen cooperative readiness and strengthen governance before facilitating debt or capital assets.</w:t>
      </w:r>
    </w:p>
    <w:p>
      <w:pPr>
        <w:pStyle w:val="ExecutiveSummary"/>
      </w:pPr>
      <w:r>
        <w:rPr>
          <w:rFonts w:ascii="Aptos" w:hAnsi="Aptos"/>
          <w:color w:val="1F374E"/>
          <w:sz w:val="21"/>
        </w:rPr>
        <w:t>Finally, almost every private partner relied on the Ministry of Livestock and Fisheries for farmer identification, technical support, asset verification, animal health, extension and monitoring. Yet the session also raised concerns about limited staffing, transport, fuel and specialist capacity. The delivery model must therefore quantify the actual public-sector workload and either finance the missing capacity or design a model that does not depend on services the ministry cannot reliably provide.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vAlign w:val="center"/>
            <w:tcMar>
              <w:top w:w="80" w:type="dxa"/>
              <w:start w:w="100" w:type="dxa"/>
              <w:bottom w:w="80" w:type="dxa"/>
              <w:end w:w="100" w:type="dxa"/>
            </w:tcMar>
            <w:shd w:fill="1F374E"/>
          </w:tcPr>
          <w:p>
            <w:pPr>
              <w:spacing w:after="0" w:line="240" w:lineRule="auto"/>
            </w:pPr>
            <w:r/>
            <w:r>
              <w:rPr>
                <w:rFonts w:ascii="Aptos" w:hAnsi="Aptos"/>
                <w:b/>
                <w:color w:val="FFFFFF"/>
                <w:sz w:val="18"/>
              </w:rPr>
              <w:t>Area</w:t>
            </w:r>
          </w:p>
        </w:tc>
        <w:tc>
          <w:tcPr>
            <w:tcW w:type="dxa" w:w="8352"/>
            <w:vAlign w:val="center"/>
            <w:tcMar>
              <w:top w:w="80" w:type="dxa"/>
              <w:start w:w="100" w:type="dxa"/>
              <w:bottom w:w="80" w:type="dxa"/>
              <w:end w:w="100" w:type="dxa"/>
            </w:tcMar>
            <w:shd w:fill="1F374E"/>
          </w:tcPr>
          <w:p>
            <w:pPr>
              <w:spacing w:after="0" w:line="240" w:lineRule="auto"/>
            </w:pPr>
            <w:r/>
            <w:r>
              <w:rPr>
                <w:rFonts w:ascii="Aptos" w:hAnsi="Aptos"/>
                <w:b/>
                <w:color w:val="FFFFFF"/>
                <w:sz w:val="18"/>
              </w:rPr>
              <w:t>Coaching judgment</w:t>
            </w:r>
          </w:p>
        </w:tc>
      </w:tr>
      <w:tr>
        <w:trPr>
          <w:cantSplit/>
        </w:trPr>
        <w:tc>
          <w:tcPr>
            <w:tcW w:type="dxa" w:w="2592"/>
            <w:vAlign w:val="center"/>
            <w:tcMar>
              <w:top w:w="80" w:type="dxa"/>
              <w:start w:w="100" w:type="dxa"/>
              <w:bottom w:w="80" w:type="dxa"/>
              <w:end w:w="100" w:type="dxa"/>
            </w:tcMar>
          </w:tcPr>
          <w:p>
            <w:pPr>
              <w:spacing w:after="0" w:line="240" w:lineRule="auto"/>
            </w:pPr>
            <w:r/>
            <w:r>
              <w:rPr>
                <w:rFonts w:ascii="Aptos" w:hAnsi="Aptos"/>
                <w:b w:val="0"/>
                <w:color w:val="282828"/>
                <w:sz w:val="17"/>
              </w:rPr>
              <w:t>Technical rationale</w:t>
            </w:r>
          </w:p>
        </w:tc>
        <w:tc>
          <w:tcPr>
            <w:tcW w:type="dxa" w:w="8352"/>
            <w:vAlign w:val="center"/>
            <w:tcMar>
              <w:top w:w="80" w:type="dxa"/>
              <w:start w:w="100" w:type="dxa"/>
              <w:bottom w:w="80" w:type="dxa"/>
              <w:end w:w="100" w:type="dxa"/>
            </w:tcMar>
          </w:tcPr>
          <w:p>
            <w:pPr>
              <w:spacing w:after="0" w:line="240" w:lineRule="auto"/>
            </w:pPr>
            <w:r/>
            <w:r>
              <w:rPr>
                <w:rFonts w:ascii="Aptos" w:hAnsi="Aptos"/>
                <w:b w:val="0"/>
                <w:color w:val="282828"/>
                <w:sz w:val="17"/>
              </w:rPr>
              <w:t>Promising. Better feed and planned fattening can improve livestock productivity, but the feed quantities and land requirements must be validated.</w:t>
            </w:r>
          </w:p>
        </w:tc>
      </w:tr>
      <w:tr>
        <w:trPr>
          <w:cantSplit/>
        </w:trPr>
        <w:tc>
          <w:tcPr>
            <w:tcW w:type="dxa" w:w="2592"/>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Farmer demand</w:t>
            </w:r>
          </w:p>
        </w:tc>
        <w:tc>
          <w:tcPr>
            <w:tcW w:type="dxa" w:w="8352"/>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Early and uneven. Interest exists, but documented purchases and adoption remain limited.</w:t>
            </w:r>
          </w:p>
        </w:tc>
      </w:tr>
      <w:tr>
        <w:trPr>
          <w:cantSplit/>
        </w:trPr>
        <w:tc>
          <w:tcPr>
            <w:tcW w:type="dxa" w:w="2592"/>
            <w:vAlign w:val="center"/>
            <w:tcMar>
              <w:top w:w="80" w:type="dxa"/>
              <w:start w:w="100" w:type="dxa"/>
              <w:bottom w:w="80" w:type="dxa"/>
              <w:end w:w="100" w:type="dxa"/>
            </w:tcMar>
          </w:tcPr>
          <w:p>
            <w:pPr>
              <w:spacing w:after="0" w:line="240" w:lineRule="auto"/>
            </w:pPr>
            <w:r/>
            <w:r>
              <w:rPr>
                <w:rFonts w:ascii="Aptos" w:hAnsi="Aptos"/>
                <w:b w:val="0"/>
                <w:color w:val="282828"/>
                <w:sz w:val="17"/>
              </w:rPr>
              <w:t>Forage seed pathway</w:t>
            </w:r>
          </w:p>
        </w:tc>
        <w:tc>
          <w:tcPr>
            <w:tcW w:type="dxa" w:w="8352"/>
            <w:vAlign w:val="center"/>
            <w:tcMar>
              <w:top w:w="80" w:type="dxa"/>
              <w:start w:w="100" w:type="dxa"/>
              <w:bottom w:w="80" w:type="dxa"/>
              <w:end w:w="100" w:type="dxa"/>
            </w:tcMar>
          </w:tcPr>
          <w:p>
            <w:pPr>
              <w:spacing w:after="0" w:line="240" w:lineRule="auto"/>
            </w:pPr>
            <w:r/>
            <w:r>
              <w:rPr>
                <w:rFonts w:ascii="Aptos" w:hAnsi="Aptos"/>
                <w:b w:val="0"/>
                <w:color w:val="282828"/>
                <w:sz w:val="17"/>
              </w:rPr>
              <w:t>Immature. Repeat demand, commercial supply, pricing and competition from subsidized seed are unresolved.</w:t>
            </w:r>
          </w:p>
        </w:tc>
      </w:tr>
      <w:tr>
        <w:trPr>
          <w:cantSplit/>
        </w:trPr>
        <w:tc>
          <w:tcPr>
            <w:tcW w:type="dxa" w:w="2592"/>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Machinery pathway</w:t>
            </w:r>
          </w:p>
        </w:tc>
        <w:tc>
          <w:tcPr>
            <w:tcW w:type="dxa" w:w="8352"/>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Most advanced commercially, with suppliers, branches, spare parts and financing links. Affordability and utilization for smallholders remain uncertain.</w:t>
            </w:r>
          </w:p>
        </w:tc>
      </w:tr>
      <w:tr>
        <w:trPr>
          <w:cantSplit/>
        </w:trPr>
        <w:tc>
          <w:tcPr>
            <w:tcW w:type="dxa" w:w="2592"/>
            <w:vAlign w:val="center"/>
            <w:tcMar>
              <w:top w:w="80" w:type="dxa"/>
              <w:start w:w="100" w:type="dxa"/>
              <w:bottom w:w="80" w:type="dxa"/>
              <w:end w:w="100" w:type="dxa"/>
            </w:tcMar>
          </w:tcPr>
          <w:p>
            <w:pPr>
              <w:spacing w:after="0" w:line="240" w:lineRule="auto"/>
            </w:pPr>
            <w:r/>
            <w:r>
              <w:rPr>
                <w:rFonts w:ascii="Aptos" w:hAnsi="Aptos"/>
                <w:b w:val="0"/>
                <w:color w:val="282828"/>
                <w:sz w:val="17"/>
              </w:rPr>
              <w:t>Finance pathway</w:t>
            </w:r>
          </w:p>
        </w:tc>
        <w:tc>
          <w:tcPr>
            <w:tcW w:type="dxa" w:w="8352"/>
            <w:vAlign w:val="center"/>
            <w:tcMar>
              <w:top w:w="80" w:type="dxa"/>
              <w:start w:w="100" w:type="dxa"/>
              <w:bottom w:w="80" w:type="dxa"/>
              <w:end w:w="100" w:type="dxa"/>
            </w:tcMar>
          </w:tcPr>
          <w:p>
            <w:pPr>
              <w:spacing w:after="0" w:line="240" w:lineRule="auto"/>
            </w:pPr>
            <w:r/>
            <w:r>
              <w:rPr>
                <w:rFonts w:ascii="Aptos" w:hAnsi="Aptos"/>
                <w:b w:val="0"/>
                <w:color w:val="282828"/>
                <w:sz w:val="17"/>
              </w:rPr>
              <w:t>Available in principle, but current products favor established farmers with assets, records and formal markets. No proven smallholder feedlot portfolio was demonstrated.</w:t>
            </w:r>
          </w:p>
        </w:tc>
      </w:tr>
      <w:tr>
        <w:trPr>
          <w:cantSplit/>
        </w:trPr>
        <w:tc>
          <w:tcPr>
            <w:tcW w:type="dxa" w:w="2592"/>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Insurance pathway</w:t>
            </w:r>
          </w:p>
        </w:tc>
        <w:tc>
          <w:tcPr>
            <w:tcW w:type="dxa" w:w="8352"/>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Nascent. Product design, awareness, valuation, claims and linkage to loans require substantial development.</w:t>
            </w:r>
          </w:p>
        </w:tc>
      </w:tr>
      <w:tr>
        <w:trPr>
          <w:cantSplit/>
        </w:trPr>
        <w:tc>
          <w:tcPr>
            <w:tcW w:type="dxa" w:w="2592"/>
            <w:vAlign w:val="center"/>
            <w:tcMar>
              <w:top w:w="80" w:type="dxa"/>
              <w:start w:w="100" w:type="dxa"/>
              <w:bottom w:w="80" w:type="dxa"/>
              <w:end w:w="100" w:type="dxa"/>
            </w:tcMar>
          </w:tcPr>
          <w:p>
            <w:pPr>
              <w:spacing w:after="0" w:line="240" w:lineRule="auto"/>
            </w:pPr>
            <w:r/>
            <w:r>
              <w:rPr>
                <w:rFonts w:ascii="Aptos" w:hAnsi="Aptos"/>
                <w:b w:val="0"/>
                <w:color w:val="282828"/>
                <w:sz w:val="17"/>
              </w:rPr>
              <w:t>Cooperative delivery</w:t>
            </w:r>
          </w:p>
        </w:tc>
        <w:tc>
          <w:tcPr>
            <w:tcW w:type="dxa" w:w="8352"/>
            <w:vAlign w:val="center"/>
            <w:tcMar>
              <w:top w:w="80" w:type="dxa"/>
              <w:start w:w="100" w:type="dxa"/>
              <w:bottom w:w="80" w:type="dxa"/>
              <w:end w:w="100" w:type="dxa"/>
            </w:tcMar>
          </w:tcPr>
          <w:p>
            <w:pPr>
              <w:spacing w:after="0" w:line="240" w:lineRule="auto"/>
            </w:pPr>
            <w:r/>
            <w:r>
              <w:rPr>
                <w:rFonts w:ascii="Aptos" w:hAnsi="Aptos"/>
                <w:b w:val="0"/>
                <w:color w:val="282828"/>
                <w:sz w:val="17"/>
              </w:rPr>
              <w:t>Potentially useful for pooling demand and risk, but high variation in governance and financial capability creates material risk.</w:t>
            </w:r>
          </w:p>
        </w:tc>
      </w:tr>
      <w:tr>
        <w:trPr>
          <w:cantSplit/>
        </w:trPr>
        <w:tc>
          <w:tcPr>
            <w:tcW w:type="dxa" w:w="2592"/>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Market linkage</w:t>
            </w:r>
          </w:p>
        </w:tc>
        <w:tc>
          <w:tcPr>
            <w:tcW w:type="dxa" w:w="8352"/>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Potentially strong if quality cattle and dependable volumes are achieved. The live-cattle and processed-meat models need separate validation.</w:t>
            </w:r>
          </w:p>
        </w:tc>
      </w:tr>
      <w:tr>
        <w:trPr>
          <w:cantSplit/>
        </w:trPr>
        <w:tc>
          <w:tcPr>
            <w:tcW w:type="dxa" w:w="2592"/>
            <w:vAlign w:val="center"/>
            <w:tcMar>
              <w:top w:w="80" w:type="dxa"/>
              <w:start w:w="100" w:type="dxa"/>
              <w:bottom w:w="80" w:type="dxa"/>
              <w:end w:w="100" w:type="dxa"/>
            </w:tcMar>
          </w:tcPr>
          <w:p>
            <w:pPr>
              <w:spacing w:after="0" w:line="240" w:lineRule="auto"/>
            </w:pPr>
            <w:r/>
            <w:r>
              <w:rPr>
                <w:rFonts w:ascii="Aptos" w:hAnsi="Aptos"/>
                <w:b w:val="0"/>
                <w:color w:val="282828"/>
                <w:sz w:val="17"/>
              </w:rPr>
              <w:t>Public delivery capacity</w:t>
            </w:r>
          </w:p>
        </w:tc>
        <w:tc>
          <w:tcPr>
            <w:tcW w:type="dxa" w:w="8352"/>
            <w:vAlign w:val="center"/>
            <w:tcMar>
              <w:top w:w="80" w:type="dxa"/>
              <w:start w:w="100" w:type="dxa"/>
              <w:bottom w:w="80" w:type="dxa"/>
              <w:end w:w="100" w:type="dxa"/>
            </w:tcMar>
          </w:tcPr>
          <w:p>
            <w:pPr>
              <w:spacing w:after="0" w:line="240" w:lineRule="auto"/>
            </w:pPr>
            <w:r/>
            <w:r>
              <w:rPr>
                <w:rFonts w:ascii="Aptos" w:hAnsi="Aptos"/>
                <w:b w:val="0"/>
                <w:color w:val="282828"/>
                <w:sz w:val="17"/>
              </w:rPr>
              <w:t>Critical but potentially overstretched. The model currently assumes more extension, verification and coordination capacity than was clearly demonstrated.</w:t>
            </w:r>
          </w:p>
        </w:tc>
      </w:tr>
      <w:tr>
        <w:trPr>
          <w:cantSplit/>
        </w:trPr>
        <w:tc>
          <w:tcPr>
            <w:tcW w:type="dxa" w:w="2592"/>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Overall readiness</w:t>
            </w:r>
          </w:p>
        </w:tc>
        <w:tc>
          <w:tcPr>
            <w:tcW w:type="dxa" w:w="8352"/>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Transitioning from partnership formation and demonstration toward business-model validation. Not yet ready for broad replication without focused pilots and stronger evidence.</w:t>
            </w:r>
          </w:p>
        </w:tc>
      </w:tr>
    </w:tbl>
    <w:p>
      <w:pPr>
        <w:spacing w:after="0"/>
      </w:pPr>
    </w:p>
    <w:p>
      <w:pPr>
        <w:pStyle w:val="Heading1"/>
        <w:keepNext/>
      </w:pPr>
      <w:r>
        <w:t>2. Session purpose, format and participant groups</w:t>
      </w:r>
    </w:p>
    <w:p>
      <w:pPr/>
      <w:r>
        <w:rPr>
          <w:rFonts w:ascii="Aptos" w:hAnsi="Aptos"/>
          <w:color w:val="282828"/>
          <w:sz w:val="20"/>
        </w:rPr>
        <w:t>The uploaded file combines three recordings from the Zambia coaching visit. The discussions were partner interviews rather than one uninterrupted plenary. Together, they provide a system-level picture of the forage and livestock-feed pathway.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vAlign w:val="center"/>
            <w:tcMar>
              <w:top w:w="80" w:type="dxa"/>
              <w:start w:w="100" w:type="dxa"/>
              <w:bottom w:w="80" w:type="dxa"/>
              <w:end w:w="100" w:type="dxa"/>
            </w:tcMar>
            <w:shd w:fill="1F374E"/>
          </w:tcPr>
          <w:p>
            <w:pPr>
              <w:spacing w:after="0" w:line="240" w:lineRule="auto"/>
            </w:pPr>
            <w:r/>
            <w:r>
              <w:rPr>
                <w:rFonts w:ascii="Aptos" w:hAnsi="Aptos"/>
                <w:b/>
                <w:color w:val="FFFFFF"/>
                <w:sz w:val="18"/>
              </w:rPr>
              <w:t>Recording</w:t>
            </w:r>
          </w:p>
        </w:tc>
        <w:tc>
          <w:tcPr>
            <w:tcW w:type="dxa" w:w="7776"/>
            <w:vAlign w:val="center"/>
            <w:tcMar>
              <w:top w:w="80" w:type="dxa"/>
              <w:start w:w="100" w:type="dxa"/>
              <w:bottom w:w="80" w:type="dxa"/>
              <w:end w:w="100" w:type="dxa"/>
            </w:tcMar>
            <w:shd w:fill="1F374E"/>
          </w:tcPr>
          <w:p>
            <w:pPr>
              <w:spacing w:after="0" w:line="240" w:lineRule="auto"/>
            </w:pPr>
            <w:r/>
            <w:r>
              <w:rPr>
                <w:rFonts w:ascii="Aptos" w:hAnsi="Aptos"/>
                <w:b/>
                <w:color w:val="FFFFFF"/>
                <w:sz w:val="18"/>
              </w:rPr>
              <w:t>Approximate focus</w:t>
            </w:r>
          </w:p>
        </w:tc>
      </w:tr>
      <w:tr>
        <w:trPr>
          <w:cantSplit/>
        </w:trPr>
        <w:tc>
          <w:tcPr>
            <w:tcW w:type="dxa" w:w="3168"/>
            <w:vAlign w:val="center"/>
            <w:tcMar>
              <w:top w:w="80" w:type="dxa"/>
              <w:start w:w="100" w:type="dxa"/>
              <w:bottom w:w="80" w:type="dxa"/>
              <w:end w:w="100" w:type="dxa"/>
            </w:tcMar>
          </w:tcPr>
          <w:p>
            <w:pPr>
              <w:spacing w:after="0" w:line="240" w:lineRule="auto"/>
            </w:pPr>
            <w:r/>
            <w:r>
              <w:rPr>
                <w:rFonts w:ascii="Aptos" w:hAnsi="Aptos"/>
                <w:b w:val="0"/>
                <w:color w:val="282828"/>
                <w:sz w:val="17"/>
              </w:rPr>
              <w:t>30 June 2026 - 39 minutes 8 seconds</w:t>
            </w:r>
          </w:p>
        </w:tc>
        <w:tc>
          <w:tcPr>
            <w:tcW w:type="dxa" w:w="7776"/>
            <w:vAlign w:val="center"/>
            <w:tcMar>
              <w:top w:w="80" w:type="dxa"/>
              <w:start w:w="100" w:type="dxa"/>
              <w:bottom w:w="80" w:type="dxa"/>
              <w:end w:w="100" w:type="dxa"/>
            </w:tcMar>
          </w:tcPr>
          <w:p>
            <w:pPr>
              <w:spacing w:after="0" w:line="240" w:lineRule="auto"/>
            </w:pPr>
            <w:r/>
            <w:r>
              <w:rPr>
                <w:rFonts w:ascii="Aptos" w:hAnsi="Aptos"/>
                <w:b w:val="0"/>
                <w:color w:val="282828"/>
                <w:sz w:val="17"/>
              </w:rPr>
              <w:t>Discussion with COMACO or a comparable farmer-network and processing organization on cooperatives, extension, seed, crop procurement, livestock marketing and the proposed partnership.</w:t>
            </w:r>
          </w:p>
        </w:tc>
      </w:tr>
      <w:tr>
        <w:trPr>
          <w:cantSplit/>
        </w:trPr>
        <w:tc>
          <w:tcPr>
            <w:tcW w:type="dxa" w:w="3168"/>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1 July 2026 - 2 hours 32 minutes 22 seconds</w:t>
            </w:r>
          </w:p>
        </w:tc>
        <w:tc>
          <w:tcPr>
            <w:tcW w:type="dxa" w:w="7776"/>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Partner discussions with a livestock-services/agro-dealer business, CAMCO machinery, a bank, an insurer and government representatives.</w:t>
            </w:r>
          </w:p>
        </w:tc>
      </w:tr>
      <w:tr>
        <w:trPr>
          <w:cantSplit/>
        </w:trPr>
        <w:tc>
          <w:tcPr>
            <w:tcW w:type="dxa" w:w="3168"/>
            <w:vAlign w:val="center"/>
            <w:tcMar>
              <w:top w:w="80" w:type="dxa"/>
              <w:start w:w="100" w:type="dxa"/>
              <w:bottom w:w="80" w:type="dxa"/>
              <w:end w:w="100" w:type="dxa"/>
            </w:tcMar>
          </w:tcPr>
          <w:p>
            <w:pPr>
              <w:spacing w:after="0" w:line="240" w:lineRule="auto"/>
            </w:pPr>
            <w:r/>
            <w:r>
              <w:rPr>
                <w:rFonts w:ascii="Aptos" w:hAnsi="Aptos"/>
                <w:b w:val="0"/>
                <w:color w:val="282828"/>
                <w:sz w:val="17"/>
              </w:rPr>
              <w:t>1 July 2026 - 17 minutes 1 second</w:t>
            </w:r>
          </w:p>
        </w:tc>
        <w:tc>
          <w:tcPr>
            <w:tcW w:type="dxa" w:w="7776"/>
            <w:vAlign w:val="center"/>
            <w:tcMar>
              <w:top w:w="80" w:type="dxa"/>
              <w:start w:w="100" w:type="dxa"/>
              <w:bottom w:w="80" w:type="dxa"/>
              <w:end w:w="100" w:type="dxa"/>
            </w:tcMar>
          </w:tcPr>
          <w:p>
            <w:pPr>
              <w:spacing w:after="0" w:line="240" w:lineRule="auto"/>
            </w:pPr>
            <w:r/>
            <w:r>
              <w:rPr>
                <w:rFonts w:ascii="Aptos" w:hAnsi="Aptos"/>
                <w:b w:val="0"/>
                <w:color w:val="282828"/>
                <w:sz w:val="17"/>
              </w:rPr>
              <w:t>Follow-up on partner expectations, farmer and cooperative reach, financing, sustainability and the proposed role of the bank and ministry.</w:t>
            </w:r>
          </w:p>
        </w:tc>
      </w:tr>
    </w:tbl>
    <w:p>
      <w:pPr>
        <w:spacing w:after="0"/>
      </w:pPr>
    </w:p>
    <w:p>
      <w:pPr/>
      <w:r>
        <w:rPr>
          <w:rFonts w:ascii="Aptos" w:hAnsi="Aptos"/>
          <w:color w:val="282828"/>
          <w:sz w:val="20"/>
        </w:rPr>
        <w:t>The session was highly conversational and included field-visit reflections, numerical calculations, repeated clarification and informal banter. The notes retain the substantive information but exclude unrelated social conversation. Because names and some figures were poorly transcribed, institutional descriptions are used where certainty is limited.</w:t>
      </w:r>
    </w:p>
    <w:p>
      <w:pPr>
        <w:pStyle w:val="Heading2"/>
        <w:keepNext/>
      </w:pPr>
      <w:r>
        <w:t>Main stakeholder perspectives represented</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384"/>
            <w:vAlign w:val="center"/>
            <w:tcMar>
              <w:top w:w="80" w:type="dxa"/>
              <w:start w:w="100" w:type="dxa"/>
              <w:bottom w:w="80" w:type="dxa"/>
              <w:end w:w="100" w:type="dxa"/>
            </w:tcMar>
            <w:shd w:fill="1F374E"/>
          </w:tcPr>
          <w:p>
            <w:pPr>
              <w:spacing w:after="0" w:line="240" w:lineRule="auto"/>
            </w:pPr>
            <w:r/>
            <w:r>
              <w:rPr>
                <w:rFonts w:ascii="Aptos" w:hAnsi="Aptos"/>
                <w:b/>
                <w:color w:val="FFFFFF"/>
                <w:sz w:val="18"/>
              </w:rPr>
              <w:t>Stakeholder group</w:t>
            </w:r>
          </w:p>
        </w:tc>
        <w:tc>
          <w:tcPr>
            <w:tcW w:type="dxa" w:w="7560"/>
            <w:vAlign w:val="center"/>
            <w:tcMar>
              <w:top w:w="80" w:type="dxa"/>
              <w:start w:w="100" w:type="dxa"/>
              <w:bottom w:w="80" w:type="dxa"/>
              <w:end w:w="100" w:type="dxa"/>
            </w:tcMar>
            <w:shd w:fill="1F374E"/>
          </w:tcPr>
          <w:p>
            <w:pPr>
              <w:spacing w:after="0" w:line="240" w:lineRule="auto"/>
            </w:pPr>
            <w:r/>
            <w:r>
              <w:rPr>
                <w:rFonts w:ascii="Aptos" w:hAnsi="Aptos"/>
                <w:b/>
                <w:color w:val="FFFFFF"/>
                <w:sz w:val="18"/>
              </w:rPr>
              <w:t>Perspective or proposed role</w:t>
            </w:r>
          </w:p>
        </w:tc>
      </w:tr>
      <w:tr>
        <w:trPr>
          <w:cantSplit/>
        </w:trPr>
        <w:tc>
          <w:tcPr>
            <w:tcW w:type="dxa" w:w="3384"/>
            <w:vAlign w:val="center"/>
            <w:tcMar>
              <w:top w:w="80" w:type="dxa"/>
              <w:start w:w="100" w:type="dxa"/>
              <w:bottom w:w="80" w:type="dxa"/>
              <w:end w:w="100" w:type="dxa"/>
            </w:tcMar>
          </w:tcPr>
          <w:p>
            <w:pPr>
              <w:spacing w:after="0" w:line="240" w:lineRule="auto"/>
            </w:pPr>
            <w:r/>
            <w:r>
              <w:rPr>
                <w:rFonts w:ascii="Aptos" w:hAnsi="Aptos"/>
                <w:b w:val="0"/>
                <w:color w:val="282828"/>
                <w:sz w:val="17"/>
              </w:rPr>
              <w:t>Forage and livestock solution team</w:t>
            </w:r>
          </w:p>
        </w:tc>
        <w:tc>
          <w:tcPr>
            <w:tcW w:type="dxa" w:w="7560"/>
            <w:vAlign w:val="center"/>
            <w:tcMar>
              <w:top w:w="80" w:type="dxa"/>
              <w:start w:w="100" w:type="dxa"/>
              <w:bottom w:w="80" w:type="dxa"/>
              <w:end w:w="100" w:type="dxa"/>
            </w:tcMar>
          </w:tcPr>
          <w:p>
            <w:pPr>
              <w:spacing w:after="0" w:line="240" w:lineRule="auto"/>
            </w:pPr>
            <w:r/>
            <w:r>
              <w:rPr>
                <w:rFonts w:ascii="Aptos" w:hAnsi="Aptos"/>
                <w:b w:val="0"/>
                <w:color w:val="282828"/>
                <w:sz w:val="17"/>
              </w:rPr>
              <w:t>Technical package, farmer training, feed formulation, project-supported demonstrations, partner coordination and scaling ambition.</w:t>
            </w:r>
          </w:p>
        </w:tc>
      </w:tr>
      <w:tr>
        <w:trPr>
          <w:cantSplit/>
        </w:trPr>
        <w:tc>
          <w:tcPr>
            <w:tcW w:type="dxa" w:w="3384"/>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COMACO or comparable farmer-network partner</w:t>
            </w:r>
          </w:p>
        </w:tc>
        <w:tc>
          <w:tcPr>
            <w:tcW w:type="dxa" w:w="756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Cooperative reach, extension, seed multiplication, crop procurement and processing, potential livestock aggregation and market linkage.</w:t>
            </w:r>
          </w:p>
        </w:tc>
      </w:tr>
      <w:tr>
        <w:trPr>
          <w:cantSplit/>
        </w:trPr>
        <w:tc>
          <w:tcPr>
            <w:tcW w:type="dxa" w:w="3384"/>
            <w:vAlign w:val="center"/>
            <w:tcMar>
              <w:top w:w="80" w:type="dxa"/>
              <w:start w:w="100" w:type="dxa"/>
              <w:bottom w:w="80" w:type="dxa"/>
              <w:end w:w="100" w:type="dxa"/>
            </w:tcMar>
          </w:tcPr>
          <w:p>
            <w:pPr>
              <w:spacing w:after="0" w:line="240" w:lineRule="auto"/>
            </w:pPr>
            <w:r/>
            <w:r>
              <w:rPr>
                <w:rFonts w:ascii="Aptos" w:hAnsi="Aptos"/>
                <w:b w:val="0"/>
                <w:color w:val="282828"/>
                <w:sz w:val="17"/>
              </w:rPr>
              <w:t>Private livestock-services/agro-dealer business</w:t>
            </w:r>
          </w:p>
        </w:tc>
        <w:tc>
          <w:tcPr>
            <w:tcW w:type="dxa" w:w="7560"/>
            <w:vAlign w:val="center"/>
            <w:tcMar>
              <w:top w:w="80" w:type="dxa"/>
              <w:start w:w="100" w:type="dxa"/>
              <w:bottom w:w="80" w:type="dxa"/>
              <w:end w:w="100" w:type="dxa"/>
            </w:tcMar>
          </w:tcPr>
          <w:p>
            <w:pPr>
              <w:spacing w:after="0" w:line="240" w:lineRule="auto"/>
            </w:pPr>
            <w:r/>
            <w:r>
              <w:rPr>
                <w:rFonts w:ascii="Aptos" w:hAnsi="Aptos"/>
                <w:b w:val="0"/>
                <w:color w:val="282828"/>
                <w:sz w:val="17"/>
              </w:rPr>
              <w:t>Veterinary products, conventional feed, possible forage seed stocking, farmer training and commercial livestock services.</w:t>
            </w:r>
          </w:p>
        </w:tc>
      </w:tr>
      <w:tr>
        <w:trPr>
          <w:cantSplit/>
        </w:trPr>
        <w:tc>
          <w:tcPr>
            <w:tcW w:type="dxa" w:w="3384"/>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CAMCO</w:t>
            </w:r>
          </w:p>
        </w:tc>
        <w:tc>
          <w:tcPr>
            <w:tcW w:type="dxa" w:w="756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Equipment supply, sourcing, operator training, customer database, financing referrals, spare parts, warranty and after-sales service.</w:t>
            </w:r>
          </w:p>
        </w:tc>
      </w:tr>
      <w:tr>
        <w:trPr>
          <w:cantSplit/>
        </w:trPr>
        <w:tc>
          <w:tcPr>
            <w:tcW w:type="dxa" w:w="3384"/>
            <w:vAlign w:val="center"/>
            <w:tcMar>
              <w:top w:w="80" w:type="dxa"/>
              <w:start w:w="100" w:type="dxa"/>
              <w:bottom w:w="80" w:type="dxa"/>
              <w:end w:w="100" w:type="dxa"/>
            </w:tcMar>
          </w:tcPr>
          <w:p>
            <w:pPr>
              <w:spacing w:after="0" w:line="240" w:lineRule="auto"/>
            </w:pPr>
            <w:r/>
            <w:r>
              <w:rPr>
                <w:rFonts w:ascii="Aptos" w:hAnsi="Aptos"/>
                <w:b w:val="0"/>
                <w:color w:val="282828"/>
                <w:sz w:val="17"/>
              </w:rPr>
              <w:t>Bank</w:t>
            </w:r>
          </w:p>
        </w:tc>
        <w:tc>
          <w:tcPr>
            <w:tcW w:type="dxa" w:w="7560"/>
            <w:vAlign w:val="center"/>
            <w:tcMar>
              <w:top w:w="80" w:type="dxa"/>
              <w:start w:w="100" w:type="dxa"/>
              <w:bottom w:w="80" w:type="dxa"/>
              <w:end w:w="100" w:type="dxa"/>
            </w:tcMar>
          </w:tcPr>
          <w:p>
            <w:pPr>
              <w:spacing w:after="0" w:line="240" w:lineRule="auto"/>
            </w:pPr>
            <w:r/>
            <w:r>
              <w:rPr>
                <w:rFonts w:ascii="Aptos" w:hAnsi="Aptos"/>
                <w:b w:val="0"/>
                <w:color w:val="282828"/>
                <w:sz w:val="17"/>
              </w:rPr>
              <w:t>Agricultural, machinery and working-capital finance; borrower appraisal; collateral; repayment structuring; possible cluster and market-linkage support.</w:t>
            </w:r>
          </w:p>
        </w:tc>
      </w:tr>
      <w:tr>
        <w:trPr>
          <w:cantSplit/>
        </w:trPr>
        <w:tc>
          <w:tcPr>
            <w:tcW w:type="dxa" w:w="3384"/>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Insurance company</w:t>
            </w:r>
          </w:p>
        </w:tc>
        <w:tc>
          <w:tcPr>
            <w:tcW w:type="dxa" w:w="756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Asset and agricultural insurance, possible cattle coverage, pre-inspection, valuation and claims processing.</w:t>
            </w:r>
          </w:p>
        </w:tc>
      </w:tr>
      <w:tr>
        <w:trPr>
          <w:cantSplit/>
        </w:trPr>
        <w:tc>
          <w:tcPr>
            <w:tcW w:type="dxa" w:w="3384"/>
            <w:vAlign w:val="center"/>
            <w:tcMar>
              <w:top w:w="80" w:type="dxa"/>
              <w:start w:w="100" w:type="dxa"/>
              <w:bottom w:w="80" w:type="dxa"/>
              <w:end w:w="100" w:type="dxa"/>
            </w:tcMar>
          </w:tcPr>
          <w:p>
            <w:pPr>
              <w:spacing w:after="0" w:line="240" w:lineRule="auto"/>
            </w:pPr>
            <w:r/>
            <w:r>
              <w:rPr>
                <w:rFonts w:ascii="Aptos" w:hAnsi="Aptos"/>
                <w:b w:val="0"/>
                <w:color w:val="282828"/>
                <w:sz w:val="17"/>
              </w:rPr>
              <w:t>Ministry of Livestock and Fisheries</w:t>
            </w:r>
          </w:p>
        </w:tc>
        <w:tc>
          <w:tcPr>
            <w:tcW w:type="dxa" w:w="7560"/>
            <w:vAlign w:val="center"/>
            <w:tcMar>
              <w:top w:w="80" w:type="dxa"/>
              <w:start w:w="100" w:type="dxa"/>
              <w:bottom w:w="80" w:type="dxa"/>
              <w:end w:w="100" w:type="dxa"/>
            </w:tcMar>
          </w:tcPr>
          <w:p>
            <w:pPr>
              <w:spacing w:after="0" w:line="240" w:lineRule="auto"/>
            </w:pPr>
            <w:r/>
            <w:r>
              <w:rPr>
                <w:rFonts w:ascii="Aptos" w:hAnsi="Aptos"/>
                <w:b w:val="0"/>
                <w:color w:val="282828"/>
                <w:sz w:val="17"/>
              </w:rPr>
              <w:t>Technical extension, animal health, farmer identification, livestock records, traceability, market and value-chain policy.</w:t>
            </w:r>
          </w:p>
        </w:tc>
      </w:tr>
      <w:tr>
        <w:trPr>
          <w:cantSplit/>
        </w:trPr>
        <w:tc>
          <w:tcPr>
            <w:tcW w:type="dxa" w:w="3384"/>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Ministry responsible for cooperatives and SMEs</w:t>
            </w:r>
          </w:p>
        </w:tc>
        <w:tc>
          <w:tcPr>
            <w:tcW w:type="dxa" w:w="756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Potential cooperative governance, leadership, business-management and financial-literacy support.</w:t>
            </w:r>
          </w:p>
        </w:tc>
      </w:tr>
      <w:tr>
        <w:trPr>
          <w:cantSplit/>
        </w:trPr>
        <w:tc>
          <w:tcPr>
            <w:tcW w:type="dxa" w:w="3384"/>
            <w:vAlign w:val="center"/>
            <w:tcMar>
              <w:top w:w="80" w:type="dxa"/>
              <w:start w:w="100" w:type="dxa"/>
              <w:bottom w:w="80" w:type="dxa"/>
              <w:end w:w="100" w:type="dxa"/>
            </w:tcMar>
          </w:tcPr>
          <w:p>
            <w:pPr>
              <w:spacing w:after="0" w:line="240" w:lineRule="auto"/>
            </w:pPr>
            <w:r/>
            <w:r>
              <w:rPr>
                <w:rFonts w:ascii="Aptos" w:hAnsi="Aptos"/>
                <w:b w:val="0"/>
                <w:color w:val="282828"/>
                <w:sz w:val="17"/>
              </w:rPr>
              <w:t>Abattoirs, butchers and market actors</w:t>
            </w:r>
          </w:p>
        </w:tc>
        <w:tc>
          <w:tcPr>
            <w:tcW w:type="dxa" w:w="7560"/>
            <w:vAlign w:val="center"/>
            <w:tcMar>
              <w:top w:w="80" w:type="dxa"/>
              <w:start w:w="100" w:type="dxa"/>
              <w:bottom w:w="80" w:type="dxa"/>
              <w:end w:w="100" w:type="dxa"/>
            </w:tcMar>
          </w:tcPr>
          <w:p>
            <w:pPr>
              <w:spacing w:after="0" w:line="240" w:lineRule="auto"/>
            </w:pPr>
            <w:r/>
            <w:r>
              <w:rPr>
                <w:rFonts w:ascii="Aptos" w:hAnsi="Aptos"/>
                <w:b w:val="0"/>
                <w:color w:val="282828"/>
                <w:sz w:val="17"/>
              </w:rPr>
              <w:t>Potential demand for better-quality cattle or meat, price discovery, slaughter services and formal offtake.</w:t>
            </w:r>
          </w:p>
        </w:tc>
      </w:tr>
    </w:tbl>
    <w:p>
      <w:pPr>
        <w:spacing w:after="0"/>
      </w:pPr>
    </w:p>
    <w:p>
      <w:pPr>
        <w:pStyle w:val="Heading1"/>
        <w:keepNext/>
      </w:pPr>
      <w:r>
        <w:t>3. Solution logic and the minimum viable scaling package</w:t>
      </w:r>
    </w:p>
    <w:p>
      <w:pPr/>
      <w:r>
        <w:rPr>
          <w:rFonts w:ascii="Aptos" w:hAnsi="Aptos"/>
          <w:color w:val="282828"/>
          <w:sz w:val="20"/>
        </w:rPr>
        <w:t>The proposed solution is not simply the introduction of lablab, mucuna, crop residues or a chopper-grinder. The discussion implied an end-to-end commercial system in which each component depends on the others. If one link fails, the farmer may be left with forage that has no profitable use, machinery that is underutilized, debt that cannot be serviced, or cattle that cannot be sold at a premium.</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vAlign w:val="center"/>
            <w:tcMar>
              <w:top w:w="80" w:type="dxa"/>
              <w:start w:w="100" w:type="dxa"/>
              <w:bottom w:w="80" w:type="dxa"/>
              <w:end w:w="100" w:type="dxa"/>
            </w:tcMar>
            <w:shd w:fill="1F374E"/>
          </w:tcPr>
          <w:p>
            <w:pPr>
              <w:spacing w:after="0" w:line="240" w:lineRule="auto"/>
            </w:pPr>
            <w:r/>
            <w:r>
              <w:rPr>
                <w:rFonts w:ascii="Aptos" w:hAnsi="Aptos"/>
                <w:b/>
                <w:color w:val="FFFFFF"/>
                <w:sz w:val="18"/>
              </w:rPr>
              <w:t>Package element</w:t>
            </w:r>
          </w:p>
        </w:tc>
        <w:tc>
          <w:tcPr>
            <w:tcW w:type="dxa" w:w="5544"/>
            <w:vAlign w:val="center"/>
            <w:tcMar>
              <w:top w:w="80" w:type="dxa"/>
              <w:start w:w="100" w:type="dxa"/>
              <w:bottom w:w="80" w:type="dxa"/>
              <w:end w:w="100" w:type="dxa"/>
            </w:tcMar>
            <w:shd w:fill="1F374E"/>
          </w:tcPr>
          <w:p>
            <w:pPr>
              <w:spacing w:after="0" w:line="240" w:lineRule="auto"/>
            </w:pPr>
            <w:r/>
            <w:r>
              <w:rPr>
                <w:rFonts w:ascii="Aptos" w:hAnsi="Aptos"/>
                <w:b/>
                <w:color w:val="FFFFFF"/>
                <w:sz w:val="18"/>
              </w:rPr>
              <w:t>Required function</w:t>
            </w:r>
          </w:p>
        </w:tc>
        <w:tc>
          <w:tcPr>
            <w:tcW w:type="dxa" w:w="3312"/>
            <w:vAlign w:val="center"/>
            <w:tcMar>
              <w:top w:w="80" w:type="dxa"/>
              <w:start w:w="100" w:type="dxa"/>
              <w:bottom w:w="80" w:type="dxa"/>
              <w:end w:w="100" w:type="dxa"/>
            </w:tcMar>
            <w:shd w:fill="1F374E"/>
          </w:tcPr>
          <w:p>
            <w:pPr>
              <w:spacing w:after="0" w:line="240" w:lineRule="auto"/>
            </w:pPr>
            <w:r/>
            <w:r>
              <w:rPr>
                <w:rFonts w:ascii="Aptos" w:hAnsi="Aptos"/>
                <w:b/>
                <w:color w:val="FFFFFF"/>
                <w:sz w:val="18"/>
              </w:rPr>
              <w:t>Current maturity</w:t>
            </w:r>
          </w:p>
        </w:tc>
      </w:tr>
      <w:tr>
        <w:trPr>
          <w:cantSplit/>
        </w:trPr>
        <w:tc>
          <w:tcPr>
            <w:tcW w:type="dxa" w:w="2088"/>
            <w:vAlign w:val="center"/>
            <w:tcMar>
              <w:top w:w="80" w:type="dxa"/>
              <w:start w:w="100" w:type="dxa"/>
              <w:bottom w:w="80" w:type="dxa"/>
              <w:end w:w="100" w:type="dxa"/>
            </w:tcMar>
          </w:tcPr>
          <w:p>
            <w:pPr>
              <w:spacing w:after="0" w:line="240" w:lineRule="auto"/>
            </w:pPr>
            <w:r/>
            <w:r>
              <w:rPr>
                <w:rFonts w:ascii="Aptos" w:hAnsi="Aptos"/>
                <w:b w:val="0"/>
                <w:color w:val="282828"/>
                <w:sz w:val="16"/>
              </w:rPr>
              <w:t>Feed resource</w:t>
            </w:r>
          </w:p>
        </w:tc>
        <w:tc>
          <w:tcPr>
            <w:tcW w:type="dxa" w:w="5544"/>
            <w:vAlign w:val="center"/>
            <w:tcMar>
              <w:top w:w="80" w:type="dxa"/>
              <w:start w:w="100" w:type="dxa"/>
              <w:bottom w:w="80" w:type="dxa"/>
              <w:end w:w="100" w:type="dxa"/>
            </w:tcMar>
          </w:tcPr>
          <w:p>
            <w:pPr>
              <w:spacing w:after="0" w:line="240" w:lineRule="auto"/>
            </w:pPr>
            <w:r/>
            <w:r>
              <w:rPr>
                <w:rFonts w:ascii="Aptos" w:hAnsi="Aptos"/>
                <w:b w:val="0"/>
                <w:color w:val="282828"/>
                <w:sz w:val="16"/>
              </w:rPr>
              <w:t>Reliable forage, crop residues and ration formulation adequate for the intended cattle numbers and fattening period.</w:t>
            </w:r>
          </w:p>
        </w:tc>
        <w:tc>
          <w:tcPr>
            <w:tcW w:type="dxa" w:w="3312"/>
            <w:vAlign w:val="center"/>
            <w:tcMar>
              <w:top w:w="80" w:type="dxa"/>
              <w:start w:w="100" w:type="dxa"/>
              <w:bottom w:w="80" w:type="dxa"/>
              <w:end w:w="100" w:type="dxa"/>
            </w:tcMar>
          </w:tcPr>
          <w:p>
            <w:pPr>
              <w:spacing w:after="0" w:line="240" w:lineRule="auto"/>
            </w:pPr>
            <w:r/>
            <w:r>
              <w:rPr>
                <w:rFonts w:ascii="Aptos" w:hAnsi="Aptos"/>
                <w:b w:val="0"/>
                <w:color w:val="282828"/>
                <w:sz w:val="16"/>
              </w:rPr>
              <w:t>Technical concept exists; farm-level feed budgets remain unverified.</w:t>
            </w:r>
          </w:p>
        </w:tc>
      </w:tr>
      <w:tr>
        <w:trPr>
          <w:cantSplit/>
        </w:trPr>
        <w:tc>
          <w:tcPr>
            <w:tcW w:type="dxa" w:w="208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Seed and inputs</w:t>
            </w:r>
          </w:p>
        </w:tc>
        <w:tc>
          <w:tcPr>
            <w:tcW w:type="dxa" w:w="554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Commercial availability of suitable forage seed at a price farmers will pay, with repeat demand and quality assurance.</w:t>
            </w:r>
          </w:p>
        </w:tc>
        <w:tc>
          <w:tcPr>
            <w:tcW w:type="dxa" w:w="331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Early and project-influenced.</w:t>
            </w:r>
          </w:p>
        </w:tc>
      </w:tr>
      <w:tr>
        <w:trPr>
          <w:cantSplit/>
        </w:trPr>
        <w:tc>
          <w:tcPr>
            <w:tcW w:type="dxa" w:w="2088"/>
            <w:vAlign w:val="center"/>
            <w:tcMar>
              <w:top w:w="80" w:type="dxa"/>
              <w:start w:w="100" w:type="dxa"/>
              <w:bottom w:w="80" w:type="dxa"/>
              <w:end w:w="100" w:type="dxa"/>
            </w:tcMar>
          </w:tcPr>
          <w:p>
            <w:pPr>
              <w:spacing w:after="0" w:line="240" w:lineRule="auto"/>
            </w:pPr>
            <w:r/>
            <w:r>
              <w:rPr>
                <w:rFonts w:ascii="Aptos" w:hAnsi="Aptos"/>
                <w:b w:val="0"/>
                <w:color w:val="282828"/>
                <w:sz w:val="16"/>
              </w:rPr>
              <w:t>Knowledge</w:t>
            </w:r>
          </w:p>
        </w:tc>
        <w:tc>
          <w:tcPr>
            <w:tcW w:type="dxa" w:w="5544"/>
            <w:vAlign w:val="center"/>
            <w:tcMar>
              <w:top w:w="80" w:type="dxa"/>
              <w:start w:w="100" w:type="dxa"/>
              <w:bottom w:w="80" w:type="dxa"/>
              <w:end w:w="100" w:type="dxa"/>
            </w:tcMar>
          </w:tcPr>
          <w:p>
            <w:pPr>
              <w:spacing w:after="0" w:line="240" w:lineRule="auto"/>
            </w:pPr>
            <w:r/>
            <w:r>
              <w:rPr>
                <w:rFonts w:ascii="Aptos" w:hAnsi="Aptos"/>
                <w:b w:val="0"/>
                <w:color w:val="282828"/>
                <w:sz w:val="16"/>
              </w:rPr>
              <w:t>Practical training on forage production, conservation, ration mixing, animal health, weighing and enterprise management.</w:t>
            </w:r>
          </w:p>
        </w:tc>
        <w:tc>
          <w:tcPr>
            <w:tcW w:type="dxa" w:w="3312"/>
            <w:vAlign w:val="center"/>
            <w:tcMar>
              <w:top w:w="80" w:type="dxa"/>
              <w:start w:w="100" w:type="dxa"/>
              <w:bottom w:w="80" w:type="dxa"/>
              <w:end w:w="100" w:type="dxa"/>
            </w:tcMar>
          </w:tcPr>
          <w:p>
            <w:pPr>
              <w:spacing w:after="0" w:line="240" w:lineRule="auto"/>
            </w:pPr>
            <w:r/>
            <w:r>
              <w:rPr>
                <w:rFonts w:ascii="Aptos" w:hAnsi="Aptos"/>
                <w:b w:val="0"/>
                <w:color w:val="282828"/>
                <w:sz w:val="16"/>
              </w:rPr>
              <w:t>Partner interest is high; reach and quality vary.</w:t>
            </w:r>
          </w:p>
        </w:tc>
      </w:tr>
      <w:tr>
        <w:trPr>
          <w:cantSplit/>
        </w:trPr>
        <w:tc>
          <w:tcPr>
            <w:tcW w:type="dxa" w:w="208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Machinery</w:t>
            </w:r>
          </w:p>
        </w:tc>
        <w:tc>
          <w:tcPr>
            <w:tcW w:type="dxa" w:w="554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Appropriate choppers, grinders, mixers, scales and possibly pelletizers, with service, spare parts and affordable power.</w:t>
            </w:r>
          </w:p>
        </w:tc>
        <w:tc>
          <w:tcPr>
            <w:tcW w:type="dxa" w:w="331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Supplier pathway is credible; smallholder model is not yet proven.</w:t>
            </w:r>
          </w:p>
        </w:tc>
      </w:tr>
      <w:tr>
        <w:trPr>
          <w:cantSplit/>
        </w:trPr>
        <w:tc>
          <w:tcPr>
            <w:tcW w:type="dxa" w:w="2088"/>
            <w:vAlign w:val="center"/>
            <w:tcMar>
              <w:top w:w="80" w:type="dxa"/>
              <w:start w:w="100" w:type="dxa"/>
              <w:bottom w:w="80" w:type="dxa"/>
              <w:end w:w="100" w:type="dxa"/>
            </w:tcMar>
          </w:tcPr>
          <w:p>
            <w:pPr>
              <w:spacing w:after="0" w:line="240" w:lineRule="auto"/>
            </w:pPr>
            <w:r/>
            <w:r>
              <w:rPr>
                <w:rFonts w:ascii="Aptos" w:hAnsi="Aptos"/>
                <w:b w:val="0"/>
                <w:color w:val="282828"/>
                <w:sz w:val="16"/>
              </w:rPr>
              <w:t>Finance and insurance</w:t>
            </w:r>
          </w:p>
        </w:tc>
        <w:tc>
          <w:tcPr>
            <w:tcW w:type="dxa" w:w="5544"/>
            <w:vAlign w:val="center"/>
            <w:tcMar>
              <w:top w:w="80" w:type="dxa"/>
              <w:start w:w="100" w:type="dxa"/>
              <w:bottom w:w="80" w:type="dxa"/>
              <w:end w:w="100" w:type="dxa"/>
            </w:tcMar>
          </w:tcPr>
          <w:p>
            <w:pPr>
              <w:spacing w:after="0" w:line="240" w:lineRule="auto"/>
            </w:pPr>
            <w:r/>
            <w:r>
              <w:rPr>
                <w:rFonts w:ascii="Aptos" w:hAnsi="Aptos"/>
                <w:b w:val="0"/>
                <w:color w:val="282828"/>
                <w:sz w:val="16"/>
              </w:rPr>
              <w:t>Capital and working capital with repayment aligned to the production cycle and realistic risk protection.</w:t>
            </w:r>
          </w:p>
        </w:tc>
        <w:tc>
          <w:tcPr>
            <w:tcW w:type="dxa" w:w="3312"/>
            <w:vAlign w:val="center"/>
            <w:tcMar>
              <w:top w:w="80" w:type="dxa"/>
              <w:start w:w="100" w:type="dxa"/>
              <w:bottom w:w="80" w:type="dxa"/>
              <w:end w:w="100" w:type="dxa"/>
            </w:tcMar>
          </w:tcPr>
          <w:p>
            <w:pPr>
              <w:spacing w:after="0" w:line="240" w:lineRule="auto"/>
            </w:pPr>
            <w:r/>
            <w:r>
              <w:rPr>
                <w:rFonts w:ascii="Aptos" w:hAnsi="Aptos"/>
                <w:b w:val="0"/>
                <w:color w:val="282828"/>
                <w:sz w:val="16"/>
              </w:rPr>
              <w:t>Products exist, but little evidence of use by the target segment.</w:t>
            </w:r>
          </w:p>
        </w:tc>
      </w:tr>
      <w:tr>
        <w:trPr>
          <w:cantSplit/>
        </w:trPr>
        <w:tc>
          <w:tcPr>
            <w:tcW w:type="dxa" w:w="208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Organization</w:t>
            </w:r>
          </w:p>
        </w:tc>
        <w:tc>
          <w:tcPr>
            <w:tcW w:type="dxa" w:w="554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A viable operator: individual entrepreneur, service provider, high-quality cooperative or anchor enterprise.</w:t>
            </w:r>
          </w:p>
        </w:tc>
        <w:tc>
          <w:tcPr>
            <w:tcW w:type="dxa" w:w="331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Not yet selected consistently.</w:t>
            </w:r>
          </w:p>
        </w:tc>
      </w:tr>
      <w:tr>
        <w:trPr>
          <w:cantSplit/>
        </w:trPr>
        <w:tc>
          <w:tcPr>
            <w:tcW w:type="dxa" w:w="2088"/>
            <w:vAlign w:val="center"/>
            <w:tcMar>
              <w:top w:w="80" w:type="dxa"/>
              <w:start w:w="100" w:type="dxa"/>
              <w:bottom w:w="80" w:type="dxa"/>
              <w:end w:w="100" w:type="dxa"/>
            </w:tcMar>
          </w:tcPr>
          <w:p>
            <w:pPr>
              <w:spacing w:after="0" w:line="240" w:lineRule="auto"/>
            </w:pPr>
            <w:r/>
            <w:r>
              <w:rPr>
                <w:rFonts w:ascii="Aptos" w:hAnsi="Aptos"/>
                <w:b w:val="0"/>
                <w:color w:val="282828"/>
                <w:sz w:val="16"/>
              </w:rPr>
              <w:t>Market</w:t>
            </w:r>
          </w:p>
        </w:tc>
        <w:tc>
          <w:tcPr>
            <w:tcW w:type="dxa" w:w="5544"/>
            <w:vAlign w:val="center"/>
            <w:tcMar>
              <w:top w:w="80" w:type="dxa"/>
              <w:start w:w="100" w:type="dxa"/>
              <w:bottom w:w="80" w:type="dxa"/>
              <w:end w:w="100" w:type="dxa"/>
            </w:tcMar>
          </w:tcPr>
          <w:p>
            <w:pPr>
              <w:spacing w:after="0" w:line="240" w:lineRule="auto"/>
            </w:pPr>
            <w:r/>
            <w:r>
              <w:rPr>
                <w:rFonts w:ascii="Aptos" w:hAnsi="Aptos"/>
                <w:b w:val="0"/>
                <w:color w:val="282828"/>
                <w:sz w:val="16"/>
              </w:rPr>
              <w:t>Formal buyers or market channels that reward weight, quality and reliable supply.</w:t>
            </w:r>
          </w:p>
        </w:tc>
        <w:tc>
          <w:tcPr>
            <w:tcW w:type="dxa" w:w="3312"/>
            <w:vAlign w:val="center"/>
            <w:tcMar>
              <w:top w:w="80" w:type="dxa"/>
              <w:start w:w="100" w:type="dxa"/>
              <w:bottom w:w="80" w:type="dxa"/>
              <w:end w:w="100" w:type="dxa"/>
            </w:tcMar>
          </w:tcPr>
          <w:p>
            <w:pPr>
              <w:spacing w:after="0" w:line="240" w:lineRule="auto"/>
            </w:pPr>
            <w:r/>
            <w:r>
              <w:rPr>
                <w:rFonts w:ascii="Aptos" w:hAnsi="Aptos"/>
                <w:b w:val="0"/>
                <w:color w:val="282828"/>
                <w:sz w:val="16"/>
              </w:rPr>
              <w:t>Potential exists; contracts and volumes are not yet established.</w:t>
            </w:r>
          </w:p>
        </w:tc>
      </w:tr>
      <w:tr>
        <w:trPr>
          <w:cantSplit/>
        </w:trPr>
        <w:tc>
          <w:tcPr>
            <w:tcW w:type="dxa" w:w="208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Data and coordination</w:t>
            </w:r>
          </w:p>
        </w:tc>
        <w:tc>
          <w:tcPr>
            <w:tcW w:type="dxa" w:w="554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Tracking of training, seed sales, feed production, cattle performance, finance, insurance and sales.</w:t>
            </w:r>
          </w:p>
        </w:tc>
        <w:tc>
          <w:tcPr>
            <w:tcW w:type="dxa" w:w="331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Fragmented and largely anecdotal.</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E8EFF4"/>
            <w:tcMar>
              <w:top w:w="160" w:type="dxa"/>
              <w:start w:w="180" w:type="dxa"/>
              <w:bottom w:w="150" w:type="dxa"/>
              <w:end w:w="180" w:type="dxa"/>
            </w:tcMar>
          </w:tcPr>
          <w:p>
            <w:pPr>
              <w:spacing w:after="80"/>
            </w:pPr>
            <w:r>
              <w:rPr>
                <w:rFonts w:ascii="Aptos Display" w:hAnsi="Aptos Display"/>
                <w:b/>
                <w:color w:val="1F374E"/>
                <w:sz w:val="22"/>
              </w:rPr>
              <w:t>Minimum viable pathway</w:t>
            </w:r>
          </w:p>
          <w:p>
            <w:pPr>
              <w:spacing w:after="0" w:line="259" w:lineRule="auto"/>
            </w:pPr>
            <w:r>
              <w:rPr>
                <w:rFonts w:ascii="Aptos" w:hAnsi="Aptos"/>
                <w:color w:val="282828"/>
                <w:sz w:val="19"/>
              </w:rPr>
              <w:t>A farmer or cooperative should not be encouraged to borrow for machinery or fattening until the project can show: adequate feed supply, a complete costed ration, a trained operator, an animal-health plan, a realistic cash-flow forecast, a formal buyer or market route, and clear ownership and repayment responsibilities.</w:t>
            </w:r>
          </w:p>
        </w:tc>
      </w:tr>
    </w:tbl>
    <w:p>
      <w:pPr>
        <w:spacing w:after="0"/>
      </w:pPr>
    </w:p>
    <w:p>
      <w:pPr>
        <w:pStyle w:val="Heading1"/>
        <w:keepNext/>
      </w:pPr>
      <w:r>
        <w:t>4. Target farmers and market segmentation</w:t>
      </w:r>
    </w:p>
    <w:p>
      <w:pPr/>
      <w:r>
        <w:rPr>
          <w:rFonts w:ascii="Aptos" w:hAnsi="Aptos"/>
          <w:color w:val="282828"/>
          <w:sz w:val="20"/>
        </w:rPr>
        <w:t>The session revealed substantial ambiguity about the intended adopter. Different partners were implicitly designing for very different farmer types: smallholders with a few cattle and limited land; medium farmers with 70-100 cattle; machinery customers cultivating 15-25 hectares; individual commercial farmers; and cooperatives that pool members and assets. One business model cannot serve all of them.</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vAlign w:val="center"/>
            <w:tcMar>
              <w:top w:w="80" w:type="dxa"/>
              <w:start w:w="100" w:type="dxa"/>
              <w:bottom w:w="80" w:type="dxa"/>
              <w:end w:w="100" w:type="dxa"/>
            </w:tcMar>
            <w:shd w:fill="1F374E"/>
          </w:tcPr>
          <w:p>
            <w:pPr>
              <w:spacing w:after="0" w:line="240" w:lineRule="auto"/>
            </w:pPr>
            <w:r/>
            <w:r>
              <w:rPr>
                <w:rFonts w:ascii="Aptos" w:hAnsi="Aptos"/>
                <w:b/>
                <w:color w:val="FFFFFF"/>
                <w:sz w:val="18"/>
              </w:rPr>
              <w:t>Segment</w:t>
            </w:r>
          </w:p>
        </w:tc>
        <w:tc>
          <w:tcPr>
            <w:tcW w:type="dxa" w:w="4680"/>
            <w:vAlign w:val="center"/>
            <w:tcMar>
              <w:top w:w="80" w:type="dxa"/>
              <w:start w:w="100" w:type="dxa"/>
              <w:bottom w:w="80" w:type="dxa"/>
              <w:end w:w="100" w:type="dxa"/>
            </w:tcMar>
            <w:shd w:fill="1F374E"/>
          </w:tcPr>
          <w:p>
            <w:pPr>
              <w:spacing w:after="0" w:line="240" w:lineRule="auto"/>
            </w:pPr>
            <w:r/>
            <w:r>
              <w:rPr>
                <w:rFonts w:ascii="Aptos" w:hAnsi="Aptos"/>
                <w:b/>
                <w:color w:val="FFFFFF"/>
                <w:sz w:val="18"/>
              </w:rPr>
              <w:t>Likely opportunity</w:t>
            </w:r>
          </w:p>
        </w:tc>
        <w:tc>
          <w:tcPr>
            <w:tcW w:type="dxa" w:w="3888"/>
            <w:vAlign w:val="center"/>
            <w:tcMar>
              <w:top w:w="80" w:type="dxa"/>
              <w:start w:w="100" w:type="dxa"/>
              <w:bottom w:w="80" w:type="dxa"/>
              <w:end w:w="100" w:type="dxa"/>
            </w:tcMar>
            <w:shd w:fill="1F374E"/>
          </w:tcPr>
          <w:p>
            <w:pPr>
              <w:spacing w:after="0" w:line="240" w:lineRule="auto"/>
            </w:pPr>
            <w:r/>
            <w:r>
              <w:rPr>
                <w:rFonts w:ascii="Aptos" w:hAnsi="Aptos"/>
                <w:b/>
                <w:color w:val="FFFFFF"/>
                <w:sz w:val="18"/>
              </w:rPr>
              <w:t>Main constraint</w:t>
            </w:r>
          </w:p>
        </w:tc>
      </w:tr>
      <w:tr>
        <w:trPr>
          <w:cantSplit/>
        </w:trPr>
        <w:tc>
          <w:tcPr>
            <w:tcW w:type="dxa" w:w="2376"/>
            <w:vAlign w:val="center"/>
            <w:tcMar>
              <w:top w:w="80" w:type="dxa"/>
              <w:start w:w="100" w:type="dxa"/>
              <w:bottom w:w="80" w:type="dxa"/>
              <w:end w:w="100" w:type="dxa"/>
            </w:tcMar>
          </w:tcPr>
          <w:p>
            <w:pPr>
              <w:spacing w:after="0" w:line="240" w:lineRule="auto"/>
            </w:pPr>
            <w:r/>
            <w:r>
              <w:rPr>
                <w:rFonts w:ascii="Aptos" w:hAnsi="Aptos"/>
                <w:b w:val="0"/>
                <w:color w:val="282828"/>
                <w:sz w:val="17"/>
              </w:rPr>
              <w:t>Smallholder with a few cattle</w:t>
            </w:r>
          </w:p>
        </w:tc>
        <w:tc>
          <w:tcPr>
            <w:tcW w:type="dxa" w:w="4680"/>
            <w:vAlign w:val="center"/>
            <w:tcMar>
              <w:top w:w="80" w:type="dxa"/>
              <w:start w:w="100" w:type="dxa"/>
              <w:bottom w:w="80" w:type="dxa"/>
              <w:end w:w="100" w:type="dxa"/>
            </w:tcMar>
          </w:tcPr>
          <w:p>
            <w:pPr>
              <w:spacing w:after="0" w:line="240" w:lineRule="auto"/>
            </w:pPr>
            <w:r/>
            <w:r>
              <w:rPr>
                <w:rFonts w:ascii="Aptos" w:hAnsi="Aptos"/>
                <w:b w:val="0"/>
                <w:color w:val="282828"/>
                <w:sz w:val="17"/>
              </w:rPr>
              <w:t>Dry-season supplementation, simple residue conservation, shared or hired chopper services.</w:t>
            </w:r>
          </w:p>
        </w:tc>
        <w:tc>
          <w:tcPr>
            <w:tcW w:type="dxa" w:w="3888"/>
            <w:vAlign w:val="center"/>
            <w:tcMar>
              <w:top w:w="80" w:type="dxa"/>
              <w:start w:w="100" w:type="dxa"/>
              <w:bottom w:w="80" w:type="dxa"/>
              <w:end w:w="100" w:type="dxa"/>
            </w:tcMar>
          </w:tcPr>
          <w:p>
            <w:pPr>
              <w:spacing w:after="0" w:line="240" w:lineRule="auto"/>
            </w:pPr>
            <w:r/>
            <w:r>
              <w:rPr>
                <w:rFonts w:ascii="Aptos" w:hAnsi="Aptos"/>
                <w:b w:val="0"/>
                <w:color w:val="282828"/>
                <w:sz w:val="17"/>
              </w:rPr>
              <w:t>Little land, limited cash, high risk aversion, weak collateral and low ability to own machinery.</w:t>
            </w:r>
          </w:p>
        </w:tc>
      </w:tr>
      <w:tr>
        <w:trPr>
          <w:cantSplit/>
        </w:trPr>
        <w:tc>
          <w:tcPr>
            <w:tcW w:type="dxa" w:w="2376"/>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Emerging farmer with 10-30 cattle</w:t>
            </w:r>
          </w:p>
        </w:tc>
        <w:tc>
          <w:tcPr>
            <w:tcW w:type="dxa" w:w="468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Small feedlot, partial fattening, service-based machinery and formal local offtake.</w:t>
            </w:r>
          </w:p>
        </w:tc>
        <w:tc>
          <w:tcPr>
            <w:tcW w:type="dxa" w:w="3888"/>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Needs business planning, working capital, feed budgeting and dependable buyers.</w:t>
            </w:r>
          </w:p>
        </w:tc>
      </w:tr>
      <w:tr>
        <w:trPr>
          <w:cantSplit/>
        </w:trPr>
        <w:tc>
          <w:tcPr>
            <w:tcW w:type="dxa" w:w="2376"/>
            <w:vAlign w:val="center"/>
            <w:tcMar>
              <w:top w:w="80" w:type="dxa"/>
              <w:start w:w="100" w:type="dxa"/>
              <w:bottom w:w="80" w:type="dxa"/>
              <w:end w:w="100" w:type="dxa"/>
            </w:tcMar>
          </w:tcPr>
          <w:p>
            <w:pPr>
              <w:spacing w:after="0" w:line="240" w:lineRule="auto"/>
            </w:pPr>
            <w:r/>
            <w:r>
              <w:rPr>
                <w:rFonts w:ascii="Aptos" w:hAnsi="Aptos"/>
                <w:b w:val="0"/>
                <w:color w:val="282828"/>
                <w:sz w:val="17"/>
              </w:rPr>
              <w:t>Medium farmer with 70-100 cattle</w:t>
            </w:r>
          </w:p>
        </w:tc>
        <w:tc>
          <w:tcPr>
            <w:tcW w:type="dxa" w:w="4680"/>
            <w:vAlign w:val="center"/>
            <w:tcMar>
              <w:top w:w="80" w:type="dxa"/>
              <w:start w:w="100" w:type="dxa"/>
              <w:bottom w:w="80" w:type="dxa"/>
              <w:end w:w="100" w:type="dxa"/>
            </w:tcMar>
          </w:tcPr>
          <w:p>
            <w:pPr>
              <w:spacing w:after="0" w:line="240" w:lineRule="auto"/>
            </w:pPr>
            <w:r/>
            <w:r>
              <w:rPr>
                <w:rFonts w:ascii="Aptos" w:hAnsi="Aptos"/>
                <w:b w:val="0"/>
                <w:color w:val="282828"/>
                <w:sz w:val="17"/>
              </w:rPr>
              <w:t>Commercial fattening, own machinery, formal finance and repeat input purchases.</w:t>
            </w:r>
          </w:p>
        </w:tc>
        <w:tc>
          <w:tcPr>
            <w:tcW w:type="dxa" w:w="3888"/>
            <w:vAlign w:val="center"/>
            <w:tcMar>
              <w:top w:w="80" w:type="dxa"/>
              <w:start w:w="100" w:type="dxa"/>
              <w:bottom w:w="80" w:type="dxa"/>
              <w:end w:w="100" w:type="dxa"/>
            </w:tcMar>
          </w:tcPr>
          <w:p>
            <w:pPr>
              <w:spacing w:after="0" w:line="240" w:lineRule="auto"/>
            </w:pPr>
            <w:r/>
            <w:r>
              <w:rPr>
                <w:rFonts w:ascii="Aptos" w:hAnsi="Aptos"/>
                <w:b w:val="0"/>
                <w:color w:val="282828"/>
                <w:sz w:val="17"/>
              </w:rPr>
              <w:t>Requires market contracts, animal health, traceability and risk management.</w:t>
            </w:r>
          </w:p>
        </w:tc>
      </w:tr>
      <w:tr>
        <w:trPr>
          <w:cantSplit/>
        </w:trPr>
        <w:tc>
          <w:tcPr>
            <w:tcW w:type="dxa" w:w="2376"/>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Cooperative</w:t>
            </w:r>
          </w:p>
        </w:tc>
        <w:tc>
          <w:tcPr>
            <w:tcW w:type="dxa" w:w="468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Pooling feed, equipment, finance, training, animals and bargaining power.</w:t>
            </w:r>
          </w:p>
        </w:tc>
        <w:tc>
          <w:tcPr>
            <w:tcW w:type="dxa" w:w="3888"/>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Governance, free-riding, member turnover, asset maintenance and financial controls.</w:t>
            </w:r>
          </w:p>
        </w:tc>
      </w:tr>
      <w:tr>
        <w:trPr>
          <w:cantSplit/>
        </w:trPr>
        <w:tc>
          <w:tcPr>
            <w:tcW w:type="dxa" w:w="2376"/>
            <w:vAlign w:val="center"/>
            <w:tcMar>
              <w:top w:w="80" w:type="dxa"/>
              <w:start w:w="100" w:type="dxa"/>
              <w:bottom w:w="80" w:type="dxa"/>
              <w:end w:w="100" w:type="dxa"/>
            </w:tcMar>
          </w:tcPr>
          <w:p>
            <w:pPr>
              <w:spacing w:after="0" w:line="240" w:lineRule="auto"/>
            </w:pPr>
            <w:r/>
            <w:r>
              <w:rPr>
                <w:rFonts w:ascii="Aptos" w:hAnsi="Aptos"/>
                <w:b w:val="0"/>
                <w:color w:val="282828"/>
                <w:sz w:val="17"/>
              </w:rPr>
              <w:t>Private service provider</w:t>
            </w:r>
          </w:p>
        </w:tc>
        <w:tc>
          <w:tcPr>
            <w:tcW w:type="dxa" w:w="4680"/>
            <w:vAlign w:val="center"/>
            <w:tcMar>
              <w:top w:w="80" w:type="dxa"/>
              <w:start w:w="100" w:type="dxa"/>
              <w:bottom w:w="80" w:type="dxa"/>
              <w:end w:w="100" w:type="dxa"/>
            </w:tcMar>
          </w:tcPr>
          <w:p>
            <w:pPr>
              <w:spacing w:after="0" w:line="240" w:lineRule="auto"/>
            </w:pPr>
            <w:r/>
            <w:r>
              <w:rPr>
                <w:rFonts w:ascii="Aptos" w:hAnsi="Aptos"/>
                <w:b w:val="0"/>
                <w:color w:val="282828"/>
                <w:sz w:val="17"/>
              </w:rPr>
              <w:t>Machine hire, feed preparation, weighing, transport or aggregation for many farmers.</w:t>
            </w:r>
          </w:p>
        </w:tc>
        <w:tc>
          <w:tcPr>
            <w:tcW w:type="dxa" w:w="3888"/>
            <w:vAlign w:val="center"/>
            <w:tcMar>
              <w:top w:w="80" w:type="dxa"/>
              <w:start w:w="100" w:type="dxa"/>
              <w:bottom w:w="80" w:type="dxa"/>
              <w:end w:w="100" w:type="dxa"/>
            </w:tcMar>
          </w:tcPr>
          <w:p>
            <w:pPr>
              <w:spacing w:after="0" w:line="240" w:lineRule="auto"/>
            </w:pPr>
            <w:r/>
            <w:r>
              <w:rPr>
                <w:rFonts w:ascii="Aptos" w:hAnsi="Aptos"/>
                <w:b w:val="0"/>
                <w:color w:val="282828"/>
                <w:sz w:val="17"/>
              </w:rPr>
              <w:t>Needs sufficient demand density, route planning, pricing and working capital.</w:t>
            </w:r>
          </w:p>
        </w:tc>
      </w:tr>
      <w:tr>
        <w:trPr>
          <w:cantSplit/>
        </w:trPr>
        <w:tc>
          <w:tcPr>
            <w:tcW w:type="dxa" w:w="2376"/>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Anchor enterprise or aggregator</w:t>
            </w:r>
          </w:p>
        </w:tc>
        <w:tc>
          <w:tcPr>
            <w:tcW w:type="dxa" w:w="468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Input-credit, technical services, buy-back, slaughter or market linkage.</w:t>
            </w:r>
          </w:p>
        </w:tc>
        <w:tc>
          <w:tcPr>
            <w:tcW w:type="dxa" w:w="3888"/>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Must have a clear margin, quality standards, volumes and risk-sharing arrangements.</w:t>
            </w:r>
          </w:p>
        </w:tc>
      </w:tr>
    </w:tbl>
    <w:p>
      <w:pPr>
        <w:spacing w:after="0"/>
      </w:pPr>
    </w:p>
    <w:p>
      <w:pPr/>
      <w:r>
        <w:rPr>
          <w:rFonts w:ascii="Aptos" w:hAnsi="Aptos"/>
          <w:color w:val="282828"/>
          <w:sz w:val="20"/>
        </w:rPr>
        <w:t>The coaching implication is to select a small number of priority segments and define a different minimum package for each. Smallholders may need access to services rather than asset ownership. Medium farmers may be more suitable for initial commercial pilots. Cooperatives should be selected only after governance and financial screening.</w:t>
      </w:r>
    </w:p>
    <w:p>
      <w:pPr>
        <w:pStyle w:val="Heading1"/>
        <w:keepNext/>
      </w:pPr>
      <w:r>
        <w:t>5. Feed-resource, land and ration feasibility</w:t>
      </w:r>
    </w:p>
    <w:p>
      <w:pPr/>
      <w:r>
        <w:rPr>
          <w:rFonts w:ascii="Aptos" w:hAnsi="Aptos"/>
          <w:color w:val="282828"/>
          <w:sz w:val="20"/>
        </w:rPr>
        <w:t>The most consequential technical discussion concerned whether farmers have enough land and biomass to feed the intended number of cattle. Participants used rough calculations involving lablab, maize stover and groundnut haulms. Although the numbers were not consistently stated, the dialogue exposed a major scaling risk: the proposed ration may require more land and residue than many target farmers possess.</w:t>
      </w:r>
    </w:p>
    <w:p>
      <w:pPr>
        <w:pStyle w:val="Heading2"/>
        <w:keepNext/>
      </w:pPr>
      <w:r>
        <w:t>Key issues raised</w:t>
      </w:r>
    </w:p>
    <w:p>
      <w:pPr>
        <w:pStyle w:val="ListBullet"/>
        <w:spacing w:after="50"/>
        <w:ind w:left="317" w:hanging="202"/>
      </w:pPr>
      <w:r>
        <w:rPr>
          <w:rFonts w:ascii="Aptos" w:hAnsi="Aptos"/>
          <w:color w:val="282828"/>
          <w:sz w:val="20"/>
        </w:rPr>
        <w:t>A rough assumption of approximately one tonne of feed per animal over a 90-day period was discussed, with lower quantities if the ration is supplementary rather than the sole feed source. This assumption must be verified by animal weight, desired gain and ration quality.</w:t>
      </w:r>
    </w:p>
    <w:p>
      <w:pPr>
        <w:pStyle w:val="ListBullet"/>
        <w:spacing w:after="50"/>
        <w:ind w:left="317" w:hanging="202"/>
      </w:pPr>
      <w:r>
        <w:rPr>
          <w:rFonts w:ascii="Aptos" w:hAnsi="Aptos"/>
          <w:color w:val="282828"/>
          <w:sz w:val="20"/>
        </w:rPr>
        <w:t>Groundnut haulms were described as an important protein component. The discussion suggested that a substantial quantity may require about one hectare of groundnuts, while the average groundnut plot was informally estimated at only 50 by 50 metres, approximately 0.25 hectares.</w:t>
      </w:r>
    </w:p>
    <w:p>
      <w:pPr>
        <w:pStyle w:val="ListBullet"/>
        <w:spacing w:after="50"/>
        <w:ind w:left="317" w:hanging="202"/>
      </w:pPr>
      <w:r>
        <w:rPr>
          <w:rFonts w:ascii="Aptos" w:hAnsi="Aptos"/>
          <w:color w:val="282828"/>
          <w:sz w:val="20"/>
        </w:rPr>
        <w:t>The package may also require dedicated forage land, such as about two hectares of lablab in one scenario. For a farmer with roughly six hectares, this could crowd out maize, groundnuts or food crops.</w:t>
      </w:r>
    </w:p>
    <w:p>
      <w:pPr>
        <w:pStyle w:val="ListBullet"/>
        <w:spacing w:after="50"/>
        <w:ind w:left="317" w:hanging="202"/>
      </w:pPr>
      <w:r>
        <w:rPr>
          <w:rFonts w:ascii="Aptos" w:hAnsi="Aptos"/>
          <w:color w:val="282828"/>
          <w:sz w:val="20"/>
        </w:rPr>
        <w:t>Some participants suggested sourcing unused residues from neighboring farmers. The coach emphasized that this works only while adoption is low. If many livestock farmers begin using residues, the surplus disappears and prices may rise.</w:t>
      </w:r>
    </w:p>
    <w:p>
      <w:pPr>
        <w:pStyle w:val="ListBullet"/>
        <w:spacing w:after="50"/>
        <w:ind w:left="317" w:hanging="202"/>
      </w:pPr>
      <w:r>
        <w:rPr>
          <w:rFonts w:ascii="Aptos" w:hAnsi="Aptos"/>
          <w:color w:val="282828"/>
          <w:sz w:val="20"/>
        </w:rPr>
        <w:t>Lablab was reported to face production challenges, while mucuna was mentioned as another option. The agronomic performance, yield, palatability and seed availability of each forage need to be quantified by location.</w:t>
      </w:r>
    </w:p>
    <w:p>
      <w:pPr>
        <w:pStyle w:val="ListBullet"/>
        <w:spacing w:after="50"/>
        <w:ind w:left="317" w:hanging="202"/>
      </w:pPr>
      <w:r>
        <w:rPr>
          <w:rFonts w:ascii="Aptos" w:hAnsi="Aptos"/>
          <w:color w:val="282828"/>
          <w:sz w:val="20"/>
        </w:rPr>
        <w:t>The discussion did not clearly distinguish feed for maintenance during the dry season from a higher-energy ration for commercial fattening. These are different products with different costs, quantities and profitability.</w:t>
      </w:r>
    </w:p>
    <w:tbl>
      <w:tblPr>
        <w:tblW w:type="auto" w:w="0"/>
        <w:jc w:val="center"/>
        <w:tblLook w:firstColumn="1" w:firstRow="1" w:lastColumn="0" w:lastRow="0" w:noHBand="0" w:noVBand="1" w:val="04A0"/>
      </w:tblPr>
      <w:tblGrid>
        <w:gridCol w:w="9994"/>
      </w:tblGrid>
      <w:tr>
        <w:trPr>
          <w:cantSplit/>
        </w:trPr>
        <w:tc>
          <w:tcPr>
            <w:tcW w:type="dxa" w:w="9994"/>
            <w:shd w:fill="FFF2CC"/>
            <w:tcMar>
              <w:top w:w="160" w:type="dxa"/>
              <w:start w:w="180" w:type="dxa"/>
              <w:bottom w:w="150" w:type="dxa"/>
              <w:end w:w="180" w:type="dxa"/>
            </w:tcMar>
          </w:tcPr>
          <w:p>
            <w:pPr>
              <w:spacing w:after="80"/>
            </w:pPr>
            <w:r>
              <w:rPr>
                <w:rFonts w:ascii="Aptos Display" w:hAnsi="Aptos Display"/>
                <w:b/>
                <w:color w:val="1F374E"/>
                <w:sz w:val="22"/>
              </w:rPr>
              <w:t>Required analysis</w:t>
            </w:r>
          </w:p>
          <w:p>
            <w:pPr>
              <w:spacing w:after="0" w:line="259" w:lineRule="auto"/>
            </w:pPr>
            <w:r>
              <w:rPr>
                <w:rFonts w:ascii="Aptos" w:hAnsi="Aptos"/>
                <w:color w:val="282828"/>
                <w:sz w:val="19"/>
              </w:rPr>
              <w:t>Prepare a farm-level feed balance for each target segment: number and liveweight of cattle; feeding period; target weight gain; daily dry-matter requirement; forage and residue yields; land area; labor; storage losses; purchased ingredients; water; machinery use; and total cost. The model should show the threshold at which fattening becomes profitable and the landholding below which a different service or supplementation model is needed.</w:t>
            </w:r>
          </w:p>
        </w:tc>
      </w:tr>
    </w:tbl>
    <w:p>
      <w:pPr>
        <w:spacing w:after="0"/>
      </w:pPr>
    </w:p>
    <w:p>
      <w:pPr>
        <w:pStyle w:val="Heading1"/>
        <w:keepNext/>
      </w:pPr>
      <w:r>
        <w:t>6. Forage seed and input-supply pathway</w:t>
      </w:r>
    </w:p>
    <w:p>
      <w:pPr/>
      <w:r>
        <w:rPr>
          <w:rFonts w:ascii="Aptos" w:hAnsi="Aptos"/>
          <w:color w:val="282828"/>
          <w:sz w:val="20"/>
        </w:rPr>
        <w:t>Forage seed is central to the technical package, but the commercial pathway is weak. The private livestock-services partner was willing to stock seed if demand developed, yet no demand had been received for lablab or mucuna at the time of the discussion. Only three farmers reportedly purchased other forage seed, such as Rhodes grass and lucerne, during the recent planting season.</w:t>
      </w:r>
    </w:p>
    <w:p>
      <w:pPr>
        <w:pStyle w:val="Heading2"/>
        <w:keepNext/>
      </w:pPr>
      <w:r>
        <w:t>Commercial questions raised</w:t>
      </w:r>
    </w:p>
    <w:p>
      <w:pPr>
        <w:pStyle w:val="ListBullet"/>
        <w:spacing w:after="50"/>
        <w:ind w:left="317" w:hanging="202"/>
      </w:pPr>
      <w:r>
        <w:rPr>
          <w:rFonts w:ascii="Aptos" w:hAnsi="Aptos"/>
          <w:color w:val="282828"/>
          <w:sz w:val="20"/>
        </w:rPr>
        <w:t>Most forage crops discussed are open-pollinated, enabling farmers to save seed. The project needs evidence on how often farmers will repurchase certified or quality-declared seed and what performance difference will justify repeat purchase.</w:t>
      </w:r>
    </w:p>
    <w:p>
      <w:pPr>
        <w:pStyle w:val="ListBullet"/>
        <w:spacing w:after="50"/>
        <w:ind w:left="317" w:hanging="202"/>
      </w:pPr>
      <w:r>
        <w:rPr>
          <w:rFonts w:ascii="Aptos" w:hAnsi="Aptos"/>
          <w:color w:val="282828"/>
          <w:sz w:val="20"/>
        </w:rPr>
        <w:t>Farmers may expect seed to be distributed free because other development programs, including government, IFAD- or World Bank-supported activities, were reported to provide or subsidize seed and support local multiplication.</w:t>
      </w:r>
    </w:p>
    <w:p>
      <w:pPr>
        <w:pStyle w:val="ListBullet"/>
        <w:spacing w:after="50"/>
        <w:ind w:left="317" w:hanging="202"/>
      </w:pPr>
      <w:r>
        <w:rPr>
          <w:rFonts w:ascii="Aptos" w:hAnsi="Aptos"/>
          <w:color w:val="282828"/>
          <w:sz w:val="20"/>
        </w:rPr>
        <w:t>Subsidized procurement prices may distort the market. One statement referred to programs paying approximately K50 per kilogram for seed, but the exact crop, seed class and market price require verification.</w:t>
      </w:r>
    </w:p>
    <w:p>
      <w:pPr>
        <w:pStyle w:val="ListBullet"/>
        <w:spacing w:after="50"/>
        <w:ind w:left="317" w:hanging="202"/>
      </w:pPr>
      <w:r>
        <w:rPr>
          <w:rFonts w:ascii="Aptos" w:hAnsi="Aptos"/>
          <w:color w:val="282828"/>
          <w:sz w:val="20"/>
        </w:rPr>
        <w:t>Private sellers will stock seed only if demand is predictable and margins are adequate. Awareness activities should therefore be paired with pre-orders, demonstration evidence and clear demand forecasts.</w:t>
      </w:r>
    </w:p>
    <w:p>
      <w:pPr>
        <w:pStyle w:val="ListBullet"/>
        <w:spacing w:after="50"/>
        <w:ind w:left="317" w:hanging="202"/>
      </w:pPr>
      <w:r>
        <w:rPr>
          <w:rFonts w:ascii="Aptos" w:hAnsi="Aptos"/>
          <w:color w:val="282828"/>
          <w:sz w:val="20"/>
        </w:rPr>
        <w:t>The project must clarify seed class, quality control, inspection, source, multiplication responsibility, packaging and replacement strategy.</w:t>
      </w:r>
    </w:p>
    <w:p>
      <w:pPr>
        <w:pStyle w:val="ListBullet"/>
        <w:spacing w:after="50"/>
        <w:ind w:left="317" w:hanging="202"/>
      </w:pPr>
      <w:r>
        <w:rPr>
          <w:rFonts w:ascii="Aptos" w:hAnsi="Aptos"/>
          <w:color w:val="282828"/>
          <w:sz w:val="20"/>
        </w:rPr>
        <w:t>Seed demand should be calculated from the intended area and farmer targets, rather than assuming that a supply partnership is sufficient.</w:t>
      </w:r>
    </w:p>
    <w:p>
      <w:pPr/>
      <w:r>
        <w:rPr>
          <w:rFonts w:ascii="Aptos" w:hAnsi="Aptos"/>
          <w:color w:val="282828"/>
          <w:sz w:val="20"/>
        </w:rPr>
        <w:t>The coaching advice is to avoid creating a temporary project market that collapses after free seed distribution ends. The preferred transition is a phased model: demonstration quantities, farmer co-payment, commercial pre-orders, repeat purchase tracking and eventual full market pricing.</w:t>
      </w:r>
    </w:p>
    <w:p>
      <w:pPr>
        <w:pStyle w:val="Heading1"/>
        <w:keepNext/>
      </w:pPr>
      <w:r>
        <w:t>7. Farmer awareness, extension and demand creation</w:t>
      </w:r>
    </w:p>
    <w:p>
      <w:pPr/>
      <w:r>
        <w:rPr>
          <w:rFonts w:ascii="Aptos" w:hAnsi="Aptos"/>
          <w:color w:val="282828"/>
          <w:sz w:val="20"/>
        </w:rPr>
        <w:t>Partners repeatedly described training and sensitization as their contribution. The livestock-services business conducts training partly to create demand for medicines, feeds and forage products. CAMCO plans to demonstrate and market new machinery. COMACO may use lead farmers and extension staff. The bank and insurer also expect joint outreach with the ministry. This creates a strong potential network, but the session did not show a common curriculum, farmer journey or cost-sharing model.</w:t>
      </w:r>
    </w:p>
    <w:p>
      <w:pPr>
        <w:pStyle w:val="Heading2"/>
        <w:keepNext/>
      </w:pPr>
      <w:r>
        <w:t>Evidence from the session</w:t>
      </w:r>
    </w:p>
    <w:p>
      <w:pPr>
        <w:pStyle w:val="ListBullet"/>
        <w:spacing w:after="50"/>
        <w:ind w:left="317" w:hanging="202"/>
      </w:pPr>
      <w:r>
        <w:rPr>
          <w:rFonts w:ascii="Aptos" w:hAnsi="Aptos"/>
          <w:color w:val="282828"/>
          <w:sz w:val="20"/>
        </w:rPr>
        <w:t>The livestock-services partner reported focused supplementation discussions with approximately 27 farmers since the previous November, constrained partly by venue and staffing limitations.</w:t>
      </w:r>
    </w:p>
    <w:p>
      <w:pPr>
        <w:pStyle w:val="ListBullet"/>
        <w:spacing w:after="50"/>
        <w:ind w:left="317" w:hanging="202"/>
      </w:pPr>
      <w:r>
        <w:rPr>
          <w:rFonts w:ascii="Aptos" w:hAnsi="Aptos"/>
          <w:color w:val="282828"/>
          <w:sz w:val="20"/>
        </w:rPr>
        <w:t>Only about three people had approached the business about forage seed, and only three expressed interest in cattle fattening. This suggests that awareness is not yet converting consistently into transactions.</w:t>
      </w:r>
    </w:p>
    <w:p>
      <w:pPr>
        <w:pStyle w:val="ListBullet"/>
        <w:spacing w:after="50"/>
        <w:ind w:left="317" w:hanging="202"/>
      </w:pPr>
      <w:r>
        <w:rPr>
          <w:rFonts w:ascii="Aptos" w:hAnsi="Aptos"/>
          <w:color w:val="282828"/>
          <w:sz w:val="20"/>
        </w:rPr>
        <w:t>The business had broader reach through vaccination, deworming, dipping and veterinary-product sales, but this should not be counted automatically as forage or fattening reach.</w:t>
      </w:r>
    </w:p>
    <w:p>
      <w:pPr>
        <w:pStyle w:val="ListBullet"/>
        <w:spacing w:after="50"/>
        <w:ind w:left="317" w:hanging="202"/>
      </w:pPr>
      <w:r>
        <w:rPr>
          <w:rFonts w:ascii="Aptos" w:hAnsi="Aptos"/>
          <w:color w:val="282828"/>
          <w:sz w:val="20"/>
        </w:rPr>
        <w:t>COMACO has an existing extension and farmer network that may be trained through a training-of-trainers model, but the cost and incentive for sustained livestock extension remain unclear.</w:t>
      </w:r>
    </w:p>
    <w:p>
      <w:pPr>
        <w:pStyle w:val="ListBullet"/>
        <w:spacing w:after="50"/>
        <w:ind w:left="317" w:hanging="202"/>
      </w:pPr>
      <w:r>
        <w:rPr>
          <w:rFonts w:ascii="Aptos" w:hAnsi="Aptos"/>
          <w:color w:val="282828"/>
          <w:sz w:val="20"/>
        </w:rPr>
        <w:t>CAMCO proposed to use its customer database and demonstrations to generate machinery demand, while acknowledging that it lacks full livestock-nutrition expertise and would need technical partners.</w:t>
      </w:r>
    </w:p>
    <w:p>
      <w:pPr>
        <w:pStyle w:val="ListBullet"/>
        <w:spacing w:after="50"/>
        <w:ind w:left="317" w:hanging="202"/>
      </w:pPr>
      <w:r>
        <w:rPr>
          <w:rFonts w:ascii="Aptos" w:hAnsi="Aptos"/>
          <w:color w:val="282828"/>
          <w:sz w:val="20"/>
        </w:rPr>
        <w:t>Bank and insurance representatives appeared willing to join field sensitization, but large multi-partner outreach events can become costly and uncoordinated unless each actor has clear conversion targets.</w:t>
      </w:r>
    </w:p>
    <w:p>
      <w:pPr/>
      <w:r>
        <w:rPr>
          <w:rFonts w:ascii="Aptos" w:hAnsi="Aptos"/>
          <w:color w:val="282828"/>
          <w:sz w:val="20"/>
        </w:rPr>
        <w:t>Monitoring should separate people contacted, people trained, people requesting a quotation, people purchasing seed or services, people adopting a ration, people completing a fattening cycle and people making a profitable sale. Training attendance alone is not evidence of adoption or commercial viability.</w:t>
      </w:r>
    </w:p>
    <w:p>
      <w:pPr>
        <w:pStyle w:val="Heading1"/>
        <w:keepNext/>
      </w:pPr>
      <w:r>
        <w:t>8. COMACO, cooperatives and livestock-market linkage</w:t>
      </w:r>
    </w:p>
    <w:p>
      <w:pPr/>
      <w:r>
        <w:rPr>
          <w:rFonts w:ascii="Aptos" w:hAnsi="Aptos"/>
          <w:color w:val="282828"/>
          <w:sz w:val="20"/>
        </w:rPr>
        <w:t>The first recording explored how COMACO or a comparable farmer-network and processing organization could support the solution. Its existing model combines farmer organization, seed multiplication, extension, procurement, processing and market access for crops such as groundnuts, soybeans, honey and other products. This provides a plausible platform for adding livestock-related services, but the new role requires a separate commercial case.</w:t>
      </w:r>
    </w:p>
    <w:p>
      <w:pPr>
        <w:pStyle w:val="Heading2"/>
        <w:keepNext/>
      </w:pPr>
      <w:r>
        <w:t>Potential roles discussed</w:t>
      </w:r>
    </w:p>
    <w:p>
      <w:pPr>
        <w:pStyle w:val="ListBullet"/>
        <w:spacing w:after="50"/>
        <w:ind w:left="317" w:hanging="202"/>
      </w:pPr>
      <w:r>
        <w:rPr>
          <w:rFonts w:ascii="Aptos" w:hAnsi="Aptos"/>
          <w:color w:val="282828"/>
          <w:sz w:val="20"/>
        </w:rPr>
        <w:t>Train lead farmers and extension staff on forage production, feed preparation and livestock quality.</w:t>
      </w:r>
    </w:p>
    <w:p>
      <w:pPr>
        <w:pStyle w:val="ListBullet"/>
        <w:spacing w:after="50"/>
        <w:ind w:left="317" w:hanging="202"/>
      </w:pPr>
      <w:r>
        <w:rPr>
          <w:rFonts w:ascii="Aptos" w:hAnsi="Aptos"/>
          <w:color w:val="282828"/>
          <w:sz w:val="20"/>
        </w:rPr>
        <w:t>Mobilize members who keep cattle and organize feed or forage activities through existing cooperative structures.</w:t>
      </w:r>
    </w:p>
    <w:p>
      <w:pPr>
        <w:pStyle w:val="ListBullet"/>
        <w:spacing w:after="50"/>
        <w:ind w:left="317" w:hanging="202"/>
      </w:pPr>
      <w:r>
        <w:rPr>
          <w:rFonts w:ascii="Aptos" w:hAnsi="Aptos"/>
          <w:color w:val="282828"/>
          <w:sz w:val="20"/>
        </w:rPr>
        <w:t>Act as a broker by aggregating live cattle and negotiating a higher price with abattoirs or other formal buyers.</w:t>
      </w:r>
    </w:p>
    <w:p>
      <w:pPr>
        <w:pStyle w:val="ListBullet"/>
        <w:spacing w:after="50"/>
        <w:ind w:left="317" w:hanging="202"/>
      </w:pPr>
      <w:r>
        <w:rPr>
          <w:rFonts w:ascii="Aptos" w:hAnsi="Aptos"/>
          <w:color w:val="282828"/>
          <w:sz w:val="20"/>
        </w:rPr>
        <w:t>Arrange slaughter as a service and market meat through existing retail or supermarket relationships.</w:t>
      </w:r>
    </w:p>
    <w:p>
      <w:pPr>
        <w:pStyle w:val="ListBullet"/>
        <w:spacing w:after="50"/>
        <w:ind w:left="317" w:hanging="202"/>
      </w:pPr>
      <w:r>
        <w:rPr>
          <w:rFonts w:ascii="Aptos" w:hAnsi="Aptos"/>
          <w:color w:val="282828"/>
          <w:sz w:val="20"/>
        </w:rPr>
        <w:t>Support farmer compliance with required animal quality and standards.</w:t>
      </w:r>
    </w:p>
    <w:p>
      <w:pPr>
        <w:pStyle w:val="ListBullet"/>
        <w:spacing w:after="50"/>
        <w:ind w:left="317" w:hanging="202"/>
      </w:pPr>
      <w:r>
        <w:rPr>
          <w:rFonts w:ascii="Aptos" w:hAnsi="Aptos"/>
          <w:color w:val="282828"/>
          <w:sz w:val="20"/>
        </w:rPr>
        <w:t>Use its logistics, processing and market network to connect livestock products to higher-value channels.</w:t>
      </w:r>
    </w:p>
    <w:p>
      <w:pPr>
        <w:pStyle w:val="Heading2"/>
        <w:keepNext/>
      </w:pPr>
      <w:r>
        <w:t>Business-model concerns</w:t>
      </w:r>
    </w:p>
    <w:p>
      <w:pPr>
        <w:pStyle w:val="ListBullet"/>
        <w:spacing w:after="50"/>
        <w:ind w:left="317" w:hanging="202"/>
      </w:pPr>
      <w:r>
        <w:rPr>
          <w:rFonts w:ascii="Aptos" w:hAnsi="Aptos"/>
          <w:color w:val="282828"/>
          <w:sz w:val="20"/>
        </w:rPr>
        <w:t>The organization’s existing crop extension is supported by the commercial benefit of buying and processing members’ produce. The equivalent financial return from forage and livestock activities was not demonstrated.</w:t>
      </w:r>
    </w:p>
    <w:p>
      <w:pPr>
        <w:pStyle w:val="ListBullet"/>
        <w:spacing w:after="50"/>
        <w:ind w:left="317" w:hanging="202"/>
      </w:pPr>
      <w:r>
        <w:rPr>
          <w:rFonts w:ascii="Aptos" w:hAnsi="Aptos"/>
          <w:color w:val="282828"/>
          <w:sz w:val="20"/>
        </w:rPr>
        <w:t>The proposed partnership agreement with the ministry or project remained under negotiation. The transcript suggested that COMACO had not yet made or communicated a final decision.</w:t>
      </w:r>
    </w:p>
    <w:p>
      <w:pPr>
        <w:pStyle w:val="ListBullet"/>
        <w:spacing w:after="50"/>
        <w:ind w:left="317" w:hanging="202"/>
      </w:pPr>
      <w:r>
        <w:rPr>
          <w:rFonts w:ascii="Aptos" w:hAnsi="Aptos"/>
          <w:color w:val="282828"/>
          <w:sz w:val="20"/>
        </w:rPr>
        <w:t>Side-selling already occurs in crop value chains, especially when the organization cannot buy all members’ production or market prices move. The same risk is likely in cattle aggregation.</w:t>
      </w:r>
    </w:p>
    <w:p>
      <w:pPr>
        <w:pStyle w:val="ListBullet"/>
        <w:spacing w:after="50"/>
        <w:ind w:left="317" w:hanging="202"/>
      </w:pPr>
      <w:r>
        <w:rPr>
          <w:rFonts w:ascii="Aptos" w:hAnsi="Aptos"/>
          <w:color w:val="282828"/>
          <w:sz w:val="20"/>
        </w:rPr>
        <w:t>The live-cattle broker model and the processed-meat model are materially different. The latter requires slaughter arrangements, food safety, cold storage, refrigerated transport, working capital, inventory management and retail demand.</w:t>
      </w:r>
    </w:p>
    <w:p>
      <w:pPr>
        <w:pStyle w:val="ListBullet"/>
        <w:spacing w:after="50"/>
        <w:ind w:left="317" w:hanging="202"/>
      </w:pPr>
      <w:r>
        <w:rPr>
          <w:rFonts w:ascii="Aptos" w:hAnsi="Aptos"/>
          <w:color w:val="282828"/>
          <w:sz w:val="20"/>
        </w:rPr>
        <w:t>The price margin mentioned between informal buyers and abattoirs was not verified and may not account for transport, weight loss, mortality, slaughter fees, inspection, rejection, storage and unsold inventory.</w:t>
      </w:r>
    </w:p>
    <w:p>
      <w:pPr>
        <w:pStyle w:val="ListBullet"/>
        <w:spacing w:after="50"/>
        <w:ind w:left="317" w:hanging="202"/>
      </w:pPr>
      <w:r>
        <w:rPr>
          <w:rFonts w:ascii="Aptos" w:hAnsi="Aptos"/>
          <w:color w:val="282828"/>
          <w:sz w:val="20"/>
        </w:rPr>
        <w:t>The organization reportedly has a high share of women members, approximately 70 percent. Livestock-market functions must be designed so that women members control benefits rather than only supplying labor or feed.</w:t>
      </w:r>
    </w:p>
    <w:tbl>
      <w:tblPr>
        <w:tblW w:type="auto" w:w="0"/>
        <w:jc w:val="center"/>
        <w:tblLook w:firstColumn="1" w:firstRow="1" w:lastColumn="0" w:lastRow="0" w:noHBand="0" w:noVBand="1" w:val="04A0"/>
      </w:tblPr>
      <w:tblGrid>
        <w:gridCol w:w="9994"/>
      </w:tblGrid>
      <w:tr>
        <w:trPr>
          <w:cantSplit/>
        </w:trPr>
        <w:tc>
          <w:tcPr>
            <w:tcW w:type="dxa" w:w="9994"/>
            <w:shd w:fill="E8EFF4"/>
            <w:tcMar>
              <w:top w:w="160" w:type="dxa"/>
              <w:start w:w="180" w:type="dxa"/>
              <w:bottom w:w="150" w:type="dxa"/>
              <w:end w:w="180" w:type="dxa"/>
            </w:tcMar>
          </w:tcPr>
          <w:p>
            <w:pPr>
              <w:spacing w:after="80"/>
            </w:pPr>
            <w:r>
              <w:rPr>
                <w:rFonts w:ascii="Aptos Display" w:hAnsi="Aptos Display"/>
                <w:b/>
                <w:color w:val="1F374E"/>
                <w:sz w:val="22"/>
              </w:rPr>
              <w:t>Partnership test</w:t>
            </w:r>
          </w:p>
          <w:p>
            <w:pPr>
              <w:spacing w:after="0" w:line="259" w:lineRule="auto"/>
            </w:pPr>
            <w:r>
              <w:rPr>
                <w:rFonts w:ascii="Aptos" w:hAnsi="Aptos"/>
                <w:color w:val="282828"/>
                <w:sz w:val="19"/>
              </w:rPr>
              <w:t>The MOU should not merely state that COMACO will mobilize farmers and provide extension. It should specify the target farmer segment, services, staff time, costs, revenue source, offtake model, quality standards, data responsibilities, risk allocation, investment commitment and post-project continuation.</w:t>
            </w:r>
          </w:p>
        </w:tc>
      </w:tr>
    </w:tbl>
    <w:p>
      <w:pPr>
        <w:spacing w:after="0"/>
      </w:pPr>
    </w:p>
    <w:p>
      <w:pPr>
        <w:pStyle w:val="Heading1"/>
        <w:keepNext/>
      </w:pPr>
      <w:r>
        <w:t>9. Machinery and feed-processing pathway</w:t>
      </w:r>
    </w:p>
    <w:p>
      <w:pPr/>
      <w:r>
        <w:rPr>
          <w:rFonts w:ascii="Aptos" w:hAnsi="Aptos"/>
          <w:color w:val="282828"/>
          <w:sz w:val="20"/>
        </w:rPr>
        <w:t>CAMCO presented the most developed private-sector pathway in the session. It has branches, established suppliers, product lines from small to heavy-duty equipment, a customer database, technicians, spare parts, warranties and links to third-party finance. It was prepared to source the project’s preferred combined chopper-grinder from existing suppliers in China.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vAlign w:val="center"/>
            <w:tcMar>
              <w:top w:w="80" w:type="dxa"/>
              <w:start w:w="100" w:type="dxa"/>
              <w:bottom w:w="80" w:type="dxa"/>
              <w:end w:w="100" w:type="dxa"/>
            </w:tcMar>
            <w:shd w:fill="1F374E"/>
          </w:tcPr>
          <w:p>
            <w:pPr>
              <w:spacing w:after="0" w:line="240" w:lineRule="auto"/>
            </w:pPr>
            <w:r/>
            <w:r>
              <w:rPr>
                <w:rFonts w:ascii="Aptos" w:hAnsi="Aptos"/>
                <w:b/>
                <w:color w:val="FFFFFF"/>
                <w:sz w:val="18"/>
              </w:rPr>
              <w:t>Issue</w:t>
            </w:r>
          </w:p>
        </w:tc>
        <w:tc>
          <w:tcPr>
            <w:tcW w:type="dxa" w:w="4536"/>
            <w:vAlign w:val="center"/>
            <w:tcMar>
              <w:top w:w="80" w:type="dxa"/>
              <w:start w:w="100" w:type="dxa"/>
              <w:bottom w:w="80" w:type="dxa"/>
              <w:end w:w="100" w:type="dxa"/>
            </w:tcMar>
            <w:shd w:fill="1F374E"/>
          </w:tcPr>
          <w:p>
            <w:pPr>
              <w:spacing w:after="0" w:line="240" w:lineRule="auto"/>
            </w:pPr>
            <w:r/>
            <w:r>
              <w:rPr>
                <w:rFonts w:ascii="Aptos" w:hAnsi="Aptos"/>
                <w:b/>
                <w:color w:val="FFFFFF"/>
                <w:sz w:val="18"/>
              </w:rPr>
              <w:t>What was reported</w:t>
            </w:r>
          </w:p>
        </w:tc>
        <w:tc>
          <w:tcPr>
            <w:tcW w:type="dxa" w:w="4464"/>
            <w:vAlign w:val="center"/>
            <w:tcMar>
              <w:top w:w="80" w:type="dxa"/>
              <w:start w:w="100" w:type="dxa"/>
              <w:bottom w:w="80" w:type="dxa"/>
              <w:end w:w="100" w:type="dxa"/>
            </w:tcMar>
            <w:shd w:fill="1F374E"/>
          </w:tcPr>
          <w:p>
            <w:pPr>
              <w:spacing w:after="0" w:line="240" w:lineRule="auto"/>
            </w:pPr>
            <w:r/>
            <w:r>
              <w:rPr>
                <w:rFonts w:ascii="Aptos" w:hAnsi="Aptos"/>
                <w:b/>
                <w:color w:val="FFFFFF"/>
                <w:sz w:val="18"/>
              </w:rPr>
              <w:t>Coaching implication</w:t>
            </w:r>
          </w:p>
        </w:tc>
      </w:tr>
      <w:tr>
        <w:trPr>
          <w:cantSplit/>
        </w:trPr>
        <w:tc>
          <w:tcPr>
            <w:tcW w:type="dxa" w:w="1944"/>
            <w:vAlign w:val="center"/>
            <w:tcMar>
              <w:top w:w="80" w:type="dxa"/>
              <w:start w:w="100" w:type="dxa"/>
              <w:bottom w:w="80" w:type="dxa"/>
              <w:end w:w="100" w:type="dxa"/>
            </w:tcMar>
          </w:tcPr>
          <w:p>
            <w:pPr>
              <w:spacing w:after="0" w:line="240" w:lineRule="auto"/>
            </w:pPr>
            <w:r/>
            <w:r>
              <w:rPr>
                <w:rFonts w:ascii="Aptos" w:hAnsi="Aptos"/>
                <w:b w:val="0"/>
                <w:color w:val="282828"/>
                <w:sz w:val="16"/>
              </w:rPr>
              <w:t>Current product range</w:t>
            </w:r>
          </w:p>
        </w:tc>
        <w:tc>
          <w:tcPr>
            <w:tcW w:type="dxa" w:w="4536"/>
            <w:vAlign w:val="center"/>
            <w:tcMar>
              <w:top w:w="80" w:type="dxa"/>
              <w:start w:w="100" w:type="dxa"/>
              <w:bottom w:w="80" w:type="dxa"/>
              <w:end w:w="100" w:type="dxa"/>
            </w:tcMar>
          </w:tcPr>
          <w:p>
            <w:pPr>
              <w:spacing w:after="0" w:line="240" w:lineRule="auto"/>
            </w:pPr>
            <w:r/>
            <w:r>
              <w:rPr>
                <w:rFonts w:ascii="Aptos" w:hAnsi="Aptos"/>
                <w:b w:val="0"/>
                <w:color w:val="282828"/>
                <w:sz w:val="16"/>
              </w:rPr>
              <w:t>Choppers, threshers, balers, feed mixers, grinders, extraction machines and other processing equipment.</w:t>
            </w:r>
          </w:p>
        </w:tc>
        <w:tc>
          <w:tcPr>
            <w:tcW w:type="dxa" w:w="4464"/>
            <w:vAlign w:val="center"/>
            <w:tcMar>
              <w:top w:w="80" w:type="dxa"/>
              <w:start w:w="100" w:type="dxa"/>
              <w:bottom w:w="80" w:type="dxa"/>
              <w:end w:w="100" w:type="dxa"/>
            </w:tcMar>
          </w:tcPr>
          <w:p>
            <w:pPr>
              <w:spacing w:after="0" w:line="240" w:lineRule="auto"/>
            </w:pPr>
            <w:r/>
            <w:r>
              <w:rPr>
                <w:rFonts w:ascii="Aptos" w:hAnsi="Aptos"/>
                <w:b w:val="0"/>
                <w:color w:val="282828"/>
                <w:sz w:val="16"/>
              </w:rPr>
              <w:t>Confirm which machines are appropriate for cattle forage rather than poultry feed or general crop processing.</w:t>
            </w:r>
          </w:p>
        </w:tc>
      </w:tr>
      <w:tr>
        <w:trPr>
          <w:cantSplit/>
        </w:trPr>
        <w:tc>
          <w:tcPr>
            <w:tcW w:type="dxa" w:w="194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Preferred machine</w:t>
            </w:r>
          </w:p>
        </w:tc>
        <w:tc>
          <w:tcPr>
            <w:tcW w:type="dxa" w:w="4536"/>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The project wants a two-in-one chopper-grinder that produces smaller, better-mixed particles than a simple chopper.</w:t>
            </w:r>
          </w:p>
        </w:tc>
        <w:tc>
          <w:tcPr>
            <w:tcW w:type="dxa" w:w="446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Develop a precise technical specification and test output quality, throughput, fuel use and safety.</w:t>
            </w:r>
          </w:p>
        </w:tc>
      </w:tr>
      <w:tr>
        <w:trPr>
          <w:cantSplit/>
        </w:trPr>
        <w:tc>
          <w:tcPr>
            <w:tcW w:type="dxa" w:w="1944"/>
            <w:vAlign w:val="center"/>
            <w:tcMar>
              <w:top w:w="80" w:type="dxa"/>
              <w:start w:w="100" w:type="dxa"/>
              <w:bottom w:w="80" w:type="dxa"/>
              <w:end w:w="100" w:type="dxa"/>
            </w:tcMar>
          </w:tcPr>
          <w:p>
            <w:pPr>
              <w:spacing w:after="0" w:line="240" w:lineRule="auto"/>
            </w:pPr>
            <w:r/>
            <w:r>
              <w:rPr>
                <w:rFonts w:ascii="Aptos" w:hAnsi="Aptos"/>
                <w:b w:val="0"/>
                <w:color w:val="282828"/>
                <w:sz w:val="16"/>
              </w:rPr>
              <w:t>Sourcing</w:t>
            </w:r>
          </w:p>
        </w:tc>
        <w:tc>
          <w:tcPr>
            <w:tcW w:type="dxa" w:w="4536"/>
            <w:vAlign w:val="center"/>
            <w:tcMar>
              <w:top w:w="80" w:type="dxa"/>
              <w:start w:w="100" w:type="dxa"/>
              <w:bottom w:w="80" w:type="dxa"/>
              <w:end w:w="100" w:type="dxa"/>
            </w:tcMar>
          </w:tcPr>
          <w:p>
            <w:pPr>
              <w:spacing w:after="0" w:line="240" w:lineRule="auto"/>
            </w:pPr>
            <w:r/>
            <w:r>
              <w:rPr>
                <w:rFonts w:ascii="Aptos" w:hAnsi="Aptos"/>
                <w:b w:val="0"/>
                <w:color w:val="282828"/>
                <w:sz w:val="16"/>
              </w:rPr>
              <w:t>A new machine can reportedly be sourced within two to three months once an order is confirmed.</w:t>
            </w:r>
          </w:p>
        </w:tc>
        <w:tc>
          <w:tcPr>
            <w:tcW w:type="dxa" w:w="4464"/>
            <w:vAlign w:val="center"/>
            <w:tcMar>
              <w:top w:w="80" w:type="dxa"/>
              <w:start w:w="100" w:type="dxa"/>
              <w:bottom w:w="80" w:type="dxa"/>
              <w:end w:w="100" w:type="dxa"/>
            </w:tcMar>
          </w:tcPr>
          <w:p>
            <w:pPr>
              <w:spacing w:after="0" w:line="240" w:lineRule="auto"/>
            </w:pPr>
            <w:r/>
            <w:r>
              <w:rPr>
                <w:rFonts w:ascii="Aptos" w:hAnsi="Aptos"/>
                <w:b w:val="0"/>
                <w:color w:val="282828"/>
                <w:sz w:val="16"/>
              </w:rPr>
              <w:t>Use the first order as a commercial validation pilot, not only a project procurement.</w:t>
            </w:r>
          </w:p>
        </w:tc>
      </w:tr>
      <w:tr>
        <w:trPr>
          <w:cantSplit/>
        </w:trPr>
        <w:tc>
          <w:tcPr>
            <w:tcW w:type="dxa" w:w="194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Initial order</w:t>
            </w:r>
          </w:p>
        </w:tc>
        <w:tc>
          <w:tcPr>
            <w:tcW w:type="dxa" w:w="4536"/>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The project discussed two units; CAMCO stated its minimum import order is four and planned to market the additional units.</w:t>
            </w:r>
          </w:p>
        </w:tc>
        <w:tc>
          <w:tcPr>
            <w:tcW w:type="dxa" w:w="446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Track whether non-project customers buy the additional units at commercial price.</w:t>
            </w:r>
          </w:p>
        </w:tc>
      </w:tr>
      <w:tr>
        <w:trPr>
          <w:cantSplit/>
        </w:trPr>
        <w:tc>
          <w:tcPr>
            <w:tcW w:type="dxa" w:w="1944"/>
            <w:vAlign w:val="center"/>
            <w:tcMar>
              <w:top w:w="80" w:type="dxa"/>
              <w:start w:w="100" w:type="dxa"/>
              <w:bottom w:w="80" w:type="dxa"/>
              <w:end w:w="100" w:type="dxa"/>
            </w:tcMar>
          </w:tcPr>
          <w:p>
            <w:pPr>
              <w:spacing w:after="0" w:line="240" w:lineRule="auto"/>
            </w:pPr>
            <w:r/>
            <w:r>
              <w:rPr>
                <w:rFonts w:ascii="Aptos" w:hAnsi="Aptos"/>
                <w:b w:val="0"/>
                <w:color w:val="282828"/>
                <w:sz w:val="16"/>
              </w:rPr>
              <w:t>Small-machine prices</w:t>
            </w:r>
          </w:p>
        </w:tc>
        <w:tc>
          <w:tcPr>
            <w:tcW w:type="dxa" w:w="4536"/>
            <w:vAlign w:val="center"/>
            <w:tcMar>
              <w:top w:w="80" w:type="dxa"/>
              <w:start w:w="100" w:type="dxa"/>
              <w:bottom w:w="80" w:type="dxa"/>
              <w:end w:w="100" w:type="dxa"/>
            </w:tcMar>
          </w:tcPr>
          <w:p>
            <w:pPr>
              <w:spacing w:after="0" w:line="240" w:lineRule="auto"/>
            </w:pPr>
            <w:r/>
            <w:r>
              <w:rPr>
                <w:rFonts w:ascii="Aptos" w:hAnsi="Aptos"/>
                <w:b w:val="0"/>
                <w:color w:val="282828"/>
                <w:sz w:val="16"/>
              </w:rPr>
              <w:t>Approximately K16,000 for an electric model and K17,000 for a diesel model were mentioned for a smaller chopper; exact specification requires verification.</w:t>
            </w:r>
          </w:p>
        </w:tc>
        <w:tc>
          <w:tcPr>
            <w:tcW w:type="dxa" w:w="4464"/>
            <w:vAlign w:val="center"/>
            <w:tcMar>
              <w:top w:w="80" w:type="dxa"/>
              <w:start w:w="100" w:type="dxa"/>
              <w:bottom w:w="80" w:type="dxa"/>
              <w:end w:w="100" w:type="dxa"/>
            </w:tcMar>
          </w:tcPr>
          <w:p>
            <w:pPr>
              <w:spacing w:after="0" w:line="240" w:lineRule="auto"/>
            </w:pPr>
            <w:r/>
            <w:r>
              <w:rPr>
                <w:rFonts w:ascii="Aptos" w:hAnsi="Aptos"/>
                <w:b w:val="0"/>
                <w:color w:val="282828"/>
                <w:sz w:val="16"/>
              </w:rPr>
              <w:t>Compare total ownership cost, not only purchase price.</w:t>
            </w:r>
          </w:p>
        </w:tc>
      </w:tr>
      <w:tr>
        <w:trPr>
          <w:cantSplit/>
        </w:trPr>
        <w:tc>
          <w:tcPr>
            <w:tcW w:type="dxa" w:w="194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After-sales service</w:t>
            </w:r>
          </w:p>
        </w:tc>
        <w:tc>
          <w:tcPr>
            <w:tcW w:type="dxa" w:w="4536"/>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Branch-based technicians, routine maintenance, parts for common wear and replacement, and ongoing service were described.</w:t>
            </w:r>
          </w:p>
        </w:tc>
        <w:tc>
          <w:tcPr>
            <w:tcW w:type="dxa" w:w="446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Document service-level standards, response time and customer satisfaction.</w:t>
            </w:r>
          </w:p>
        </w:tc>
      </w:tr>
      <w:tr>
        <w:trPr>
          <w:cantSplit/>
        </w:trPr>
        <w:tc>
          <w:tcPr>
            <w:tcW w:type="dxa" w:w="1944"/>
            <w:vAlign w:val="center"/>
            <w:tcMar>
              <w:top w:w="80" w:type="dxa"/>
              <w:start w:w="100" w:type="dxa"/>
              <w:bottom w:w="80" w:type="dxa"/>
              <w:end w:w="100" w:type="dxa"/>
            </w:tcMar>
          </w:tcPr>
          <w:p>
            <w:pPr>
              <w:spacing w:after="0" w:line="240" w:lineRule="auto"/>
            </w:pPr>
            <w:r/>
            <w:r>
              <w:rPr>
                <w:rFonts w:ascii="Aptos" w:hAnsi="Aptos"/>
                <w:b w:val="0"/>
                <w:color w:val="282828"/>
                <w:sz w:val="16"/>
              </w:rPr>
              <w:t>Warranty</w:t>
            </w:r>
          </w:p>
        </w:tc>
        <w:tc>
          <w:tcPr>
            <w:tcW w:type="dxa" w:w="4536"/>
            <w:vAlign w:val="center"/>
            <w:tcMar>
              <w:top w:w="80" w:type="dxa"/>
              <w:start w:w="100" w:type="dxa"/>
              <w:bottom w:w="80" w:type="dxa"/>
              <w:end w:w="100" w:type="dxa"/>
            </w:tcMar>
          </w:tcPr>
          <w:p>
            <w:pPr>
              <w:spacing w:after="0" w:line="240" w:lineRule="auto"/>
            </w:pPr>
            <w:r/>
            <w:r>
              <w:rPr>
                <w:rFonts w:ascii="Aptos" w:hAnsi="Aptos"/>
                <w:b w:val="0"/>
                <w:color w:val="282828"/>
                <w:sz w:val="16"/>
              </w:rPr>
              <w:t>About six months for small grinders and one year or 1,000 working hours for some larger engine-based equipment.</w:t>
            </w:r>
          </w:p>
        </w:tc>
        <w:tc>
          <w:tcPr>
            <w:tcW w:type="dxa" w:w="4464"/>
            <w:vAlign w:val="center"/>
            <w:tcMar>
              <w:top w:w="80" w:type="dxa"/>
              <w:start w:w="100" w:type="dxa"/>
              <w:bottom w:w="80" w:type="dxa"/>
              <w:end w:w="100" w:type="dxa"/>
            </w:tcMar>
          </w:tcPr>
          <w:p>
            <w:pPr>
              <w:spacing w:after="0" w:line="240" w:lineRule="auto"/>
            </w:pPr>
            <w:r/>
            <w:r>
              <w:rPr>
                <w:rFonts w:ascii="Aptos" w:hAnsi="Aptos"/>
                <w:b w:val="0"/>
                <w:color w:val="282828"/>
                <w:sz w:val="16"/>
              </w:rPr>
              <w:t>Include warranty and maintenance obligations in farmer and cooperative procurement decisions.</w:t>
            </w:r>
          </w:p>
        </w:tc>
      </w:tr>
      <w:tr>
        <w:trPr>
          <w:cantSplit/>
        </w:trPr>
        <w:tc>
          <w:tcPr>
            <w:tcW w:type="dxa" w:w="194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Competition</w:t>
            </w:r>
          </w:p>
        </w:tc>
        <w:tc>
          <w:tcPr>
            <w:tcW w:type="dxa" w:w="4536"/>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SARO, ETG and smaller local suppliers were mentioned.</w:t>
            </w:r>
          </w:p>
        </w:tc>
        <w:tc>
          <w:tcPr>
            <w:tcW w:type="dxa" w:w="446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Avoid sole-source dependence; compare price, specifications, parts and support.</w:t>
            </w:r>
          </w:p>
        </w:tc>
      </w:tr>
    </w:tbl>
    <w:p>
      <w:pPr>
        <w:spacing w:after="0"/>
      </w:pPr>
    </w:p>
    <w:p>
      <w:pPr/>
      <w:r>
        <w:rPr>
          <w:rFonts w:ascii="Aptos" w:hAnsi="Aptos"/>
          <w:color w:val="282828"/>
          <w:sz w:val="20"/>
        </w:rPr>
        <w:t>The machinery supplier’s willingness to stock the combined unit beyond the project is an important sign of potential sustainability. However, the strongest evidence will be repeat commercial sales, utilization rates, service revenue and customer profitability, not the number of machines procured by the project.</w:t>
      </w:r>
    </w:p>
    <w:p>
      <w:pPr>
        <w:pStyle w:val="Heading1"/>
        <w:keepNext/>
      </w:pPr>
      <w:r>
        <w:t>10. Equipment affordability, ownership and service models</w:t>
      </w:r>
    </w:p>
    <w:p>
      <w:pPr/>
      <w:r>
        <w:rPr>
          <w:rFonts w:ascii="Aptos" w:hAnsi="Aptos"/>
          <w:color w:val="282828"/>
          <w:sz w:val="20"/>
        </w:rPr>
        <w:t>The meeting focused heavily on purchasing machinery, but ownership is only one option. For many smallholders, machine hire or feed-processing services may be more viable. The session also showed that current machinery customers are mostly individual farmers rather than cooperatives, with approximately 75 percent of purchases reportedly made by individuals and many buyers cultivating 15-25 hectares.</w:t>
      </w:r>
    </w:p>
    <w:p>
      <w:pPr>
        <w:pStyle w:val="Heading2"/>
        <w:keepNext/>
      </w:pPr>
      <w:r>
        <w:t>Alternative delivery models to test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vAlign w:val="center"/>
            <w:tcMar>
              <w:top w:w="80" w:type="dxa"/>
              <w:start w:w="100" w:type="dxa"/>
              <w:bottom w:w="80" w:type="dxa"/>
              <w:end w:w="100" w:type="dxa"/>
            </w:tcMar>
            <w:shd w:fill="1F374E"/>
          </w:tcPr>
          <w:p>
            <w:pPr>
              <w:spacing w:after="0" w:line="240" w:lineRule="auto"/>
            </w:pPr>
            <w:r/>
            <w:r>
              <w:rPr>
                <w:rFonts w:ascii="Aptos" w:hAnsi="Aptos"/>
                <w:b/>
                <w:color w:val="FFFFFF"/>
                <w:sz w:val="18"/>
              </w:rPr>
              <w:t>Model</w:t>
            </w:r>
          </w:p>
        </w:tc>
        <w:tc>
          <w:tcPr>
            <w:tcW w:type="dxa" w:w="4392"/>
            <w:vAlign w:val="center"/>
            <w:tcMar>
              <w:top w:w="80" w:type="dxa"/>
              <w:start w:w="100" w:type="dxa"/>
              <w:bottom w:w="80" w:type="dxa"/>
              <w:end w:w="100" w:type="dxa"/>
            </w:tcMar>
            <w:shd w:fill="1F374E"/>
          </w:tcPr>
          <w:p>
            <w:pPr>
              <w:spacing w:after="0" w:line="240" w:lineRule="auto"/>
            </w:pPr>
            <w:r/>
            <w:r>
              <w:rPr>
                <w:rFonts w:ascii="Aptos" w:hAnsi="Aptos"/>
                <w:b/>
                <w:color w:val="FFFFFF"/>
                <w:sz w:val="18"/>
              </w:rPr>
              <w:t>Advantages</w:t>
            </w:r>
          </w:p>
        </w:tc>
        <w:tc>
          <w:tcPr>
            <w:tcW w:type="dxa" w:w="4392"/>
            <w:vAlign w:val="center"/>
            <w:tcMar>
              <w:top w:w="80" w:type="dxa"/>
              <w:start w:w="100" w:type="dxa"/>
              <w:bottom w:w="80" w:type="dxa"/>
              <w:end w:w="100" w:type="dxa"/>
            </w:tcMar>
            <w:shd w:fill="1F374E"/>
          </w:tcPr>
          <w:p>
            <w:pPr>
              <w:spacing w:after="0" w:line="240" w:lineRule="auto"/>
            </w:pPr>
            <w:r/>
            <w:r>
              <w:rPr>
                <w:rFonts w:ascii="Aptos" w:hAnsi="Aptos"/>
                <w:b/>
                <w:color w:val="FFFFFF"/>
                <w:sz w:val="18"/>
              </w:rPr>
              <w:t>Risks or conditions</w:t>
            </w:r>
          </w:p>
        </w:tc>
      </w:tr>
      <w:tr>
        <w:trPr>
          <w:cantSplit/>
        </w:trPr>
        <w:tc>
          <w:tcPr>
            <w:tcW w:type="dxa" w:w="2160"/>
            <w:vAlign w:val="center"/>
            <w:tcMar>
              <w:top w:w="80" w:type="dxa"/>
              <w:start w:w="100" w:type="dxa"/>
              <w:bottom w:w="80" w:type="dxa"/>
              <w:end w:w="100" w:type="dxa"/>
            </w:tcMar>
          </w:tcPr>
          <w:p>
            <w:pPr>
              <w:spacing w:after="0" w:line="240" w:lineRule="auto"/>
            </w:pPr>
            <w:r/>
            <w:r>
              <w:rPr>
                <w:rFonts w:ascii="Aptos" w:hAnsi="Aptos"/>
                <w:b w:val="0"/>
                <w:color w:val="282828"/>
                <w:sz w:val="16"/>
              </w:rPr>
              <w:t>Individual ownership</w:t>
            </w:r>
          </w:p>
        </w:tc>
        <w:tc>
          <w:tcPr>
            <w:tcW w:type="dxa" w:w="4392"/>
            <w:vAlign w:val="center"/>
            <w:tcMar>
              <w:top w:w="80" w:type="dxa"/>
              <w:start w:w="100" w:type="dxa"/>
              <w:bottom w:w="80" w:type="dxa"/>
              <w:end w:w="100" w:type="dxa"/>
            </w:tcMar>
          </w:tcPr>
          <w:p>
            <w:pPr>
              <w:spacing w:after="0" w:line="240" w:lineRule="auto"/>
            </w:pPr>
            <w:r/>
            <w:r>
              <w:rPr>
                <w:rFonts w:ascii="Aptos" w:hAnsi="Aptos"/>
                <w:b w:val="0"/>
                <w:color w:val="282828"/>
                <w:sz w:val="16"/>
              </w:rPr>
              <w:t>Clear responsibility, stronger maintenance incentives and rapid decisions.</w:t>
            </w:r>
          </w:p>
        </w:tc>
        <w:tc>
          <w:tcPr>
            <w:tcW w:type="dxa" w:w="4392"/>
            <w:vAlign w:val="center"/>
            <w:tcMar>
              <w:top w:w="80" w:type="dxa"/>
              <w:start w:w="100" w:type="dxa"/>
              <w:bottom w:w="80" w:type="dxa"/>
              <w:end w:w="100" w:type="dxa"/>
            </w:tcMar>
          </w:tcPr>
          <w:p>
            <w:pPr>
              <w:spacing w:after="0" w:line="240" w:lineRule="auto"/>
            </w:pPr>
            <w:r/>
            <w:r>
              <w:rPr>
                <w:rFonts w:ascii="Aptos" w:hAnsi="Aptos"/>
                <w:b w:val="0"/>
                <w:color w:val="282828"/>
                <w:sz w:val="16"/>
              </w:rPr>
              <w:t>Best suited to larger farmers; may exclude smallholders and create low utilization.</w:t>
            </w:r>
          </w:p>
        </w:tc>
      </w:tr>
      <w:tr>
        <w:trPr>
          <w:cantSplit/>
        </w:trPr>
        <w:tc>
          <w:tcPr>
            <w:tcW w:type="dxa" w:w="2160"/>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Cooperative ownership</w:t>
            </w:r>
          </w:p>
        </w:tc>
        <w:tc>
          <w:tcPr>
            <w:tcW w:type="dxa" w:w="439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Pools capital and gives members shared access.</w:t>
            </w:r>
          </w:p>
        </w:tc>
        <w:tc>
          <w:tcPr>
            <w:tcW w:type="dxa" w:w="439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Weak governance, scheduling disputes, free-riding, poor maintenance and unclear replacement funds.</w:t>
            </w:r>
          </w:p>
        </w:tc>
      </w:tr>
      <w:tr>
        <w:trPr>
          <w:cantSplit/>
        </w:trPr>
        <w:tc>
          <w:tcPr>
            <w:tcW w:type="dxa" w:w="2160"/>
            <w:vAlign w:val="center"/>
            <w:tcMar>
              <w:top w:w="80" w:type="dxa"/>
              <w:start w:w="100" w:type="dxa"/>
              <w:bottom w:w="80" w:type="dxa"/>
              <w:end w:w="100" w:type="dxa"/>
            </w:tcMar>
          </w:tcPr>
          <w:p>
            <w:pPr>
              <w:spacing w:after="0" w:line="240" w:lineRule="auto"/>
            </w:pPr>
            <w:r/>
            <w:r>
              <w:rPr>
                <w:rFonts w:ascii="Aptos" w:hAnsi="Aptos"/>
                <w:b w:val="0"/>
                <w:color w:val="282828"/>
                <w:sz w:val="16"/>
              </w:rPr>
              <w:t>Entrepreneurial service provider</w:t>
            </w:r>
          </w:p>
        </w:tc>
        <w:tc>
          <w:tcPr>
            <w:tcW w:type="dxa" w:w="4392"/>
            <w:vAlign w:val="center"/>
            <w:tcMar>
              <w:top w:w="80" w:type="dxa"/>
              <w:start w:w="100" w:type="dxa"/>
              <w:bottom w:w="80" w:type="dxa"/>
              <w:end w:w="100" w:type="dxa"/>
            </w:tcMar>
          </w:tcPr>
          <w:p>
            <w:pPr>
              <w:spacing w:after="0" w:line="240" w:lineRule="auto"/>
            </w:pPr>
            <w:r/>
            <w:r>
              <w:rPr>
                <w:rFonts w:ascii="Aptos" w:hAnsi="Aptos"/>
                <w:b w:val="0"/>
                <w:color w:val="282828"/>
                <w:sz w:val="16"/>
              </w:rPr>
              <w:t>High utilization across many farmers; user pays per hour or tonne; scalable without every farmer borrowing.</w:t>
            </w:r>
          </w:p>
        </w:tc>
        <w:tc>
          <w:tcPr>
            <w:tcW w:type="dxa" w:w="4392"/>
            <w:vAlign w:val="center"/>
            <w:tcMar>
              <w:top w:w="80" w:type="dxa"/>
              <w:start w:w="100" w:type="dxa"/>
              <w:bottom w:w="80" w:type="dxa"/>
              <w:end w:w="100" w:type="dxa"/>
            </w:tcMar>
          </w:tcPr>
          <w:p>
            <w:pPr>
              <w:spacing w:after="0" w:line="240" w:lineRule="auto"/>
            </w:pPr>
            <w:r/>
            <w:r>
              <w:rPr>
                <w:rFonts w:ascii="Aptos" w:hAnsi="Aptos"/>
                <w:b w:val="0"/>
                <w:color w:val="282828"/>
                <w:sz w:val="16"/>
              </w:rPr>
              <w:t>Needs dense demand, reliable booking, pricing, transport and working capital.</w:t>
            </w:r>
          </w:p>
        </w:tc>
      </w:tr>
      <w:tr>
        <w:trPr>
          <w:cantSplit/>
        </w:trPr>
        <w:tc>
          <w:tcPr>
            <w:tcW w:type="dxa" w:w="2160"/>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Anchor-enterprise ownership</w:t>
            </w:r>
          </w:p>
        </w:tc>
        <w:tc>
          <w:tcPr>
            <w:tcW w:type="dxa" w:w="439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Can bundle seed, feed preparation, weighing, aggregation and buy-back.</w:t>
            </w:r>
          </w:p>
        </w:tc>
        <w:tc>
          <w:tcPr>
            <w:tcW w:type="dxa" w:w="439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Farmers may become dependent; terms and price transparency must be protected.</w:t>
            </w:r>
          </w:p>
        </w:tc>
      </w:tr>
      <w:tr>
        <w:trPr>
          <w:cantSplit/>
        </w:trPr>
        <w:tc>
          <w:tcPr>
            <w:tcW w:type="dxa" w:w="2160"/>
            <w:vAlign w:val="center"/>
            <w:tcMar>
              <w:top w:w="80" w:type="dxa"/>
              <w:start w:w="100" w:type="dxa"/>
              <w:bottom w:w="80" w:type="dxa"/>
              <w:end w:w="100" w:type="dxa"/>
            </w:tcMar>
          </w:tcPr>
          <w:p>
            <w:pPr>
              <w:spacing w:after="0" w:line="240" w:lineRule="auto"/>
            </w:pPr>
            <w:r/>
            <w:r>
              <w:rPr>
                <w:rFonts w:ascii="Aptos" w:hAnsi="Aptos"/>
                <w:b w:val="0"/>
                <w:color w:val="282828"/>
                <w:sz w:val="16"/>
              </w:rPr>
              <w:t>Lease or hire purchase</w:t>
            </w:r>
          </w:p>
        </w:tc>
        <w:tc>
          <w:tcPr>
            <w:tcW w:type="dxa" w:w="4392"/>
            <w:vAlign w:val="center"/>
            <w:tcMar>
              <w:top w:w="80" w:type="dxa"/>
              <w:start w:w="100" w:type="dxa"/>
              <w:bottom w:w="80" w:type="dxa"/>
              <w:end w:w="100" w:type="dxa"/>
            </w:tcMar>
          </w:tcPr>
          <w:p>
            <w:pPr>
              <w:spacing w:after="0" w:line="240" w:lineRule="auto"/>
            </w:pPr>
            <w:r/>
            <w:r>
              <w:rPr>
                <w:rFonts w:ascii="Aptos" w:hAnsi="Aptos"/>
                <w:b w:val="0"/>
                <w:color w:val="282828"/>
                <w:sz w:val="16"/>
              </w:rPr>
              <w:t>Reduces initial capital requirement and aligns payments with use.</w:t>
            </w:r>
          </w:p>
        </w:tc>
        <w:tc>
          <w:tcPr>
            <w:tcW w:type="dxa" w:w="4392"/>
            <w:vAlign w:val="center"/>
            <w:tcMar>
              <w:top w:w="80" w:type="dxa"/>
              <w:start w:w="100" w:type="dxa"/>
              <w:bottom w:w="80" w:type="dxa"/>
              <w:end w:w="100" w:type="dxa"/>
            </w:tcMar>
          </w:tcPr>
          <w:p>
            <w:pPr>
              <w:spacing w:after="0" w:line="240" w:lineRule="auto"/>
            </w:pPr>
            <w:r/>
            <w:r>
              <w:rPr>
                <w:rFonts w:ascii="Aptos" w:hAnsi="Aptos"/>
                <w:b w:val="0"/>
                <w:color w:val="282828"/>
                <w:sz w:val="16"/>
              </w:rPr>
              <w:t>Requires repossession, insurance, strong records and asset tracking.</w:t>
            </w:r>
          </w:p>
        </w:tc>
      </w:tr>
      <w:tr>
        <w:trPr>
          <w:cantSplit/>
        </w:trPr>
        <w:tc>
          <w:tcPr>
            <w:tcW w:type="dxa" w:w="2160"/>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Project demonstration unit</w:t>
            </w:r>
          </w:p>
        </w:tc>
        <w:tc>
          <w:tcPr>
            <w:tcW w:type="dxa" w:w="439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Useful for training and technical validation.</w:t>
            </w:r>
          </w:p>
        </w:tc>
        <w:tc>
          <w:tcPr>
            <w:tcW w:type="dxa" w:w="439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Often fails after the project if ownership, fees, operator incentives and replacement funds are unclear.</w:t>
            </w:r>
          </w:p>
        </w:tc>
      </w:tr>
    </w:tbl>
    <w:p>
      <w:pPr>
        <w:spacing w:after="0"/>
      </w:pPr>
    </w:p>
    <w:p>
      <w:pPr/>
      <w:r>
        <w:rPr>
          <w:rFonts w:ascii="Aptos" w:hAnsi="Aptos"/>
          <w:color w:val="282828"/>
          <w:sz w:val="20"/>
        </w:rPr>
        <w:t>Diesel cost was acknowledged as a significant operating constraint. Before selecting equipment, the project should compare cost per tonne of processed feed across diesel, electric and manual options; expected daily and seasonal utilization; transport between farms; downtime; operator labor; and the minimum number of customers required for profitability.</w:t>
      </w:r>
    </w:p>
    <w:p>
      <w:pPr>
        <w:pStyle w:val="Heading1"/>
        <w:keepNext/>
      </w:pPr>
      <w:r>
        <w:t>11. Cooperative governance and organizational readiness</w:t>
      </w:r>
    </w:p>
    <w:p>
      <w:pPr/>
      <w:r>
        <w:rPr>
          <w:rFonts w:ascii="Aptos" w:hAnsi="Aptos"/>
          <w:color w:val="282828"/>
          <w:sz w:val="20"/>
        </w:rPr>
        <w:t>Cooperatives are central to the proposed reach strategy, but both the machinery supplier and the bank expressed concern about their reliability. Many cooperatives were described as having been formed to access the Farmer Input Support Programme and government grain markets rather than to run commercial enterprises or maintain shared assets.</w:t>
      </w:r>
    </w:p>
    <w:p>
      <w:pPr>
        <w:pStyle w:val="Heading2"/>
        <w:keepNext/>
      </w:pPr>
      <w:r>
        <w:t>Risks identified</w:t>
      </w:r>
    </w:p>
    <w:p>
      <w:pPr>
        <w:pStyle w:val="ListBullet"/>
        <w:spacing w:after="50"/>
        <w:ind w:left="317" w:hanging="202"/>
      </w:pPr>
      <w:r>
        <w:rPr>
          <w:rFonts w:ascii="Aptos" w:hAnsi="Aptos"/>
          <w:color w:val="282828"/>
          <w:sz w:val="20"/>
        </w:rPr>
        <w:t>Weak or unstable leadership and limited consequences when members leave or the group dissolves.</w:t>
      </w:r>
    </w:p>
    <w:p>
      <w:pPr>
        <w:pStyle w:val="ListBullet"/>
        <w:spacing w:after="50"/>
        <w:ind w:left="317" w:hanging="202"/>
      </w:pPr>
      <w:r>
        <w:rPr>
          <w:rFonts w:ascii="Aptos" w:hAnsi="Aptos"/>
          <w:color w:val="282828"/>
          <w:sz w:val="20"/>
        </w:rPr>
        <w:t>Limited financial statements, savings, reserves and internal controls.</w:t>
      </w:r>
    </w:p>
    <w:p>
      <w:pPr>
        <w:pStyle w:val="ListBullet"/>
        <w:spacing w:after="50"/>
        <w:ind w:left="317" w:hanging="202"/>
      </w:pPr>
      <w:r>
        <w:rPr>
          <w:rFonts w:ascii="Aptos" w:hAnsi="Aptos"/>
          <w:color w:val="282828"/>
          <w:sz w:val="20"/>
        </w:rPr>
        <w:t>Poor sense of individual responsibility for shared equipment and maintenance.</w:t>
      </w:r>
    </w:p>
    <w:p>
      <w:pPr>
        <w:pStyle w:val="ListBullet"/>
        <w:spacing w:after="50"/>
        <w:ind w:left="317" w:hanging="202"/>
      </w:pPr>
      <w:r>
        <w:rPr>
          <w:rFonts w:ascii="Aptos" w:hAnsi="Aptos"/>
          <w:color w:val="282828"/>
          <w:sz w:val="20"/>
        </w:rPr>
        <w:t>Inadequate business planning and inability to evaluate debt, utilization and cash flow.</w:t>
      </w:r>
    </w:p>
    <w:p>
      <w:pPr>
        <w:pStyle w:val="ListBullet"/>
        <w:spacing w:after="50"/>
        <w:ind w:left="317" w:hanging="202"/>
      </w:pPr>
      <w:r>
        <w:rPr>
          <w:rFonts w:ascii="Aptos" w:hAnsi="Aptos"/>
          <w:color w:val="282828"/>
          <w:sz w:val="20"/>
        </w:rPr>
        <w:t>Side-selling when members find a better price or when the cooperative cannot buy all output.</w:t>
      </w:r>
    </w:p>
    <w:p>
      <w:pPr>
        <w:pStyle w:val="ListBullet"/>
        <w:spacing w:after="50"/>
        <w:ind w:left="317" w:hanging="202"/>
      </w:pPr>
      <w:r>
        <w:rPr>
          <w:rFonts w:ascii="Aptos" w:hAnsi="Aptos"/>
          <w:color w:val="282828"/>
          <w:sz w:val="20"/>
        </w:rPr>
        <w:t>Groups may be legally registered but still lack the operational capacity to run a feedlot or service business.</w:t>
      </w:r>
    </w:p>
    <w:p>
      <w:pPr>
        <w:pStyle w:val="ListBullet"/>
        <w:spacing w:after="50"/>
        <w:ind w:left="317" w:hanging="202"/>
      </w:pPr>
      <w:r>
        <w:rPr>
          <w:rFonts w:ascii="Aptos" w:hAnsi="Aptos"/>
          <w:color w:val="282828"/>
          <w:sz w:val="20"/>
        </w:rPr>
        <w:t>Women and youth may be nominal members but have limited influence over assets, borrowing and sales revenue.</w:t>
      </w:r>
    </w:p>
    <w:p>
      <w:pPr>
        <w:pStyle w:val="Heading2"/>
        <w:keepNext/>
      </w:pPr>
      <w:r>
        <w:t>Readiness screen recommended before investment</w:t>
      </w:r>
    </w:p>
    <w:p>
      <w:pPr>
        <w:pStyle w:val="ListBullet"/>
        <w:spacing w:after="50"/>
        <w:ind w:left="317" w:hanging="202"/>
      </w:pPr>
      <w:r>
        <w:rPr>
          <w:rFonts w:ascii="Aptos" w:hAnsi="Aptos"/>
          <w:color w:val="282828"/>
          <w:sz w:val="20"/>
        </w:rPr>
        <w:t>Legal status, membership stability and decision-making rules.</w:t>
      </w:r>
    </w:p>
    <w:p>
      <w:pPr>
        <w:pStyle w:val="ListBullet"/>
        <w:spacing w:after="50"/>
        <w:ind w:left="317" w:hanging="202"/>
      </w:pPr>
      <w:r>
        <w:rPr>
          <w:rFonts w:ascii="Aptos" w:hAnsi="Aptos"/>
          <w:color w:val="282828"/>
          <w:sz w:val="20"/>
        </w:rPr>
        <w:t>Leadership track record, meeting records and conflict-resolution processes.</w:t>
      </w:r>
    </w:p>
    <w:p>
      <w:pPr>
        <w:pStyle w:val="ListBullet"/>
        <w:spacing w:after="50"/>
        <w:ind w:left="317" w:hanging="202"/>
      </w:pPr>
      <w:r>
        <w:rPr>
          <w:rFonts w:ascii="Aptos" w:hAnsi="Aptos"/>
          <w:color w:val="282828"/>
          <w:sz w:val="20"/>
        </w:rPr>
        <w:t>Bank account, audited or reviewed financial records, savings and member equity.</w:t>
      </w:r>
    </w:p>
    <w:p>
      <w:pPr>
        <w:pStyle w:val="ListBullet"/>
        <w:spacing w:after="50"/>
        <w:ind w:left="317" w:hanging="202"/>
      </w:pPr>
      <w:r>
        <w:rPr>
          <w:rFonts w:ascii="Aptos" w:hAnsi="Aptos"/>
          <w:color w:val="282828"/>
          <w:sz w:val="20"/>
        </w:rPr>
        <w:t>Prior management of shared assets, storage or collective marketing.</w:t>
      </w:r>
    </w:p>
    <w:p>
      <w:pPr>
        <w:pStyle w:val="ListBullet"/>
        <w:spacing w:after="50"/>
        <w:ind w:left="317" w:hanging="202"/>
      </w:pPr>
      <w:r>
        <w:rPr>
          <w:rFonts w:ascii="Aptos" w:hAnsi="Aptos"/>
          <w:color w:val="282828"/>
          <w:sz w:val="20"/>
        </w:rPr>
        <w:t>Formal offtake agreement and realistic production volume.</w:t>
      </w:r>
    </w:p>
    <w:p>
      <w:pPr>
        <w:pStyle w:val="ListBullet"/>
        <w:spacing w:after="50"/>
        <w:ind w:left="317" w:hanging="202"/>
      </w:pPr>
      <w:r>
        <w:rPr>
          <w:rFonts w:ascii="Aptos" w:hAnsi="Aptos"/>
          <w:color w:val="282828"/>
          <w:sz w:val="20"/>
        </w:rPr>
        <w:t>Named operator, maintenance plan, service fees and replacement reserve.</w:t>
      </w:r>
    </w:p>
    <w:p>
      <w:pPr>
        <w:pStyle w:val="ListBullet"/>
        <w:spacing w:after="50"/>
        <w:ind w:left="317" w:hanging="202"/>
      </w:pPr>
      <w:r>
        <w:rPr>
          <w:rFonts w:ascii="Aptos" w:hAnsi="Aptos"/>
          <w:color w:val="282828"/>
          <w:sz w:val="20"/>
        </w:rPr>
        <w:t>Clear benefit-sharing rules and safeguards for women, youth and poorer members.</w:t>
      </w:r>
    </w:p>
    <w:p>
      <w:pPr/>
      <w:r>
        <w:rPr>
          <w:rFonts w:ascii="Aptos" w:hAnsi="Aptos"/>
          <w:color w:val="282828"/>
          <w:sz w:val="20"/>
        </w:rPr>
        <w:t>The suggestion to involve the ministry responsible for cooperatives and SMEs is sound, but its staffing and capability should be assessed. Technical training on livestock or machinery will not compensate for weak management, leadership and financial systems.</w:t>
      </w:r>
    </w:p>
    <w:p>
      <w:pPr>
        <w:pStyle w:val="Heading1"/>
        <w:keepNext/>
      </w:pPr>
      <w:r>
        <w:t>12. Bank-finance pathway</w:t>
      </w:r>
    </w:p>
    <w:p>
      <w:pPr/>
      <w:r>
        <w:rPr>
          <w:rFonts w:ascii="Aptos" w:hAnsi="Aptos"/>
          <w:color w:val="282828"/>
          <w:sz w:val="20"/>
        </w:rPr>
        <w:t>The bank described a broad agriculture-finance mandate and products for irrigation, processing, transport, land preparation, tractors, livestock and fish. It is partly government-owned and aligned with public agricultural programs. The discussion used an illustrative cooperative investment of roughly US$5,000-10,000 or about K180,000 for a feedlot, chopper-grinder, digital scale, pelletizer, fuel and basic infrastructure.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80" w:type="dxa"/>
              <w:start w:w="100" w:type="dxa"/>
              <w:bottom w:w="80" w:type="dxa"/>
              <w:end w:w="100" w:type="dxa"/>
            </w:tcMar>
            <w:shd w:fill="1F374E"/>
          </w:tcPr>
          <w:p>
            <w:pPr>
              <w:spacing w:after="0" w:line="240" w:lineRule="auto"/>
            </w:pPr>
            <w:r/>
            <w:r>
              <w:rPr>
                <w:rFonts w:ascii="Aptos" w:hAnsi="Aptos"/>
                <w:b/>
                <w:color w:val="FFFFFF"/>
                <w:sz w:val="18"/>
              </w:rPr>
              <w:t>Feature</w:t>
            </w:r>
          </w:p>
        </w:tc>
        <w:tc>
          <w:tcPr>
            <w:tcW w:type="dxa" w:w="4896"/>
            <w:vAlign w:val="center"/>
            <w:tcMar>
              <w:top w:w="80" w:type="dxa"/>
              <w:start w:w="100" w:type="dxa"/>
              <w:bottom w:w="80" w:type="dxa"/>
              <w:end w:w="100" w:type="dxa"/>
            </w:tcMar>
            <w:shd w:fill="1F374E"/>
          </w:tcPr>
          <w:p>
            <w:pPr>
              <w:spacing w:after="0" w:line="240" w:lineRule="auto"/>
            </w:pPr>
            <w:r/>
            <w:r>
              <w:rPr>
                <w:rFonts w:ascii="Aptos" w:hAnsi="Aptos"/>
                <w:b/>
                <w:color w:val="FFFFFF"/>
                <w:sz w:val="18"/>
              </w:rPr>
              <w:t>Reported terms or practice</w:t>
            </w:r>
          </w:p>
        </w:tc>
        <w:tc>
          <w:tcPr>
            <w:tcW w:type="dxa" w:w="4392"/>
            <w:vAlign w:val="center"/>
            <w:tcMar>
              <w:top w:w="80" w:type="dxa"/>
              <w:start w:w="100" w:type="dxa"/>
              <w:bottom w:w="80" w:type="dxa"/>
              <w:end w:w="100" w:type="dxa"/>
            </w:tcMar>
            <w:shd w:fill="1F374E"/>
          </w:tcPr>
          <w:p>
            <w:pPr>
              <w:spacing w:after="0" w:line="240" w:lineRule="auto"/>
            </w:pPr>
            <w:r/>
            <w:r>
              <w:rPr>
                <w:rFonts w:ascii="Aptos" w:hAnsi="Aptos"/>
                <w:b/>
                <w:color w:val="FFFFFF"/>
                <w:sz w:val="18"/>
              </w:rPr>
              <w:t>Verification or design issue</w:t>
            </w:r>
          </w:p>
        </w:tc>
      </w:tr>
      <w:tr>
        <w:trPr>
          <w:cantSplit/>
        </w:trPr>
        <w:tc>
          <w:tcPr>
            <w:tcW w:type="dxa" w:w="1800"/>
            <w:vAlign w:val="center"/>
            <w:tcMar>
              <w:top w:w="80" w:type="dxa"/>
              <w:start w:w="100" w:type="dxa"/>
              <w:bottom w:w="80" w:type="dxa"/>
              <w:end w:w="100" w:type="dxa"/>
            </w:tcMar>
          </w:tcPr>
          <w:p>
            <w:pPr>
              <w:spacing w:after="0" w:line="240" w:lineRule="auto"/>
            </w:pPr>
            <w:r/>
            <w:r>
              <w:rPr>
                <w:rFonts w:ascii="Aptos" w:hAnsi="Aptos"/>
                <w:b w:val="0"/>
                <w:color w:val="282828"/>
                <w:sz w:val="16"/>
              </w:rPr>
              <w:t>Interest rate</w:t>
            </w:r>
          </w:p>
        </w:tc>
        <w:tc>
          <w:tcPr>
            <w:tcW w:type="dxa" w:w="4896"/>
            <w:vAlign w:val="center"/>
            <w:tcMar>
              <w:top w:w="80" w:type="dxa"/>
              <w:start w:w="100" w:type="dxa"/>
              <w:bottom w:w="80" w:type="dxa"/>
              <w:end w:w="100" w:type="dxa"/>
            </w:tcMar>
          </w:tcPr>
          <w:p>
            <w:pPr>
              <w:spacing w:after="0" w:line="240" w:lineRule="auto"/>
            </w:pPr>
            <w:r/>
            <w:r>
              <w:rPr>
                <w:rFonts w:ascii="Aptos" w:hAnsi="Aptos"/>
                <w:b w:val="0"/>
                <w:color w:val="282828"/>
                <w:sz w:val="16"/>
              </w:rPr>
              <w:t>Approximately 16.25 percent, described as the Bank of Zambia rate of 13.25 percent plus a three-percentage-point margin.</w:t>
            </w:r>
          </w:p>
        </w:tc>
        <w:tc>
          <w:tcPr>
            <w:tcW w:type="dxa" w:w="4392"/>
            <w:vAlign w:val="center"/>
            <w:tcMar>
              <w:top w:w="80" w:type="dxa"/>
              <w:start w:w="100" w:type="dxa"/>
              <w:bottom w:w="80" w:type="dxa"/>
              <w:end w:w="100" w:type="dxa"/>
            </w:tcMar>
          </w:tcPr>
          <w:p>
            <w:pPr>
              <w:spacing w:after="0" w:line="240" w:lineRule="auto"/>
            </w:pPr>
            <w:r/>
            <w:r>
              <w:rPr>
                <w:rFonts w:ascii="Aptos" w:hAnsi="Aptos"/>
                <w:b w:val="0"/>
                <w:color w:val="282828"/>
                <w:sz w:val="16"/>
              </w:rPr>
              <w:t>Confirm current rate, subsidy source, eligibility and whether it is fixed or variable.</w:t>
            </w:r>
          </w:p>
        </w:tc>
      </w:tr>
      <w:tr>
        <w:trPr>
          <w:cantSplit/>
        </w:trPr>
        <w:tc>
          <w:tcPr>
            <w:tcW w:type="dxa" w:w="1800"/>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Loan tenor</w:t>
            </w:r>
          </w:p>
        </w:tc>
        <w:tc>
          <w:tcPr>
            <w:tcW w:type="dxa" w:w="4896"/>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Up to three years.</w:t>
            </w:r>
          </w:p>
        </w:tc>
        <w:tc>
          <w:tcPr>
            <w:tcW w:type="dxa" w:w="439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Test against machinery life and cattle-fattening cash flow.</w:t>
            </w:r>
          </w:p>
        </w:tc>
      </w:tr>
      <w:tr>
        <w:trPr>
          <w:cantSplit/>
        </w:trPr>
        <w:tc>
          <w:tcPr>
            <w:tcW w:type="dxa" w:w="1800"/>
            <w:vAlign w:val="center"/>
            <w:tcMar>
              <w:top w:w="80" w:type="dxa"/>
              <w:start w:w="100" w:type="dxa"/>
              <w:bottom w:w="80" w:type="dxa"/>
              <w:end w:w="100" w:type="dxa"/>
            </w:tcMar>
          </w:tcPr>
          <w:p>
            <w:pPr>
              <w:spacing w:after="0" w:line="240" w:lineRule="auto"/>
            </w:pPr>
            <w:r/>
            <w:r>
              <w:rPr>
                <w:rFonts w:ascii="Aptos" w:hAnsi="Aptos"/>
                <w:b w:val="0"/>
                <w:color w:val="282828"/>
                <w:sz w:val="16"/>
              </w:rPr>
              <w:t>Repayment</w:t>
            </w:r>
          </w:p>
        </w:tc>
        <w:tc>
          <w:tcPr>
            <w:tcW w:type="dxa" w:w="4896"/>
            <w:vAlign w:val="center"/>
            <w:tcMar>
              <w:top w:w="80" w:type="dxa"/>
              <w:start w:w="100" w:type="dxa"/>
              <w:bottom w:w="80" w:type="dxa"/>
              <w:end w:w="100" w:type="dxa"/>
            </w:tcMar>
          </w:tcPr>
          <w:p>
            <w:pPr>
              <w:spacing w:after="0" w:line="240" w:lineRule="auto"/>
            </w:pPr>
            <w:r/>
            <w:r>
              <w:rPr>
                <w:rFonts w:ascii="Aptos" w:hAnsi="Aptos"/>
                <w:b w:val="0"/>
                <w:color w:val="282828"/>
                <w:sz w:val="16"/>
              </w:rPr>
              <w:t>Annual or semiannual schedules and a possible grace period aligned to production and sale.</w:t>
            </w:r>
          </w:p>
        </w:tc>
        <w:tc>
          <w:tcPr>
            <w:tcW w:type="dxa" w:w="4392"/>
            <w:vAlign w:val="center"/>
            <w:tcMar>
              <w:top w:w="80" w:type="dxa"/>
              <w:start w:w="100" w:type="dxa"/>
              <w:bottom w:w="80" w:type="dxa"/>
              <w:end w:w="100" w:type="dxa"/>
            </w:tcMar>
          </w:tcPr>
          <w:p>
            <w:pPr>
              <w:spacing w:after="0" w:line="240" w:lineRule="auto"/>
            </w:pPr>
            <w:r/>
            <w:r>
              <w:rPr>
                <w:rFonts w:ascii="Aptos" w:hAnsi="Aptos"/>
                <w:b w:val="0"/>
                <w:color w:val="282828"/>
                <w:sz w:val="16"/>
              </w:rPr>
              <w:t>Define exact schedule for each enterprise and stress-test delays.</w:t>
            </w:r>
          </w:p>
        </w:tc>
      </w:tr>
      <w:tr>
        <w:trPr>
          <w:cantSplit/>
        </w:trPr>
        <w:tc>
          <w:tcPr>
            <w:tcW w:type="dxa" w:w="1800"/>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Borrower contribution</w:t>
            </w:r>
          </w:p>
        </w:tc>
        <w:tc>
          <w:tcPr>
            <w:tcW w:type="dxa" w:w="4896"/>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A margin of about 15 percent was mentioned in some cases.</w:t>
            </w:r>
          </w:p>
        </w:tc>
        <w:tc>
          <w:tcPr>
            <w:tcW w:type="dxa" w:w="439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Clarify cash contribution versus asset value and whether cooperatives qualify.</w:t>
            </w:r>
          </w:p>
        </w:tc>
      </w:tr>
      <w:tr>
        <w:trPr>
          <w:cantSplit/>
        </w:trPr>
        <w:tc>
          <w:tcPr>
            <w:tcW w:type="dxa" w:w="1800"/>
            <w:vAlign w:val="center"/>
            <w:tcMar>
              <w:top w:w="80" w:type="dxa"/>
              <w:start w:w="100" w:type="dxa"/>
              <w:bottom w:w="80" w:type="dxa"/>
              <w:end w:w="100" w:type="dxa"/>
            </w:tcMar>
          </w:tcPr>
          <w:p>
            <w:pPr>
              <w:spacing w:after="0" w:line="240" w:lineRule="auto"/>
            </w:pPr>
            <w:r/>
            <w:r>
              <w:rPr>
                <w:rFonts w:ascii="Aptos" w:hAnsi="Aptos"/>
                <w:b w:val="0"/>
                <w:color w:val="282828"/>
                <w:sz w:val="16"/>
              </w:rPr>
              <w:t>Working capital</w:t>
            </w:r>
          </w:p>
        </w:tc>
        <w:tc>
          <w:tcPr>
            <w:tcW w:type="dxa" w:w="4896"/>
            <w:vAlign w:val="center"/>
            <w:tcMar>
              <w:top w:w="80" w:type="dxa"/>
              <w:start w:w="100" w:type="dxa"/>
              <w:bottom w:w="80" w:type="dxa"/>
              <w:end w:w="100" w:type="dxa"/>
            </w:tcMar>
          </w:tcPr>
          <w:p>
            <w:pPr>
              <w:spacing w:after="0" w:line="240" w:lineRule="auto"/>
            </w:pPr>
            <w:r/>
            <w:r>
              <w:rPr>
                <w:rFonts w:ascii="Aptos" w:hAnsi="Aptos"/>
                <w:b w:val="0"/>
                <w:color w:val="282828"/>
                <w:sz w:val="16"/>
              </w:rPr>
              <w:t>May be included with machinery finance.</w:t>
            </w:r>
          </w:p>
        </w:tc>
        <w:tc>
          <w:tcPr>
            <w:tcW w:type="dxa" w:w="4392"/>
            <w:vAlign w:val="center"/>
            <w:tcMar>
              <w:top w:w="80" w:type="dxa"/>
              <w:start w:w="100" w:type="dxa"/>
              <w:bottom w:w="80" w:type="dxa"/>
              <w:end w:w="100" w:type="dxa"/>
            </w:tcMar>
          </w:tcPr>
          <w:p>
            <w:pPr>
              <w:spacing w:after="0" w:line="240" w:lineRule="auto"/>
            </w:pPr>
            <w:r/>
            <w:r>
              <w:rPr>
                <w:rFonts w:ascii="Aptos" w:hAnsi="Aptos"/>
                <w:b w:val="0"/>
                <w:color w:val="282828"/>
                <w:sz w:val="16"/>
              </w:rPr>
              <w:t>Essential for feed, fuel, health, transport and animal purchase.</w:t>
            </w:r>
          </w:p>
        </w:tc>
      </w:tr>
      <w:tr>
        <w:trPr>
          <w:cantSplit/>
        </w:trPr>
        <w:tc>
          <w:tcPr>
            <w:tcW w:type="dxa" w:w="1800"/>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Collateral</w:t>
            </w:r>
          </w:p>
        </w:tc>
        <w:tc>
          <w:tcPr>
            <w:tcW w:type="dxa" w:w="4896"/>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Machinery, land or fixed assets; cattle may be considered but generally as additional security.</w:t>
            </w:r>
          </w:p>
        </w:tc>
        <w:tc>
          <w:tcPr>
            <w:tcW w:type="dxa" w:w="439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The target smallholder may not meet collateral requirements.</w:t>
            </w:r>
          </w:p>
        </w:tc>
      </w:tr>
      <w:tr>
        <w:trPr>
          <w:cantSplit/>
        </w:trPr>
        <w:tc>
          <w:tcPr>
            <w:tcW w:type="dxa" w:w="1800"/>
            <w:vAlign w:val="center"/>
            <w:tcMar>
              <w:top w:w="80" w:type="dxa"/>
              <w:start w:w="100" w:type="dxa"/>
              <w:bottom w:w="80" w:type="dxa"/>
              <w:end w:w="100" w:type="dxa"/>
            </w:tcMar>
          </w:tcPr>
          <w:p>
            <w:pPr>
              <w:spacing w:after="0" w:line="240" w:lineRule="auto"/>
            </w:pPr>
            <w:r/>
            <w:r>
              <w:rPr>
                <w:rFonts w:ascii="Aptos" w:hAnsi="Aptos"/>
                <w:b w:val="0"/>
                <w:color w:val="282828"/>
                <w:sz w:val="16"/>
              </w:rPr>
              <w:t>Cooperatives</w:t>
            </w:r>
          </w:p>
        </w:tc>
        <w:tc>
          <w:tcPr>
            <w:tcW w:type="dxa" w:w="4896"/>
            <w:vAlign w:val="center"/>
            <w:tcMar>
              <w:top w:w="80" w:type="dxa"/>
              <w:start w:w="100" w:type="dxa"/>
              <w:bottom w:w="80" w:type="dxa"/>
              <w:end w:w="100" w:type="dxa"/>
            </w:tcMar>
          </w:tcPr>
          <w:p>
            <w:pPr>
              <w:spacing w:after="0" w:line="240" w:lineRule="auto"/>
            </w:pPr>
            <w:r/>
            <w:r>
              <w:rPr>
                <w:rFonts w:ascii="Aptos" w:hAnsi="Aptos"/>
                <w:b w:val="0"/>
                <w:color w:val="282828"/>
                <w:sz w:val="16"/>
              </w:rPr>
              <w:t>Finance is possible when the group is well organized and linked to an offtaker that provides a formal guarantee or contract.</w:t>
            </w:r>
          </w:p>
        </w:tc>
        <w:tc>
          <w:tcPr>
            <w:tcW w:type="dxa" w:w="4392"/>
            <w:vAlign w:val="center"/>
            <w:tcMar>
              <w:top w:w="80" w:type="dxa"/>
              <w:start w:w="100" w:type="dxa"/>
              <w:bottom w:w="80" w:type="dxa"/>
              <w:end w:w="100" w:type="dxa"/>
            </w:tcMar>
          </w:tcPr>
          <w:p>
            <w:pPr>
              <w:spacing w:after="0" w:line="240" w:lineRule="auto"/>
            </w:pPr>
            <w:r/>
            <w:r>
              <w:rPr>
                <w:rFonts w:ascii="Aptos" w:hAnsi="Aptos"/>
                <w:b w:val="0"/>
                <w:color w:val="282828"/>
                <w:sz w:val="16"/>
              </w:rPr>
              <w:t>Create objective cooperative and offtaker due-diligence criteria.</w:t>
            </w:r>
          </w:p>
        </w:tc>
      </w:tr>
      <w:tr>
        <w:trPr>
          <w:cantSplit/>
        </w:trPr>
        <w:tc>
          <w:tcPr>
            <w:tcW w:type="dxa" w:w="1800"/>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Existing experience</w:t>
            </w:r>
          </w:p>
        </w:tc>
        <w:tc>
          <w:tcPr>
            <w:tcW w:type="dxa" w:w="4896"/>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Approximately 100 machinery loans across the province were mentioned; no completed cattle-fattening loan, with one reportedly in the pipeline.</w:t>
            </w:r>
          </w:p>
        </w:tc>
        <w:tc>
          <w:tcPr>
            <w:tcW w:type="dxa" w:w="439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Obtain a verified portfolio breakdown and performance data.</w:t>
            </w:r>
          </w:p>
        </w:tc>
      </w:tr>
    </w:tbl>
    <w:p>
      <w:pPr>
        <w:spacing w:after="0"/>
      </w:pPr>
    </w:p>
    <w:p>
      <w:pPr>
        <w:pStyle w:val="Heading2"/>
        <w:keepNext/>
      </w:pPr>
      <w:r>
        <w:t>Critical coaching interpretation</w:t>
      </w:r>
    </w:p>
    <w:p>
      <w:pPr>
        <w:pStyle w:val="ListBullet"/>
        <w:spacing w:after="50"/>
        <w:ind w:left="317" w:hanging="202"/>
      </w:pPr>
      <w:r>
        <w:rPr>
          <w:rFonts w:ascii="Aptos" w:hAnsi="Aptos"/>
          <w:color w:val="282828"/>
          <w:sz w:val="20"/>
        </w:rPr>
        <w:t>Finance availability is not the same as finance accessibility. The likely target farmers may lack fixed assets, records, experience and formal markets.</w:t>
      </w:r>
    </w:p>
    <w:p>
      <w:pPr>
        <w:pStyle w:val="ListBullet"/>
        <w:spacing w:after="50"/>
        <w:ind w:left="317" w:hanging="202"/>
      </w:pPr>
      <w:r>
        <w:rPr>
          <w:rFonts w:ascii="Aptos" w:hAnsi="Aptos"/>
          <w:color w:val="282828"/>
          <w:sz w:val="20"/>
        </w:rPr>
        <w:t>The bank should be involved in designing business plans and cluster structures before applications are submitted, not only in approving or rejecting loans.</w:t>
      </w:r>
    </w:p>
    <w:p>
      <w:pPr>
        <w:pStyle w:val="ListBullet"/>
        <w:spacing w:after="50"/>
        <w:ind w:left="317" w:hanging="202"/>
      </w:pPr>
      <w:r>
        <w:rPr>
          <w:rFonts w:ascii="Aptos" w:hAnsi="Aptos"/>
          <w:color w:val="282828"/>
          <w:sz w:val="20"/>
        </w:rPr>
        <w:t>A formal offtake contract can reduce market risk but does not eliminate production, price, animal-health or governance risk.</w:t>
      </w:r>
    </w:p>
    <w:p>
      <w:pPr>
        <w:pStyle w:val="ListBullet"/>
        <w:spacing w:after="50"/>
        <w:ind w:left="317" w:hanging="202"/>
      </w:pPr>
      <w:r>
        <w:rPr>
          <w:rFonts w:ascii="Aptos" w:hAnsi="Aptos"/>
          <w:color w:val="282828"/>
          <w:sz w:val="20"/>
        </w:rPr>
        <w:t>The project should not assume that cattle themselves provide sufficient collateral. The bank stated that livestock is generally additional security.</w:t>
      </w:r>
    </w:p>
    <w:p>
      <w:pPr>
        <w:pStyle w:val="ListBullet"/>
        <w:spacing w:after="50"/>
        <w:ind w:left="317" w:hanging="202"/>
      </w:pPr>
      <w:r>
        <w:rPr>
          <w:rFonts w:ascii="Aptos" w:hAnsi="Aptos"/>
          <w:color w:val="282828"/>
          <w:sz w:val="20"/>
        </w:rPr>
        <w:t>The bank’s commitment to identify markets and create clusters is promising and should be converted into a documented product with targets, eligibility, processes and performance indicators.</w:t>
      </w:r>
    </w:p>
    <w:p>
      <w:pPr>
        <w:pStyle w:val="Heading1"/>
        <w:keepNext/>
      </w:pPr>
      <w:r>
        <w:t>13. Livestock-insurance and risk-transfer pathway</w:t>
      </w:r>
    </w:p>
    <w:p>
      <w:pPr/>
      <w:r>
        <w:rPr>
          <w:rFonts w:ascii="Aptos" w:hAnsi="Aptos"/>
          <w:color w:val="282828"/>
          <w:sz w:val="20"/>
        </w:rPr>
        <w:t>The insurance discussion showed that livestock insurance in Eastern Province is at a very early stage. The company mainly provides general asset insurance; agriculture reportedly represents less than five percent of its portfolio. It had one sheep client and no completed cattle policies in the province, although cattle prospects were being discussed.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80" w:type="dxa"/>
              <w:start w:w="100" w:type="dxa"/>
              <w:bottom w:w="80" w:type="dxa"/>
              <w:end w:w="100" w:type="dxa"/>
            </w:tcMar>
            <w:shd w:fill="1F374E"/>
          </w:tcPr>
          <w:p>
            <w:pPr>
              <w:spacing w:after="0" w:line="240" w:lineRule="auto"/>
            </w:pPr>
            <w:r/>
            <w:r>
              <w:rPr>
                <w:rFonts w:ascii="Aptos" w:hAnsi="Aptos"/>
                <w:b/>
                <w:color w:val="FFFFFF"/>
                <w:sz w:val="18"/>
              </w:rPr>
              <w:t>Dimension</w:t>
            </w:r>
          </w:p>
        </w:tc>
        <w:tc>
          <w:tcPr>
            <w:tcW w:type="dxa" w:w="4824"/>
            <w:vAlign w:val="center"/>
            <w:tcMar>
              <w:top w:w="80" w:type="dxa"/>
              <w:start w:w="100" w:type="dxa"/>
              <w:bottom w:w="80" w:type="dxa"/>
              <w:end w:w="100" w:type="dxa"/>
            </w:tcMar>
            <w:shd w:fill="1F374E"/>
          </w:tcPr>
          <w:p>
            <w:pPr>
              <w:spacing w:after="0" w:line="240" w:lineRule="auto"/>
            </w:pPr>
            <w:r/>
            <w:r>
              <w:rPr>
                <w:rFonts w:ascii="Aptos" w:hAnsi="Aptos"/>
                <w:b/>
                <w:color w:val="FFFFFF"/>
                <w:sz w:val="18"/>
              </w:rPr>
              <w:t>What was discussed</w:t>
            </w:r>
          </w:p>
        </w:tc>
        <w:tc>
          <w:tcPr>
            <w:tcW w:type="dxa" w:w="4464"/>
            <w:vAlign w:val="center"/>
            <w:tcMar>
              <w:top w:w="80" w:type="dxa"/>
              <w:start w:w="100" w:type="dxa"/>
              <w:bottom w:w="80" w:type="dxa"/>
              <w:end w:w="100" w:type="dxa"/>
            </w:tcMar>
            <w:shd w:fill="1F374E"/>
          </w:tcPr>
          <w:p>
            <w:pPr>
              <w:spacing w:after="0" w:line="240" w:lineRule="auto"/>
            </w:pPr>
            <w:r/>
            <w:r>
              <w:rPr>
                <w:rFonts w:ascii="Aptos" w:hAnsi="Aptos"/>
                <w:b/>
                <w:color w:val="FFFFFF"/>
                <w:sz w:val="18"/>
              </w:rPr>
              <w:t>Issue requiring clarification</w:t>
            </w:r>
          </w:p>
        </w:tc>
      </w:tr>
      <w:tr>
        <w:trPr>
          <w:cantSplit/>
        </w:trPr>
        <w:tc>
          <w:tcPr>
            <w:tcW w:type="dxa" w:w="1800"/>
            <w:vAlign w:val="center"/>
            <w:tcMar>
              <w:top w:w="80" w:type="dxa"/>
              <w:start w:w="100" w:type="dxa"/>
              <w:bottom w:w="80" w:type="dxa"/>
              <w:end w:w="100" w:type="dxa"/>
            </w:tcMar>
          </w:tcPr>
          <w:p>
            <w:pPr>
              <w:spacing w:after="0" w:line="240" w:lineRule="auto"/>
            </w:pPr>
            <w:r/>
            <w:r>
              <w:rPr>
                <w:rFonts w:ascii="Aptos" w:hAnsi="Aptos"/>
                <w:b w:val="0"/>
                <w:color w:val="282828"/>
                <w:sz w:val="16"/>
              </w:rPr>
              <w:t>Product type</w:t>
            </w:r>
          </w:p>
        </w:tc>
        <w:tc>
          <w:tcPr>
            <w:tcW w:type="dxa" w:w="4824"/>
            <w:vAlign w:val="center"/>
            <w:tcMar>
              <w:top w:w="80" w:type="dxa"/>
              <w:start w:w="100" w:type="dxa"/>
              <w:bottom w:w="80" w:type="dxa"/>
              <w:end w:w="100" w:type="dxa"/>
            </w:tcMar>
          </w:tcPr>
          <w:p>
            <w:pPr>
              <w:spacing w:after="0" w:line="240" w:lineRule="auto"/>
            </w:pPr>
            <w:r/>
            <w:r>
              <w:rPr>
                <w:rFonts w:ascii="Aptos" w:hAnsi="Aptos"/>
                <w:b w:val="0"/>
                <w:color w:val="282828"/>
                <w:sz w:val="16"/>
              </w:rPr>
              <w:t>Individual indemnity insurance with pre-inspection and claim verification, rather than index insurance.</w:t>
            </w:r>
          </w:p>
        </w:tc>
        <w:tc>
          <w:tcPr>
            <w:tcW w:type="dxa" w:w="4464"/>
            <w:vAlign w:val="center"/>
            <w:tcMar>
              <w:top w:w="80" w:type="dxa"/>
              <w:start w:w="100" w:type="dxa"/>
              <w:bottom w:w="80" w:type="dxa"/>
              <w:end w:w="100" w:type="dxa"/>
            </w:tcMar>
          </w:tcPr>
          <w:p>
            <w:pPr>
              <w:spacing w:after="0" w:line="240" w:lineRule="auto"/>
            </w:pPr>
            <w:r/>
            <w:r>
              <w:rPr>
                <w:rFonts w:ascii="Aptos" w:hAnsi="Aptos"/>
                <w:b w:val="0"/>
                <w:color w:val="282828"/>
                <w:sz w:val="16"/>
              </w:rPr>
              <w:t>Define covered events, exclusions, deductibles and evidence requirements.</w:t>
            </w:r>
          </w:p>
        </w:tc>
      </w:tr>
      <w:tr>
        <w:trPr>
          <w:cantSplit/>
        </w:trPr>
        <w:tc>
          <w:tcPr>
            <w:tcW w:type="dxa" w:w="1800"/>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Drought</w:t>
            </w:r>
          </w:p>
        </w:tc>
        <w:tc>
          <w:tcPr>
            <w:tcW w:type="dxa" w:w="482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Statements were inconsistent. Farmers may need to demonstrate that they sought water and took reasonable care; a separate government-supported index pilot was also discussed.</w:t>
            </w:r>
          </w:p>
        </w:tc>
        <w:tc>
          <w:tcPr>
            <w:tcW w:type="dxa" w:w="446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Clearly distinguish mortality cover, drought cover and index products.</w:t>
            </w:r>
          </w:p>
        </w:tc>
      </w:tr>
      <w:tr>
        <w:trPr>
          <w:cantSplit/>
        </w:trPr>
        <w:tc>
          <w:tcPr>
            <w:tcW w:type="dxa" w:w="1800"/>
            <w:vAlign w:val="center"/>
            <w:tcMar>
              <w:top w:w="80" w:type="dxa"/>
              <w:start w:w="100" w:type="dxa"/>
              <w:bottom w:w="80" w:type="dxa"/>
              <w:end w:w="100" w:type="dxa"/>
            </w:tcMar>
          </w:tcPr>
          <w:p>
            <w:pPr>
              <w:spacing w:after="0" w:line="240" w:lineRule="auto"/>
            </w:pPr>
            <w:r/>
            <w:r>
              <w:rPr>
                <w:rFonts w:ascii="Aptos" w:hAnsi="Aptos"/>
                <w:b w:val="0"/>
                <w:color w:val="282828"/>
                <w:sz w:val="16"/>
              </w:rPr>
              <w:t>Premium</w:t>
            </w:r>
          </w:p>
        </w:tc>
        <w:tc>
          <w:tcPr>
            <w:tcW w:type="dxa" w:w="4824"/>
            <w:vAlign w:val="center"/>
            <w:tcMar>
              <w:top w:w="80" w:type="dxa"/>
              <w:start w:w="100" w:type="dxa"/>
              <w:bottom w:w="80" w:type="dxa"/>
              <w:end w:w="100" w:type="dxa"/>
            </w:tcMar>
          </w:tcPr>
          <w:p>
            <w:pPr>
              <w:spacing w:after="0" w:line="240" w:lineRule="auto"/>
            </w:pPr>
            <w:r/>
            <w:r>
              <w:rPr>
                <w:rFonts w:ascii="Aptos" w:hAnsi="Aptos"/>
                <w:b w:val="0"/>
                <w:color w:val="282828"/>
                <w:sz w:val="16"/>
              </w:rPr>
              <w:t>A figure of about 4.5 percent was mentioned after an earlier unclear reference to one percent.</w:t>
            </w:r>
          </w:p>
        </w:tc>
        <w:tc>
          <w:tcPr>
            <w:tcW w:type="dxa" w:w="4464"/>
            <w:vAlign w:val="center"/>
            <w:tcMar>
              <w:top w:w="80" w:type="dxa"/>
              <w:start w:w="100" w:type="dxa"/>
              <w:bottom w:w="80" w:type="dxa"/>
              <w:end w:w="100" w:type="dxa"/>
            </w:tcMar>
          </w:tcPr>
          <w:p>
            <w:pPr>
              <w:spacing w:after="0" w:line="240" w:lineRule="auto"/>
            </w:pPr>
            <w:r/>
            <w:r>
              <w:rPr>
                <w:rFonts w:ascii="Aptos" w:hAnsi="Aptos"/>
                <w:b w:val="0"/>
                <w:color w:val="282828"/>
                <w:sz w:val="16"/>
              </w:rPr>
              <w:t>Verify the actual premium, taxes, discount rules and sum insured.</w:t>
            </w:r>
          </w:p>
        </w:tc>
      </w:tr>
      <w:tr>
        <w:trPr>
          <w:cantSplit/>
        </w:trPr>
        <w:tc>
          <w:tcPr>
            <w:tcW w:type="dxa" w:w="1800"/>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Valuation</w:t>
            </w:r>
          </w:p>
        </w:tc>
        <w:tc>
          <w:tcPr>
            <w:tcW w:type="dxa" w:w="482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Market value, animal size, weight and acquisition value were mentioned.</w:t>
            </w:r>
          </w:p>
        </w:tc>
        <w:tc>
          <w:tcPr>
            <w:tcW w:type="dxa" w:w="446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Establish a transparent valuation protocol and data source.</w:t>
            </w:r>
          </w:p>
        </w:tc>
      </w:tr>
      <w:tr>
        <w:trPr>
          <w:cantSplit/>
        </w:trPr>
        <w:tc>
          <w:tcPr>
            <w:tcW w:type="dxa" w:w="1800"/>
            <w:vAlign w:val="center"/>
            <w:tcMar>
              <w:top w:w="80" w:type="dxa"/>
              <w:start w:w="100" w:type="dxa"/>
              <w:bottom w:w="80" w:type="dxa"/>
              <w:end w:w="100" w:type="dxa"/>
            </w:tcMar>
          </w:tcPr>
          <w:p>
            <w:pPr>
              <w:spacing w:after="0" w:line="240" w:lineRule="auto"/>
            </w:pPr>
            <w:r/>
            <w:r>
              <w:rPr>
                <w:rFonts w:ascii="Aptos" w:hAnsi="Aptos"/>
                <w:b w:val="0"/>
                <w:color w:val="282828"/>
                <w:sz w:val="16"/>
              </w:rPr>
              <w:t>Claims</w:t>
            </w:r>
          </w:p>
        </w:tc>
        <w:tc>
          <w:tcPr>
            <w:tcW w:type="dxa" w:w="4824"/>
            <w:vAlign w:val="center"/>
            <w:tcMar>
              <w:top w:w="80" w:type="dxa"/>
              <w:start w:w="100" w:type="dxa"/>
              <w:bottom w:w="80" w:type="dxa"/>
              <w:end w:w="100" w:type="dxa"/>
            </w:tcMar>
          </w:tcPr>
          <w:p>
            <w:pPr>
              <w:spacing w:after="0" w:line="240" w:lineRule="auto"/>
            </w:pPr>
            <w:r/>
            <w:r>
              <w:rPr>
                <w:rFonts w:ascii="Aptos" w:hAnsi="Aptos"/>
                <w:b w:val="0"/>
                <w:color w:val="282828"/>
                <w:sz w:val="16"/>
              </w:rPr>
              <w:t>Police reports, weather reports, ministry or local verification and company documentation may be required.</w:t>
            </w:r>
          </w:p>
        </w:tc>
        <w:tc>
          <w:tcPr>
            <w:tcW w:type="dxa" w:w="4464"/>
            <w:vAlign w:val="center"/>
            <w:tcMar>
              <w:top w:w="80" w:type="dxa"/>
              <w:start w:w="100" w:type="dxa"/>
              <w:bottom w:w="80" w:type="dxa"/>
              <w:end w:w="100" w:type="dxa"/>
            </w:tcMar>
          </w:tcPr>
          <w:p>
            <w:pPr>
              <w:spacing w:after="0" w:line="240" w:lineRule="auto"/>
            </w:pPr>
            <w:r/>
            <w:r>
              <w:rPr>
                <w:rFonts w:ascii="Aptos" w:hAnsi="Aptos"/>
                <w:b w:val="0"/>
                <w:color w:val="282828"/>
                <w:sz w:val="16"/>
              </w:rPr>
              <w:t>Simplify and publish the exact claims checklist; assess farmer transaction costs.</w:t>
            </w:r>
          </w:p>
        </w:tc>
      </w:tr>
      <w:tr>
        <w:trPr>
          <w:cantSplit/>
        </w:trPr>
        <w:tc>
          <w:tcPr>
            <w:tcW w:type="dxa" w:w="1800"/>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Processing time</w:t>
            </w:r>
          </w:p>
        </w:tc>
        <w:tc>
          <w:tcPr>
            <w:tcW w:type="dxa" w:w="482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Two to three days after complete documentation was mentioned.</w:t>
            </w:r>
          </w:p>
        </w:tc>
        <w:tc>
          <w:tcPr>
            <w:tcW w:type="dxa" w:w="446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Measure total time from loss to payment, including documentation delays.</w:t>
            </w:r>
          </w:p>
        </w:tc>
      </w:tr>
      <w:tr>
        <w:trPr>
          <w:cantSplit/>
        </w:trPr>
        <w:tc>
          <w:tcPr>
            <w:tcW w:type="dxa" w:w="1800"/>
            <w:vAlign w:val="center"/>
            <w:tcMar>
              <w:top w:w="80" w:type="dxa"/>
              <w:start w:w="100" w:type="dxa"/>
              <w:bottom w:w="80" w:type="dxa"/>
              <w:end w:w="100" w:type="dxa"/>
            </w:tcMar>
          </w:tcPr>
          <w:p>
            <w:pPr>
              <w:spacing w:after="0" w:line="240" w:lineRule="auto"/>
            </w:pPr>
            <w:r/>
            <w:r>
              <w:rPr>
                <w:rFonts w:ascii="Aptos" w:hAnsi="Aptos"/>
                <w:b w:val="0"/>
                <w:color w:val="282828"/>
                <w:sz w:val="16"/>
              </w:rPr>
              <w:t>Awareness</w:t>
            </w:r>
          </w:p>
        </w:tc>
        <w:tc>
          <w:tcPr>
            <w:tcW w:type="dxa" w:w="4824"/>
            <w:vAlign w:val="center"/>
            <w:tcMar>
              <w:top w:w="80" w:type="dxa"/>
              <w:start w:w="100" w:type="dxa"/>
              <w:bottom w:w="80" w:type="dxa"/>
              <w:end w:w="100" w:type="dxa"/>
            </w:tcMar>
          </w:tcPr>
          <w:p>
            <w:pPr>
              <w:spacing w:after="0" w:line="240" w:lineRule="auto"/>
            </w:pPr>
            <w:r/>
            <w:r>
              <w:rPr>
                <w:rFonts w:ascii="Aptos" w:hAnsi="Aptos"/>
                <w:b w:val="0"/>
                <w:color w:val="282828"/>
                <w:sz w:val="16"/>
              </w:rPr>
              <w:t>Low awareness was identified as a major reason for weak uptake.</w:t>
            </w:r>
          </w:p>
        </w:tc>
        <w:tc>
          <w:tcPr>
            <w:tcW w:type="dxa" w:w="4464"/>
            <w:vAlign w:val="center"/>
            <w:tcMar>
              <w:top w:w="80" w:type="dxa"/>
              <w:start w:w="100" w:type="dxa"/>
              <w:bottom w:w="80" w:type="dxa"/>
              <w:end w:w="100" w:type="dxa"/>
            </w:tcMar>
          </w:tcPr>
          <w:p>
            <w:pPr>
              <w:spacing w:after="0" w:line="240" w:lineRule="auto"/>
            </w:pPr>
            <w:r/>
            <w:r>
              <w:rPr>
                <w:rFonts w:ascii="Aptos" w:hAnsi="Aptos"/>
                <w:b w:val="0"/>
                <w:color w:val="282828"/>
                <w:sz w:val="16"/>
              </w:rPr>
              <w:t>Test whether the binding constraint is awareness, product value, trust, price or claim complexity.</w:t>
            </w:r>
          </w:p>
        </w:tc>
      </w:tr>
      <w:tr>
        <w:trPr>
          <w:cantSplit/>
        </w:trPr>
        <w:tc>
          <w:tcPr>
            <w:tcW w:type="dxa" w:w="1800"/>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Bundling</w:t>
            </w:r>
          </w:p>
        </w:tc>
        <w:tc>
          <w:tcPr>
            <w:tcW w:type="dxa" w:w="482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The meeting directly introduced the insurer and bank and suggested bundling insurance with loans.</w:t>
            </w:r>
          </w:p>
        </w:tc>
        <w:tc>
          <w:tcPr>
            <w:tcW w:type="dxa" w:w="4464"/>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Design a joint product and specify whether insurance changes collateral or pricing.</w:t>
            </w:r>
          </w:p>
        </w:tc>
      </w:tr>
    </w:tbl>
    <w:p>
      <w:pPr>
        <w:spacing w:after="0"/>
      </w:pPr>
    </w:p>
    <w:p>
      <w:pPr/>
      <w:r>
        <w:rPr>
          <w:rFonts w:ascii="Aptos" w:hAnsi="Aptos"/>
          <w:color w:val="282828"/>
          <w:sz w:val="20"/>
        </w:rPr>
        <w:t>The project should not use insurance as a generic answer to risk. The product must be understandable, affordable, trustworthy and operationally feasible. If a farmer needs multiple visits, a police report, ministry confirmation and detailed proof of husbandry for a small claim, the transaction cost may outweigh the value of the policy.</w:t>
      </w:r>
    </w:p>
    <w:p>
      <w:pPr>
        <w:pStyle w:val="Heading1"/>
        <w:keepNext/>
      </w:pPr>
      <w:r>
        <w:t>14. Animal identification, valuation and collateral</w:t>
      </w:r>
    </w:p>
    <w:p>
      <w:pPr/>
      <w:r>
        <w:rPr>
          <w:rFonts w:ascii="Aptos" w:hAnsi="Aptos"/>
          <w:color w:val="282828"/>
          <w:sz w:val="20"/>
        </w:rPr>
        <w:t>Cattle were discussed as both productive assets and possible loan collateral. This raised difficult questions about ownership, valuation, identification, movement and repossession. The ministry and bank described a system involving extension officers, traditional leaders, site visits, photographs and local records. Ear tags and branding were also discussed, but coverage was incomplete and tags can be removed.</w:t>
      </w:r>
    </w:p>
    <w:p>
      <w:pPr>
        <w:pStyle w:val="Heading2"/>
        <w:keepNext/>
      </w:pPr>
      <w:r>
        <w:t>Key risks</w:t>
      </w:r>
    </w:p>
    <w:p>
      <w:pPr>
        <w:pStyle w:val="ListBullet"/>
        <w:spacing w:after="50"/>
        <w:ind w:left="317" w:hanging="202"/>
      </w:pPr>
      <w:r>
        <w:rPr>
          <w:rFonts w:ascii="Aptos" w:hAnsi="Aptos"/>
          <w:color w:val="282828"/>
          <w:sz w:val="20"/>
        </w:rPr>
        <w:t>The livestock database may be incomplete or outdated because births, deaths, sales and movements occur frequently.</w:t>
      </w:r>
    </w:p>
    <w:p>
      <w:pPr>
        <w:pStyle w:val="ListBullet"/>
        <w:spacing w:after="50"/>
        <w:ind w:left="317" w:hanging="202"/>
      </w:pPr>
      <w:r>
        <w:rPr>
          <w:rFonts w:ascii="Aptos" w:hAnsi="Aptos"/>
          <w:color w:val="282828"/>
          <w:sz w:val="20"/>
        </w:rPr>
        <w:t>Traditional verification is valuable but may not satisfy all legal and financial requirements for a secured transaction.</w:t>
      </w:r>
    </w:p>
    <w:p>
      <w:pPr>
        <w:pStyle w:val="ListBullet"/>
        <w:spacing w:after="50"/>
        <w:ind w:left="317" w:hanging="202"/>
      </w:pPr>
      <w:r>
        <w:rPr>
          <w:rFonts w:ascii="Aptos" w:hAnsi="Aptos"/>
          <w:color w:val="282828"/>
          <w:sz w:val="20"/>
        </w:rPr>
        <w:t>Ear tags can be removed and branding is not universal; centralized branding may be costly or slow.</w:t>
      </w:r>
    </w:p>
    <w:p>
      <w:pPr>
        <w:pStyle w:val="ListBullet"/>
        <w:spacing w:after="50"/>
        <w:ind w:left="317" w:hanging="202"/>
      </w:pPr>
      <w:r>
        <w:rPr>
          <w:rFonts w:ascii="Aptos" w:hAnsi="Aptos"/>
          <w:color w:val="282828"/>
          <w:sz w:val="20"/>
        </w:rPr>
        <w:t>Cattle value changes with weight, health, age, sex, breed, location and buyer. A single average price is inadequate.</w:t>
      </w:r>
    </w:p>
    <w:p>
      <w:pPr>
        <w:pStyle w:val="ListBullet"/>
        <w:spacing w:after="50"/>
        <w:ind w:left="317" w:hanging="202"/>
      </w:pPr>
      <w:r>
        <w:rPr>
          <w:rFonts w:ascii="Aptos" w:hAnsi="Aptos"/>
          <w:color w:val="282828"/>
          <w:sz w:val="20"/>
        </w:rPr>
        <w:t>Repossession is operationally difficult and costly. Animals must be found, transported, fed and sold, and legal enforcement may be slow.</w:t>
      </w:r>
    </w:p>
    <w:p>
      <w:pPr>
        <w:pStyle w:val="ListBullet"/>
        <w:spacing w:after="50"/>
        <w:ind w:left="317" w:hanging="202"/>
      </w:pPr>
      <w:r>
        <w:rPr>
          <w:rFonts w:ascii="Aptos" w:hAnsi="Aptos"/>
          <w:color w:val="282828"/>
          <w:sz w:val="20"/>
        </w:rPr>
        <w:t>Insurance does not automatically solve collateral risk if ownership and valuation are uncertain.</w:t>
      </w:r>
    </w:p>
    <w:p>
      <w:pPr/>
      <w:r>
        <w:rPr>
          <w:rFonts w:ascii="Aptos" w:hAnsi="Aptos"/>
          <w:color w:val="282828"/>
          <w:sz w:val="20"/>
        </w:rPr>
        <w:t>Before livestock-backed finance is scaled, partners should develop a documented asset-registration and valuation protocol, define acceptable evidence, establish update responsibilities, test digital and physical identification, and clarify enforcement and sale procedures. The cost of this system should be included in the financial model.</w:t>
      </w:r>
    </w:p>
    <w:p>
      <w:pPr>
        <w:pStyle w:val="Heading1"/>
        <w:keepNext/>
      </w:pPr>
      <w:r>
        <w:t>15. Market pull, offtake and the economics of fattening</w:t>
      </w:r>
    </w:p>
    <w:p>
      <w:pPr/>
      <w:r>
        <w:rPr>
          <w:rFonts w:ascii="Aptos" w:hAnsi="Aptos"/>
          <w:color w:val="282828"/>
          <w:sz w:val="20"/>
        </w:rPr>
        <w:t>The commercial rationale for the solution is that better feeding and managed fattening will increase cattle weight and quality, allowing farmers to sell into higher-value formal markets rather than relying on informal “briefcase” buyers. The meeting discussed abattoirs, butchers, supermarkets, existing product networks and possible exports. However, market opportunity was discussed more confidently than it was evidenced.</w:t>
      </w:r>
    </w:p>
    <w:p>
      <w:pPr>
        <w:pStyle w:val="Heading2"/>
        <w:keepNext/>
      </w:pPr>
      <w:r>
        <w:t>Two distinct market models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vAlign w:val="center"/>
            <w:tcMar>
              <w:top w:w="80" w:type="dxa"/>
              <w:start w:w="100" w:type="dxa"/>
              <w:bottom w:w="80" w:type="dxa"/>
              <w:end w:w="100" w:type="dxa"/>
            </w:tcMar>
            <w:shd w:fill="1F374E"/>
          </w:tcPr>
          <w:p>
            <w:pPr>
              <w:spacing w:after="0" w:line="240" w:lineRule="auto"/>
            </w:pPr>
            <w:r/>
            <w:r>
              <w:rPr>
                <w:rFonts w:ascii="Aptos" w:hAnsi="Aptos"/>
                <w:b/>
                <w:color w:val="FFFFFF"/>
                <w:sz w:val="18"/>
              </w:rPr>
              <w:t>Model</w:t>
            </w:r>
          </w:p>
        </w:tc>
        <w:tc>
          <w:tcPr>
            <w:tcW w:type="dxa" w:w="3960"/>
            <w:vAlign w:val="center"/>
            <w:tcMar>
              <w:top w:w="80" w:type="dxa"/>
              <w:start w:w="100" w:type="dxa"/>
              <w:bottom w:w="80" w:type="dxa"/>
              <w:end w:w="100" w:type="dxa"/>
            </w:tcMar>
            <w:shd w:fill="1F374E"/>
          </w:tcPr>
          <w:p>
            <w:pPr>
              <w:spacing w:after="0" w:line="240" w:lineRule="auto"/>
            </w:pPr>
            <w:r/>
            <w:r>
              <w:rPr>
                <w:rFonts w:ascii="Aptos" w:hAnsi="Aptos"/>
                <w:b/>
                <w:color w:val="FFFFFF"/>
                <w:sz w:val="18"/>
              </w:rPr>
              <w:t>Revenue logic</w:t>
            </w:r>
          </w:p>
        </w:tc>
        <w:tc>
          <w:tcPr>
            <w:tcW w:type="dxa" w:w="4608"/>
            <w:vAlign w:val="center"/>
            <w:tcMar>
              <w:top w:w="80" w:type="dxa"/>
              <w:start w:w="100" w:type="dxa"/>
              <w:bottom w:w="80" w:type="dxa"/>
              <w:end w:w="100" w:type="dxa"/>
            </w:tcMar>
            <w:shd w:fill="1F374E"/>
          </w:tcPr>
          <w:p>
            <w:pPr>
              <w:spacing w:after="0" w:line="240" w:lineRule="auto"/>
            </w:pPr>
            <w:r/>
            <w:r>
              <w:rPr>
                <w:rFonts w:ascii="Aptos" w:hAnsi="Aptos"/>
                <w:b/>
                <w:color w:val="FFFFFF"/>
                <w:sz w:val="18"/>
              </w:rPr>
              <w:t>Unresolved questions</w:t>
            </w:r>
          </w:p>
        </w:tc>
      </w:tr>
      <w:tr>
        <w:trPr>
          <w:cantSplit/>
        </w:trPr>
        <w:tc>
          <w:tcPr>
            <w:tcW w:type="dxa" w:w="2520"/>
            <w:vAlign w:val="center"/>
            <w:tcMar>
              <w:top w:w="80" w:type="dxa"/>
              <w:start w:w="100" w:type="dxa"/>
              <w:bottom w:w="80" w:type="dxa"/>
              <w:end w:w="100" w:type="dxa"/>
            </w:tcMar>
          </w:tcPr>
          <w:p>
            <w:pPr>
              <w:spacing w:after="0" w:line="240" w:lineRule="auto"/>
            </w:pPr>
            <w:r/>
            <w:r>
              <w:rPr>
                <w:rFonts w:ascii="Aptos" w:hAnsi="Aptos"/>
                <w:b w:val="0"/>
                <w:color w:val="282828"/>
                <w:sz w:val="17"/>
              </w:rPr>
              <w:t>Live-cattle aggregation and brokerage</w:t>
            </w:r>
          </w:p>
        </w:tc>
        <w:tc>
          <w:tcPr>
            <w:tcW w:type="dxa" w:w="3960"/>
            <w:vAlign w:val="center"/>
            <w:tcMar>
              <w:top w:w="80" w:type="dxa"/>
              <w:start w:w="100" w:type="dxa"/>
              <w:bottom w:w="80" w:type="dxa"/>
              <w:end w:w="100" w:type="dxa"/>
            </w:tcMar>
          </w:tcPr>
          <w:p>
            <w:pPr>
              <w:spacing w:after="0" w:line="240" w:lineRule="auto"/>
            </w:pPr>
            <w:r/>
            <w:r>
              <w:rPr>
                <w:rFonts w:ascii="Aptos" w:hAnsi="Aptos"/>
                <w:b w:val="0"/>
                <w:color w:val="282828"/>
                <w:sz w:val="17"/>
              </w:rPr>
              <w:t>Aggregate animals, negotiate a higher price with an abattoir or formal buyer and retain a commission or trading margin.</w:t>
            </w:r>
          </w:p>
        </w:tc>
        <w:tc>
          <w:tcPr>
            <w:tcW w:type="dxa" w:w="4608"/>
            <w:vAlign w:val="center"/>
            <w:tcMar>
              <w:top w:w="80" w:type="dxa"/>
              <w:start w:w="100" w:type="dxa"/>
              <w:bottom w:w="80" w:type="dxa"/>
              <w:end w:w="100" w:type="dxa"/>
            </w:tcMar>
          </w:tcPr>
          <w:p>
            <w:pPr>
              <w:spacing w:after="0" w:line="240" w:lineRule="auto"/>
            </w:pPr>
            <w:r/>
            <w:r>
              <w:rPr>
                <w:rFonts w:ascii="Aptos" w:hAnsi="Aptos"/>
                <w:b w:val="0"/>
                <w:color w:val="282828"/>
                <w:sz w:val="17"/>
              </w:rPr>
              <w:t>Who owns the cattle during aggregation? How are animals weighed and graded? Who bears mortality, transport and price risk? How is side-selling managed?</w:t>
            </w:r>
          </w:p>
        </w:tc>
      </w:tr>
      <w:tr>
        <w:trPr>
          <w:cantSplit/>
        </w:trPr>
        <w:tc>
          <w:tcPr>
            <w:tcW w:type="dxa" w:w="252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Slaughter and meat marketing</w:t>
            </w:r>
          </w:p>
        </w:tc>
        <w:tc>
          <w:tcPr>
            <w:tcW w:type="dxa" w:w="396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Pay for slaughter, then sell carcasses or meat through shops, supermarkets or other formal channels.</w:t>
            </w:r>
          </w:p>
        </w:tc>
        <w:tc>
          <w:tcPr>
            <w:tcW w:type="dxa" w:w="4608"/>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Cold chain, inspection, packaging, inventory, working capital, food safety, retail contracts and unsold stock.</w:t>
            </w:r>
          </w:p>
        </w:tc>
      </w:tr>
    </w:tbl>
    <w:p>
      <w:pPr>
        <w:spacing w:after="0"/>
      </w:pPr>
    </w:p>
    <w:p>
      <w:pPr>
        <w:pStyle w:val="Heading2"/>
        <w:keepNext/>
      </w:pPr>
      <w:r>
        <w:t>Core evidence needed</w:t>
      </w:r>
    </w:p>
    <w:p>
      <w:pPr>
        <w:pStyle w:val="ListBullet"/>
        <w:spacing w:after="50"/>
        <w:ind w:left="317" w:hanging="202"/>
      </w:pPr>
      <w:r>
        <w:rPr>
          <w:rFonts w:ascii="Aptos" w:hAnsi="Aptos"/>
          <w:color w:val="282828"/>
          <w:sz w:val="20"/>
        </w:rPr>
        <w:t>Verified farm-gate, informal-buyer and abattoir prices, expressed consistently per liveweight or carcass weight.</w:t>
      </w:r>
    </w:p>
    <w:p>
      <w:pPr>
        <w:pStyle w:val="ListBullet"/>
        <w:spacing w:after="50"/>
        <w:ind w:left="317" w:hanging="202"/>
      </w:pPr>
      <w:r>
        <w:rPr>
          <w:rFonts w:ascii="Aptos" w:hAnsi="Aptos"/>
          <w:color w:val="282828"/>
          <w:sz w:val="20"/>
        </w:rPr>
        <w:t>Weight gain and feed-conversion evidence for the proposed ration and cattle type.</w:t>
      </w:r>
    </w:p>
    <w:p>
      <w:pPr>
        <w:pStyle w:val="ListBullet"/>
        <w:spacing w:after="50"/>
        <w:ind w:left="317" w:hanging="202"/>
      </w:pPr>
      <w:r>
        <w:rPr>
          <w:rFonts w:ascii="Aptos" w:hAnsi="Aptos"/>
          <w:color w:val="282828"/>
          <w:sz w:val="20"/>
        </w:rPr>
        <w:t>All costs: forage establishment, residues, purchased ingredients, labor, water, health, machinery, finance, insurance, transport and mortality.</w:t>
      </w:r>
    </w:p>
    <w:p>
      <w:pPr>
        <w:pStyle w:val="ListBullet"/>
        <w:spacing w:after="50"/>
        <w:ind w:left="317" w:hanging="202"/>
      </w:pPr>
      <w:r>
        <w:rPr>
          <w:rFonts w:ascii="Aptos" w:hAnsi="Aptos"/>
          <w:color w:val="282828"/>
          <w:sz w:val="20"/>
        </w:rPr>
        <w:t>Buyer quality standards, minimum volumes, delivery schedules and rejection rates.</w:t>
      </w:r>
    </w:p>
    <w:p>
      <w:pPr>
        <w:pStyle w:val="ListBullet"/>
        <w:spacing w:after="50"/>
        <w:ind w:left="317" w:hanging="202"/>
      </w:pPr>
      <w:r>
        <w:rPr>
          <w:rFonts w:ascii="Aptos" w:hAnsi="Aptos"/>
          <w:color w:val="282828"/>
          <w:sz w:val="20"/>
        </w:rPr>
        <w:t>Formal contracts or letters of commercial intent from credible buyers.</w:t>
      </w:r>
    </w:p>
    <w:p>
      <w:pPr>
        <w:pStyle w:val="ListBullet"/>
        <w:spacing w:after="50"/>
        <w:ind w:left="317" w:hanging="202"/>
      </w:pPr>
      <w:r>
        <w:rPr>
          <w:rFonts w:ascii="Aptos" w:hAnsi="Aptos"/>
          <w:color w:val="282828"/>
          <w:sz w:val="20"/>
        </w:rPr>
        <w:t>Farmer willingness to sell at the planned time rather than retain cattle as savings or status assets.</w:t>
      </w:r>
    </w:p>
    <w:p>
      <w:pPr>
        <w:pStyle w:val="ListBullet"/>
        <w:spacing w:after="50"/>
        <w:ind w:left="317" w:hanging="202"/>
      </w:pPr>
      <w:r>
        <w:rPr>
          <w:rFonts w:ascii="Aptos" w:hAnsi="Aptos"/>
          <w:color w:val="282828"/>
          <w:sz w:val="20"/>
        </w:rPr>
        <w:t>Sensitivity analysis for feed price, cattle purchase price, market price, delayed sale and drought.</w:t>
      </w:r>
    </w:p>
    <w:p>
      <w:pPr/>
      <w:r>
        <w:rPr>
          <w:rFonts w:ascii="Aptos" w:hAnsi="Aptos"/>
          <w:color w:val="282828"/>
          <w:sz w:val="20"/>
        </w:rPr>
        <w:t>The discussion also noted national ambitions to expand cattle numbers, develop disease-controlled beef compartments and reach export markets. These ambitions may create an enabling context, but the solution track should first prove a profitable local or national pathway. Population targets and export aspirations are not substitutes for a viable farm-level enterprise.</w:t>
      </w:r>
    </w:p>
    <w:p>
      <w:pPr>
        <w:pStyle w:val="Heading1"/>
        <w:keepNext/>
      </w:pPr>
      <w:r>
        <w:t>16. Government roles and delivery capacity</w:t>
      </w:r>
    </w:p>
    <w:p>
      <w:pPr/>
      <w:r>
        <w:rPr>
          <w:rFonts w:ascii="Aptos" w:hAnsi="Aptos"/>
          <w:color w:val="282828"/>
          <w:sz w:val="20"/>
        </w:rPr>
        <w:t>Government is expected to play a large role across almost every pathway. The Ministry of Livestock and Fisheries may identify farmers, provide extension, verify livestock, support disease control, advise on suitable production zones, maintain records and connect partners. The ministry responsible for cooperatives and SMEs may strengthen cooperative management. Public policy also influences subsidized seed, finance and livestock-market development.</w:t>
      </w:r>
    </w:p>
    <w:p>
      <w:pPr>
        <w:pStyle w:val="Heading2"/>
        <w:keepNext/>
      </w:pPr>
      <w:r>
        <w:t>Capacity concern raised in the coaching</w:t>
      </w:r>
    </w:p>
    <w:p>
      <w:pPr/>
      <w:r>
        <w:rPr>
          <w:rFonts w:ascii="Aptos" w:hAnsi="Aptos"/>
          <w:color w:val="282828"/>
          <w:sz w:val="20"/>
        </w:rPr>
        <w:t>A coach cited a district office with only nine field officers, limited transport and fuel, and one livestock specialist. Government representatives challenged the characterization and emphasized that officers work extensively in the field. The factual staffing picture should be verified, but the central question remains valid: how much time and travel does the proposed model require, and can the responsible agencies deliver it at scale?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vAlign w:val="center"/>
            <w:tcMar>
              <w:top w:w="80" w:type="dxa"/>
              <w:start w:w="100" w:type="dxa"/>
              <w:bottom w:w="80" w:type="dxa"/>
              <w:end w:w="100" w:type="dxa"/>
            </w:tcMar>
            <w:shd w:fill="1F374E"/>
          </w:tcPr>
          <w:p>
            <w:pPr>
              <w:spacing w:after="0" w:line="240" w:lineRule="auto"/>
            </w:pPr>
            <w:r/>
            <w:r>
              <w:rPr>
                <w:rFonts w:ascii="Aptos" w:hAnsi="Aptos"/>
                <w:b/>
                <w:color w:val="FFFFFF"/>
                <w:sz w:val="18"/>
              </w:rPr>
              <w:t>Public function</w:t>
            </w:r>
          </w:p>
        </w:tc>
        <w:tc>
          <w:tcPr>
            <w:tcW w:type="dxa" w:w="4968"/>
            <w:vAlign w:val="center"/>
            <w:tcMar>
              <w:top w:w="80" w:type="dxa"/>
              <w:start w:w="100" w:type="dxa"/>
              <w:bottom w:w="80" w:type="dxa"/>
              <w:end w:w="100" w:type="dxa"/>
            </w:tcMar>
            <w:shd w:fill="1F374E"/>
          </w:tcPr>
          <w:p>
            <w:pPr>
              <w:spacing w:after="0" w:line="240" w:lineRule="auto"/>
            </w:pPr>
            <w:r/>
            <w:r>
              <w:rPr>
                <w:rFonts w:ascii="Aptos" w:hAnsi="Aptos"/>
                <w:b/>
                <w:color w:val="FFFFFF"/>
                <w:sz w:val="18"/>
              </w:rPr>
              <w:t>Workload created by the model</w:t>
            </w:r>
          </w:p>
        </w:tc>
        <w:tc>
          <w:tcPr>
            <w:tcW w:type="dxa" w:w="4032"/>
            <w:vAlign w:val="center"/>
            <w:tcMar>
              <w:top w:w="80" w:type="dxa"/>
              <w:start w:w="100" w:type="dxa"/>
              <w:bottom w:w="80" w:type="dxa"/>
              <w:end w:w="100" w:type="dxa"/>
            </w:tcMar>
            <w:shd w:fill="1F374E"/>
          </w:tcPr>
          <w:p>
            <w:pPr>
              <w:spacing w:after="0" w:line="240" w:lineRule="auto"/>
            </w:pPr>
            <w:r/>
            <w:r>
              <w:rPr>
                <w:rFonts w:ascii="Aptos" w:hAnsi="Aptos"/>
                <w:b/>
                <w:color w:val="FFFFFF"/>
                <w:sz w:val="18"/>
              </w:rPr>
              <w:t>Required evidence</w:t>
            </w:r>
          </w:p>
        </w:tc>
      </w:tr>
      <w:tr>
        <w:trPr>
          <w:cantSplit/>
        </w:trPr>
        <w:tc>
          <w:tcPr>
            <w:tcW w:type="dxa" w:w="2088"/>
            <w:vAlign w:val="center"/>
            <w:tcMar>
              <w:top w:w="80" w:type="dxa"/>
              <w:start w:w="100" w:type="dxa"/>
              <w:bottom w:w="80" w:type="dxa"/>
              <w:end w:w="100" w:type="dxa"/>
            </w:tcMar>
          </w:tcPr>
          <w:p>
            <w:pPr>
              <w:spacing w:after="0" w:line="240" w:lineRule="auto"/>
            </w:pPr>
            <w:r/>
            <w:r>
              <w:rPr>
                <w:rFonts w:ascii="Aptos" w:hAnsi="Aptos"/>
                <w:b w:val="0"/>
                <w:color w:val="282828"/>
                <w:sz w:val="16"/>
              </w:rPr>
              <w:t>Farmer identification</w:t>
            </w:r>
          </w:p>
        </w:tc>
        <w:tc>
          <w:tcPr>
            <w:tcW w:type="dxa" w:w="4968"/>
            <w:vAlign w:val="center"/>
            <w:tcMar>
              <w:top w:w="80" w:type="dxa"/>
              <w:start w:w="100" w:type="dxa"/>
              <w:bottom w:w="80" w:type="dxa"/>
              <w:end w:w="100" w:type="dxa"/>
            </w:tcMar>
          </w:tcPr>
          <w:p>
            <w:pPr>
              <w:spacing w:after="0" w:line="240" w:lineRule="auto"/>
            </w:pPr>
            <w:r/>
            <w:r>
              <w:rPr>
                <w:rFonts w:ascii="Aptos" w:hAnsi="Aptos"/>
                <w:b w:val="0"/>
                <w:color w:val="282828"/>
                <w:sz w:val="16"/>
              </w:rPr>
              <w:t>Locate and screen eligible livestock farmers and cooperatives.</w:t>
            </w:r>
          </w:p>
        </w:tc>
        <w:tc>
          <w:tcPr>
            <w:tcW w:type="dxa" w:w="4032"/>
            <w:vAlign w:val="center"/>
            <w:tcMar>
              <w:top w:w="80" w:type="dxa"/>
              <w:start w:w="100" w:type="dxa"/>
              <w:bottom w:w="80" w:type="dxa"/>
              <w:end w:w="100" w:type="dxa"/>
            </w:tcMar>
          </w:tcPr>
          <w:p>
            <w:pPr>
              <w:spacing w:after="0" w:line="240" w:lineRule="auto"/>
            </w:pPr>
            <w:r/>
            <w:r>
              <w:rPr>
                <w:rFonts w:ascii="Aptos" w:hAnsi="Aptos"/>
                <w:b w:val="0"/>
                <w:color w:val="282828"/>
                <w:sz w:val="16"/>
              </w:rPr>
              <w:t>Number of officers, farmer database quality and annual coverage.</w:t>
            </w:r>
          </w:p>
        </w:tc>
      </w:tr>
      <w:tr>
        <w:trPr>
          <w:cantSplit/>
        </w:trPr>
        <w:tc>
          <w:tcPr>
            <w:tcW w:type="dxa" w:w="208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Technical extension</w:t>
            </w:r>
          </w:p>
        </w:tc>
        <w:tc>
          <w:tcPr>
            <w:tcW w:type="dxa" w:w="496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Forage, ration, animal health, fattening, machinery and business guidance.</w:t>
            </w:r>
          </w:p>
        </w:tc>
        <w:tc>
          <w:tcPr>
            <w:tcW w:type="dxa" w:w="403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Competency, refresher training, supervision and farmer-to-officer ratio.</w:t>
            </w:r>
          </w:p>
        </w:tc>
      </w:tr>
      <w:tr>
        <w:trPr>
          <w:cantSplit/>
        </w:trPr>
        <w:tc>
          <w:tcPr>
            <w:tcW w:type="dxa" w:w="2088"/>
            <w:vAlign w:val="center"/>
            <w:tcMar>
              <w:top w:w="80" w:type="dxa"/>
              <w:start w:w="100" w:type="dxa"/>
              <w:bottom w:w="80" w:type="dxa"/>
              <w:end w:w="100" w:type="dxa"/>
            </w:tcMar>
          </w:tcPr>
          <w:p>
            <w:pPr>
              <w:spacing w:after="0" w:line="240" w:lineRule="auto"/>
            </w:pPr>
            <w:r/>
            <w:r>
              <w:rPr>
                <w:rFonts w:ascii="Aptos" w:hAnsi="Aptos"/>
                <w:b w:val="0"/>
                <w:color w:val="282828"/>
                <w:sz w:val="16"/>
              </w:rPr>
              <w:t>Asset verification</w:t>
            </w:r>
          </w:p>
        </w:tc>
        <w:tc>
          <w:tcPr>
            <w:tcW w:type="dxa" w:w="4968"/>
            <w:vAlign w:val="center"/>
            <w:tcMar>
              <w:top w:w="80" w:type="dxa"/>
              <w:start w:w="100" w:type="dxa"/>
              <w:bottom w:w="80" w:type="dxa"/>
              <w:end w:w="100" w:type="dxa"/>
            </w:tcMar>
          </w:tcPr>
          <w:p>
            <w:pPr>
              <w:spacing w:after="0" w:line="240" w:lineRule="auto"/>
            </w:pPr>
            <w:r/>
            <w:r>
              <w:rPr>
                <w:rFonts w:ascii="Aptos" w:hAnsi="Aptos"/>
                <w:b w:val="0"/>
                <w:color w:val="282828"/>
                <w:sz w:val="16"/>
              </w:rPr>
              <w:t>Confirm cattle, land, ownership and borrower conditions for banks and insurers.</w:t>
            </w:r>
          </w:p>
        </w:tc>
        <w:tc>
          <w:tcPr>
            <w:tcW w:type="dxa" w:w="4032"/>
            <w:vAlign w:val="center"/>
            <w:tcMar>
              <w:top w:w="80" w:type="dxa"/>
              <w:start w:w="100" w:type="dxa"/>
              <w:bottom w:w="80" w:type="dxa"/>
              <w:end w:w="100" w:type="dxa"/>
            </w:tcMar>
          </w:tcPr>
          <w:p>
            <w:pPr>
              <w:spacing w:after="0" w:line="240" w:lineRule="auto"/>
            </w:pPr>
            <w:r/>
            <w:r>
              <w:rPr>
                <w:rFonts w:ascii="Aptos" w:hAnsi="Aptos"/>
                <w:b w:val="0"/>
                <w:color w:val="282828"/>
                <w:sz w:val="16"/>
              </w:rPr>
              <w:t>Cost, time, legal authority and update process.</w:t>
            </w:r>
          </w:p>
        </w:tc>
      </w:tr>
      <w:tr>
        <w:trPr>
          <w:cantSplit/>
        </w:trPr>
        <w:tc>
          <w:tcPr>
            <w:tcW w:type="dxa" w:w="208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Disease control</w:t>
            </w:r>
          </w:p>
        </w:tc>
        <w:tc>
          <w:tcPr>
            <w:tcW w:type="dxa" w:w="496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Vaccination, surveillance, movement controls and support for market access.</w:t>
            </w:r>
          </w:p>
        </w:tc>
        <w:tc>
          <w:tcPr>
            <w:tcW w:type="dxa" w:w="403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Coverage, financing and response capacity.</w:t>
            </w:r>
          </w:p>
        </w:tc>
      </w:tr>
      <w:tr>
        <w:trPr>
          <w:cantSplit/>
        </w:trPr>
        <w:tc>
          <w:tcPr>
            <w:tcW w:type="dxa" w:w="2088"/>
            <w:vAlign w:val="center"/>
            <w:tcMar>
              <w:top w:w="80" w:type="dxa"/>
              <w:start w:w="100" w:type="dxa"/>
              <w:bottom w:w="80" w:type="dxa"/>
              <w:end w:w="100" w:type="dxa"/>
            </w:tcMar>
          </w:tcPr>
          <w:p>
            <w:pPr>
              <w:spacing w:after="0" w:line="240" w:lineRule="auto"/>
            </w:pPr>
            <w:r/>
            <w:r>
              <w:rPr>
                <w:rFonts w:ascii="Aptos" w:hAnsi="Aptos"/>
                <w:b w:val="0"/>
                <w:color w:val="282828"/>
                <w:sz w:val="16"/>
              </w:rPr>
              <w:t>Cooperative strengthening</w:t>
            </w:r>
          </w:p>
        </w:tc>
        <w:tc>
          <w:tcPr>
            <w:tcW w:type="dxa" w:w="4968"/>
            <w:vAlign w:val="center"/>
            <w:tcMar>
              <w:top w:w="80" w:type="dxa"/>
              <w:start w:w="100" w:type="dxa"/>
              <w:bottom w:w="80" w:type="dxa"/>
              <w:end w:w="100" w:type="dxa"/>
            </w:tcMar>
          </w:tcPr>
          <w:p>
            <w:pPr>
              <w:spacing w:after="0" w:line="240" w:lineRule="auto"/>
            </w:pPr>
            <w:r/>
            <w:r>
              <w:rPr>
                <w:rFonts w:ascii="Aptos" w:hAnsi="Aptos"/>
                <w:b w:val="0"/>
                <w:color w:val="282828"/>
                <w:sz w:val="16"/>
              </w:rPr>
              <w:t>Governance, leadership, financial management and enterprise planning.</w:t>
            </w:r>
          </w:p>
        </w:tc>
        <w:tc>
          <w:tcPr>
            <w:tcW w:type="dxa" w:w="4032"/>
            <w:vAlign w:val="center"/>
            <w:tcMar>
              <w:top w:w="80" w:type="dxa"/>
              <w:start w:w="100" w:type="dxa"/>
              <w:bottom w:w="80" w:type="dxa"/>
              <w:end w:w="100" w:type="dxa"/>
            </w:tcMar>
          </w:tcPr>
          <w:p>
            <w:pPr>
              <w:spacing w:after="0" w:line="240" w:lineRule="auto"/>
            </w:pPr>
            <w:r/>
            <w:r>
              <w:rPr>
                <w:rFonts w:ascii="Aptos" w:hAnsi="Aptos"/>
                <w:b w:val="0"/>
                <w:color w:val="282828"/>
                <w:sz w:val="16"/>
              </w:rPr>
              <w:t>Responsible agency, staffing and demonstrated effectiveness.</w:t>
            </w:r>
          </w:p>
        </w:tc>
      </w:tr>
      <w:tr>
        <w:trPr>
          <w:cantSplit/>
        </w:trPr>
        <w:tc>
          <w:tcPr>
            <w:tcW w:type="dxa" w:w="208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Monitoring</w:t>
            </w:r>
          </w:p>
        </w:tc>
        <w:tc>
          <w:tcPr>
            <w:tcW w:type="dxa" w:w="496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Adoption, feed production, cattle performance, finance and sales data.</w:t>
            </w:r>
          </w:p>
        </w:tc>
        <w:tc>
          <w:tcPr>
            <w:tcW w:type="dxa" w:w="403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Data systems, incentives, quality assurance and reporting burden.</w:t>
            </w:r>
          </w:p>
        </w:tc>
      </w:tr>
    </w:tbl>
    <w:p>
      <w:pPr>
        <w:spacing w:after="0"/>
      </w:pPr>
    </w:p>
    <w:p>
      <w:pPr/>
      <w:r>
        <w:rPr>
          <w:rFonts w:ascii="Aptos" w:hAnsi="Aptos"/>
          <w:color w:val="282828"/>
          <w:sz w:val="20"/>
        </w:rPr>
        <w:t>The track should develop a public-service capacity and cost plan. Where functions are commercial, private actors or service fees should carry them. Where they are public goods, government or program budgets should explicitly finance them rather than assuming they will occur.</w:t>
      </w:r>
    </w:p>
    <w:p>
      <w:pPr>
        <w:pStyle w:val="Heading1"/>
        <w:keepNext/>
      </w:pPr>
      <w:r>
        <w:t>17. Gender, youth and inclusion</w:t>
      </w:r>
    </w:p>
    <w:p>
      <w:pPr/>
      <w:r>
        <w:rPr>
          <w:rFonts w:ascii="Aptos" w:hAnsi="Aptos"/>
          <w:color w:val="282828"/>
          <w:sz w:val="20"/>
        </w:rPr>
        <w:t>Gender and inclusion appeared in several parts of the discussion but were not yet integrated into the delivery model. COMACO reportedly has approximately 70 percent women members, while bank lending, machinery ownership and cattle collateral are likely to favor men, larger farmers and established asset owners.</w:t>
      </w:r>
    </w:p>
    <w:p>
      <w:pPr>
        <w:pStyle w:val="Heading2"/>
        <w:keepNext/>
      </w:pPr>
      <w:r>
        <w:t>Inclusion risks and opportunities</w:t>
      </w:r>
    </w:p>
    <w:p>
      <w:pPr>
        <w:pStyle w:val="ListBullet"/>
        <w:spacing w:after="50"/>
        <w:ind w:left="317" w:hanging="202"/>
      </w:pPr>
      <w:r>
        <w:rPr>
          <w:rFonts w:ascii="Aptos" w:hAnsi="Aptos"/>
          <w:color w:val="282828"/>
          <w:sz w:val="20"/>
        </w:rPr>
        <w:t>Women may contribute crop residues, labor and animal care while men control cattle sales and loan decisions.</w:t>
      </w:r>
    </w:p>
    <w:p>
      <w:pPr>
        <w:pStyle w:val="ListBullet"/>
        <w:spacing w:after="50"/>
        <w:ind w:left="317" w:hanging="202"/>
      </w:pPr>
      <w:r>
        <w:rPr>
          <w:rFonts w:ascii="Aptos" w:hAnsi="Aptos"/>
          <w:color w:val="282828"/>
          <w:sz w:val="20"/>
        </w:rPr>
        <w:t>Land ownership, fixed-asset collateral and formal records may exclude women and youth even when they have enterprise interest and technical capacity.</w:t>
      </w:r>
    </w:p>
    <w:p>
      <w:pPr>
        <w:pStyle w:val="ListBullet"/>
        <w:spacing w:after="50"/>
        <w:ind w:left="317" w:hanging="202"/>
      </w:pPr>
      <w:r>
        <w:rPr>
          <w:rFonts w:ascii="Aptos" w:hAnsi="Aptos"/>
          <w:color w:val="282828"/>
          <w:sz w:val="20"/>
        </w:rPr>
        <w:t>Traditional leaders may confirm group access to communal or borrowed land, but the security and duration of that access must match the loan tenor.</w:t>
      </w:r>
    </w:p>
    <w:p>
      <w:pPr>
        <w:pStyle w:val="ListBullet"/>
        <w:spacing w:after="50"/>
        <w:ind w:left="317" w:hanging="202"/>
      </w:pPr>
      <w:r>
        <w:rPr>
          <w:rFonts w:ascii="Aptos" w:hAnsi="Aptos"/>
          <w:color w:val="282828"/>
          <w:sz w:val="20"/>
        </w:rPr>
        <w:t>Cooperative ownership can broaden access, but weak governance may allow elite capture or unequal scheduling of machinery.</w:t>
      </w:r>
    </w:p>
    <w:p>
      <w:pPr>
        <w:pStyle w:val="ListBullet"/>
        <w:spacing w:after="50"/>
        <w:ind w:left="317" w:hanging="202"/>
      </w:pPr>
      <w:r>
        <w:rPr>
          <w:rFonts w:ascii="Aptos" w:hAnsi="Aptos"/>
          <w:color w:val="282828"/>
          <w:sz w:val="20"/>
        </w:rPr>
        <w:t>Youth could participate as machinery operators, feed processors, service providers, transporters, data agents or livestock aggregators rather than only as cattle owners.</w:t>
      </w:r>
    </w:p>
    <w:p>
      <w:pPr>
        <w:pStyle w:val="ListBullet"/>
        <w:spacing w:after="50"/>
        <w:ind w:left="317" w:hanging="202"/>
      </w:pPr>
      <w:r>
        <w:rPr>
          <w:rFonts w:ascii="Aptos" w:hAnsi="Aptos"/>
          <w:color w:val="282828"/>
          <w:sz w:val="20"/>
        </w:rPr>
        <w:t>Smaller farmers may need pay-per-use services, group guarantees, purchase contracts and stepwise finance rather than the full asset package.</w:t>
      </w:r>
    </w:p>
    <w:p>
      <w:pPr>
        <w:pStyle w:val="ListBullet"/>
        <w:spacing w:after="50"/>
        <w:ind w:left="317" w:hanging="202"/>
      </w:pPr>
      <w:r>
        <w:rPr>
          <w:rFonts w:ascii="Aptos" w:hAnsi="Aptos"/>
          <w:color w:val="282828"/>
          <w:sz w:val="20"/>
        </w:rPr>
        <w:t>Monitoring should track who owns assets, who uses services, who takes debt, who performs labor and who receives income.</w:t>
      </w:r>
    </w:p>
    <w:p>
      <w:pPr/>
      <w:r>
        <w:rPr>
          <w:rFonts w:ascii="Aptos" w:hAnsi="Aptos"/>
          <w:color w:val="282828"/>
          <w:sz w:val="20"/>
        </w:rPr>
        <w:t>A responsible inclusion strategy should therefore be built into the business models, not added as a training target. The project should test whether women and youth can enter profitable service roles with lower capital requirements and stronger control over revenue.</w:t>
      </w:r>
    </w:p>
    <w:p>
      <w:pPr>
        <w:pStyle w:val="Heading1"/>
        <w:keepNext/>
      </w:pPr>
      <w:r>
        <w:t>18. Responsible scaling and unintended risks</w:t>
      </w:r>
    </w:p>
    <w:p>
      <w:pPr/>
      <w:r>
        <w:rPr>
          <w:rFonts w:ascii="Aptos" w:hAnsi="Aptos"/>
          <w:color w:val="282828"/>
          <w:sz w:val="20"/>
        </w:rPr>
        <w:t>The solution could improve livestock productivity and income, but scaling may create environmental, financial, social and animal-welfare risks. These risks should be monitored alongside adoption.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vAlign w:val="center"/>
            <w:tcMar>
              <w:top w:w="80" w:type="dxa"/>
              <w:start w:w="100" w:type="dxa"/>
              <w:bottom w:w="80" w:type="dxa"/>
              <w:end w:w="100" w:type="dxa"/>
            </w:tcMar>
            <w:shd w:fill="1F374E"/>
          </w:tcPr>
          <w:p>
            <w:pPr>
              <w:spacing w:after="0" w:line="240" w:lineRule="auto"/>
            </w:pPr>
            <w:r/>
            <w:r>
              <w:rPr>
                <w:rFonts w:ascii="Aptos" w:hAnsi="Aptos"/>
                <w:b/>
                <w:color w:val="FFFFFF"/>
                <w:sz w:val="18"/>
              </w:rPr>
              <w:t>Risk</w:t>
            </w:r>
          </w:p>
        </w:tc>
        <w:tc>
          <w:tcPr>
            <w:tcW w:type="dxa" w:w="4968"/>
            <w:vAlign w:val="center"/>
            <w:tcMar>
              <w:top w:w="80" w:type="dxa"/>
              <w:start w:w="100" w:type="dxa"/>
              <w:bottom w:w="80" w:type="dxa"/>
              <w:end w:w="100" w:type="dxa"/>
            </w:tcMar>
            <w:shd w:fill="1F374E"/>
          </w:tcPr>
          <w:p>
            <w:pPr>
              <w:spacing w:after="0" w:line="240" w:lineRule="auto"/>
            </w:pPr>
            <w:r/>
            <w:r>
              <w:rPr>
                <w:rFonts w:ascii="Aptos" w:hAnsi="Aptos"/>
                <w:b/>
                <w:color w:val="FFFFFF"/>
                <w:sz w:val="18"/>
              </w:rPr>
              <w:t>How it could arise</w:t>
            </w:r>
          </w:p>
        </w:tc>
        <w:tc>
          <w:tcPr>
            <w:tcW w:type="dxa" w:w="4032"/>
            <w:vAlign w:val="center"/>
            <w:tcMar>
              <w:top w:w="80" w:type="dxa"/>
              <w:start w:w="100" w:type="dxa"/>
              <w:bottom w:w="80" w:type="dxa"/>
              <w:end w:w="100" w:type="dxa"/>
            </w:tcMar>
            <w:shd w:fill="1F374E"/>
          </w:tcPr>
          <w:p>
            <w:pPr>
              <w:spacing w:after="0" w:line="240" w:lineRule="auto"/>
            </w:pPr>
            <w:r/>
            <w:r>
              <w:rPr>
                <w:rFonts w:ascii="Aptos" w:hAnsi="Aptos"/>
                <w:b/>
                <w:color w:val="FFFFFF"/>
                <w:sz w:val="18"/>
              </w:rPr>
              <w:t>Mitigation direction</w:t>
            </w:r>
          </w:p>
        </w:tc>
      </w:tr>
      <w:tr>
        <w:trPr>
          <w:cantSplit/>
        </w:trPr>
        <w:tc>
          <w:tcPr>
            <w:tcW w:type="dxa" w:w="2088"/>
            <w:vAlign w:val="center"/>
            <w:tcMar>
              <w:top w:w="80" w:type="dxa"/>
              <w:start w:w="100" w:type="dxa"/>
              <w:bottom w:w="80" w:type="dxa"/>
              <w:end w:w="100" w:type="dxa"/>
            </w:tcMar>
          </w:tcPr>
          <w:p>
            <w:pPr>
              <w:spacing w:after="0" w:line="240" w:lineRule="auto"/>
            </w:pPr>
            <w:r/>
            <w:r>
              <w:rPr>
                <w:rFonts w:ascii="Aptos" w:hAnsi="Aptos"/>
                <w:b w:val="0"/>
                <w:color w:val="282828"/>
                <w:sz w:val="16"/>
              </w:rPr>
              <w:t>Food-feed land competition</w:t>
            </w:r>
          </w:p>
        </w:tc>
        <w:tc>
          <w:tcPr>
            <w:tcW w:type="dxa" w:w="4968"/>
            <w:vAlign w:val="center"/>
            <w:tcMar>
              <w:top w:w="80" w:type="dxa"/>
              <w:start w:w="100" w:type="dxa"/>
              <w:bottom w:w="80" w:type="dxa"/>
              <w:end w:w="100" w:type="dxa"/>
            </w:tcMar>
          </w:tcPr>
          <w:p>
            <w:pPr>
              <w:spacing w:after="0" w:line="240" w:lineRule="auto"/>
            </w:pPr>
            <w:r/>
            <w:r>
              <w:rPr>
                <w:rFonts w:ascii="Aptos" w:hAnsi="Aptos"/>
                <w:b w:val="0"/>
                <w:color w:val="282828"/>
                <w:sz w:val="16"/>
              </w:rPr>
              <w:t>Dedicated forage displaces maize, groundnuts or other food crops on small farms.</w:t>
            </w:r>
          </w:p>
        </w:tc>
        <w:tc>
          <w:tcPr>
            <w:tcW w:type="dxa" w:w="4032"/>
            <w:vAlign w:val="center"/>
            <w:tcMar>
              <w:top w:w="80" w:type="dxa"/>
              <w:start w:w="100" w:type="dxa"/>
              <w:bottom w:w="80" w:type="dxa"/>
              <w:end w:w="100" w:type="dxa"/>
            </w:tcMar>
          </w:tcPr>
          <w:p>
            <w:pPr>
              <w:spacing w:after="0" w:line="240" w:lineRule="auto"/>
            </w:pPr>
            <w:r/>
            <w:r>
              <w:rPr>
                <w:rFonts w:ascii="Aptos" w:hAnsi="Aptos"/>
                <w:b w:val="0"/>
                <w:color w:val="282828"/>
                <w:sz w:val="16"/>
              </w:rPr>
              <w:t>Segment farmers by land availability and use partial supplementation or service models where appropriate.</w:t>
            </w:r>
          </w:p>
        </w:tc>
      </w:tr>
      <w:tr>
        <w:trPr>
          <w:cantSplit/>
        </w:trPr>
        <w:tc>
          <w:tcPr>
            <w:tcW w:type="dxa" w:w="208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Residue scarcity</w:t>
            </w:r>
          </w:p>
        </w:tc>
        <w:tc>
          <w:tcPr>
            <w:tcW w:type="dxa" w:w="496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Neighbors begin retaining or selling crop residues as demand rises.</w:t>
            </w:r>
          </w:p>
        </w:tc>
        <w:tc>
          <w:tcPr>
            <w:tcW w:type="dxa" w:w="403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Map biomass supply, support forage production and include residue prices in business models.</w:t>
            </w:r>
          </w:p>
        </w:tc>
      </w:tr>
      <w:tr>
        <w:trPr>
          <w:cantSplit/>
        </w:trPr>
        <w:tc>
          <w:tcPr>
            <w:tcW w:type="dxa" w:w="2088"/>
            <w:vAlign w:val="center"/>
            <w:tcMar>
              <w:top w:w="80" w:type="dxa"/>
              <w:start w:w="100" w:type="dxa"/>
              <w:bottom w:w="80" w:type="dxa"/>
              <w:end w:w="100" w:type="dxa"/>
            </w:tcMar>
          </w:tcPr>
          <w:p>
            <w:pPr>
              <w:spacing w:after="0" w:line="240" w:lineRule="auto"/>
            </w:pPr>
            <w:r/>
            <w:r>
              <w:rPr>
                <w:rFonts w:ascii="Aptos" w:hAnsi="Aptos"/>
                <w:b w:val="0"/>
                <w:color w:val="282828"/>
                <w:sz w:val="16"/>
              </w:rPr>
              <w:t>Debt distress</w:t>
            </w:r>
          </w:p>
        </w:tc>
        <w:tc>
          <w:tcPr>
            <w:tcW w:type="dxa" w:w="4968"/>
            <w:vAlign w:val="center"/>
            <w:tcMar>
              <w:top w:w="80" w:type="dxa"/>
              <w:start w:w="100" w:type="dxa"/>
              <w:bottom w:w="80" w:type="dxa"/>
              <w:end w:w="100" w:type="dxa"/>
            </w:tcMar>
          </w:tcPr>
          <w:p>
            <w:pPr>
              <w:spacing w:after="0" w:line="240" w:lineRule="auto"/>
            </w:pPr>
            <w:r/>
            <w:r>
              <w:rPr>
                <w:rFonts w:ascii="Aptos" w:hAnsi="Aptos"/>
                <w:b w:val="0"/>
                <w:color w:val="282828"/>
                <w:sz w:val="16"/>
              </w:rPr>
              <w:t>Farmers borrow for machinery or animals before proving feed and market viability.</w:t>
            </w:r>
          </w:p>
        </w:tc>
        <w:tc>
          <w:tcPr>
            <w:tcW w:type="dxa" w:w="4032"/>
            <w:vAlign w:val="center"/>
            <w:tcMar>
              <w:top w:w="80" w:type="dxa"/>
              <w:start w:w="100" w:type="dxa"/>
              <w:bottom w:w="80" w:type="dxa"/>
              <w:end w:w="100" w:type="dxa"/>
            </w:tcMar>
          </w:tcPr>
          <w:p>
            <w:pPr>
              <w:spacing w:after="0" w:line="240" w:lineRule="auto"/>
            </w:pPr>
            <w:r/>
            <w:r>
              <w:rPr>
                <w:rFonts w:ascii="Aptos" w:hAnsi="Aptos"/>
                <w:b w:val="0"/>
                <w:color w:val="282828"/>
                <w:sz w:val="16"/>
              </w:rPr>
              <w:t>Stage finance, require business plans, formal offtake and conservative stress tests.</w:t>
            </w:r>
          </w:p>
        </w:tc>
      </w:tr>
      <w:tr>
        <w:trPr>
          <w:cantSplit/>
        </w:trPr>
        <w:tc>
          <w:tcPr>
            <w:tcW w:type="dxa" w:w="208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Asset failure</w:t>
            </w:r>
          </w:p>
        </w:tc>
        <w:tc>
          <w:tcPr>
            <w:tcW w:type="dxa" w:w="496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Shared machines are undermaintained or have low utilization.</w:t>
            </w:r>
          </w:p>
        </w:tc>
        <w:tc>
          <w:tcPr>
            <w:tcW w:type="dxa" w:w="403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Select accountable operators, charge fees, create maintenance reserves and monitor downtime.</w:t>
            </w:r>
          </w:p>
        </w:tc>
      </w:tr>
      <w:tr>
        <w:trPr>
          <w:cantSplit/>
        </w:trPr>
        <w:tc>
          <w:tcPr>
            <w:tcW w:type="dxa" w:w="2088"/>
            <w:vAlign w:val="center"/>
            <w:tcMar>
              <w:top w:w="80" w:type="dxa"/>
              <w:start w:w="100" w:type="dxa"/>
              <w:bottom w:w="80" w:type="dxa"/>
              <w:end w:w="100" w:type="dxa"/>
            </w:tcMar>
          </w:tcPr>
          <w:p>
            <w:pPr>
              <w:spacing w:after="0" w:line="240" w:lineRule="auto"/>
            </w:pPr>
            <w:r/>
            <w:r>
              <w:rPr>
                <w:rFonts w:ascii="Aptos" w:hAnsi="Aptos"/>
                <w:b w:val="0"/>
                <w:color w:val="282828"/>
                <w:sz w:val="16"/>
              </w:rPr>
              <w:t>Animal welfare</w:t>
            </w:r>
          </w:p>
        </w:tc>
        <w:tc>
          <w:tcPr>
            <w:tcW w:type="dxa" w:w="4968"/>
            <w:vAlign w:val="center"/>
            <w:tcMar>
              <w:top w:w="80" w:type="dxa"/>
              <w:start w:w="100" w:type="dxa"/>
              <w:bottom w:w="80" w:type="dxa"/>
              <w:end w:w="100" w:type="dxa"/>
            </w:tcMar>
          </w:tcPr>
          <w:p>
            <w:pPr>
              <w:spacing w:after="0" w:line="240" w:lineRule="auto"/>
            </w:pPr>
            <w:r/>
            <w:r>
              <w:rPr>
                <w:rFonts w:ascii="Aptos" w:hAnsi="Aptos"/>
                <w:b w:val="0"/>
                <w:color w:val="282828"/>
                <w:sz w:val="16"/>
              </w:rPr>
              <w:t>Feedlots expand without adequate water, nutrition, shade, health and stocking standards.</w:t>
            </w:r>
          </w:p>
        </w:tc>
        <w:tc>
          <w:tcPr>
            <w:tcW w:type="dxa" w:w="4032"/>
            <w:vAlign w:val="center"/>
            <w:tcMar>
              <w:top w:w="80" w:type="dxa"/>
              <w:start w:w="100" w:type="dxa"/>
              <w:bottom w:w="80" w:type="dxa"/>
              <w:end w:w="100" w:type="dxa"/>
            </w:tcMar>
          </w:tcPr>
          <w:p>
            <w:pPr>
              <w:spacing w:after="0" w:line="240" w:lineRule="auto"/>
            </w:pPr>
            <w:r/>
            <w:r>
              <w:rPr>
                <w:rFonts w:ascii="Aptos" w:hAnsi="Aptos"/>
                <w:b w:val="0"/>
                <w:color w:val="282828"/>
                <w:sz w:val="16"/>
              </w:rPr>
              <w:t>Define and monitor minimum husbandry requirements.</w:t>
            </w:r>
          </w:p>
        </w:tc>
      </w:tr>
      <w:tr>
        <w:trPr>
          <w:cantSplit/>
        </w:trPr>
        <w:tc>
          <w:tcPr>
            <w:tcW w:type="dxa" w:w="208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Disease and movement risk</w:t>
            </w:r>
          </w:p>
        </w:tc>
        <w:tc>
          <w:tcPr>
            <w:tcW w:type="dxa" w:w="496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Aggregation and transport mix animals from different locations.</w:t>
            </w:r>
          </w:p>
        </w:tc>
        <w:tc>
          <w:tcPr>
            <w:tcW w:type="dxa" w:w="403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Movement permits, quarantine, vaccination, traceability and buyer standards.</w:t>
            </w:r>
          </w:p>
        </w:tc>
      </w:tr>
      <w:tr>
        <w:trPr>
          <w:cantSplit/>
        </w:trPr>
        <w:tc>
          <w:tcPr>
            <w:tcW w:type="dxa" w:w="2088"/>
            <w:vAlign w:val="center"/>
            <w:tcMar>
              <w:top w:w="80" w:type="dxa"/>
              <w:start w:w="100" w:type="dxa"/>
              <w:bottom w:w="80" w:type="dxa"/>
              <w:end w:w="100" w:type="dxa"/>
            </w:tcMar>
          </w:tcPr>
          <w:p>
            <w:pPr>
              <w:spacing w:after="0" w:line="240" w:lineRule="auto"/>
            </w:pPr>
            <w:r/>
            <w:r>
              <w:rPr>
                <w:rFonts w:ascii="Aptos" w:hAnsi="Aptos"/>
                <w:b w:val="0"/>
                <w:color w:val="282828"/>
                <w:sz w:val="16"/>
              </w:rPr>
              <w:t>Gendered benefit capture</w:t>
            </w:r>
          </w:p>
        </w:tc>
        <w:tc>
          <w:tcPr>
            <w:tcW w:type="dxa" w:w="4968"/>
            <w:vAlign w:val="center"/>
            <w:tcMar>
              <w:top w:w="80" w:type="dxa"/>
              <w:start w:w="100" w:type="dxa"/>
              <w:bottom w:w="80" w:type="dxa"/>
              <w:end w:w="100" w:type="dxa"/>
            </w:tcMar>
          </w:tcPr>
          <w:p>
            <w:pPr>
              <w:spacing w:after="0" w:line="240" w:lineRule="auto"/>
            </w:pPr>
            <w:r/>
            <w:r>
              <w:rPr>
                <w:rFonts w:ascii="Aptos" w:hAnsi="Aptos"/>
                <w:b w:val="0"/>
                <w:color w:val="282828"/>
                <w:sz w:val="16"/>
              </w:rPr>
              <w:t>Women provide labor and residues while men retain cattle and sale income.</w:t>
            </w:r>
          </w:p>
        </w:tc>
        <w:tc>
          <w:tcPr>
            <w:tcW w:type="dxa" w:w="4032"/>
            <w:vAlign w:val="center"/>
            <w:tcMar>
              <w:top w:w="80" w:type="dxa"/>
              <w:start w:w="100" w:type="dxa"/>
              <w:bottom w:w="80" w:type="dxa"/>
              <w:end w:w="100" w:type="dxa"/>
            </w:tcMar>
          </w:tcPr>
          <w:p>
            <w:pPr>
              <w:spacing w:after="0" w:line="240" w:lineRule="auto"/>
            </w:pPr>
            <w:r/>
            <w:r>
              <w:rPr>
                <w:rFonts w:ascii="Aptos" w:hAnsi="Aptos"/>
                <w:b w:val="0"/>
                <w:color w:val="282828"/>
                <w:sz w:val="16"/>
              </w:rPr>
              <w:t>Household and cooperative benefit-sharing safeguards.</w:t>
            </w:r>
          </w:p>
        </w:tc>
      </w:tr>
      <w:tr>
        <w:trPr>
          <w:cantSplit/>
        </w:trPr>
        <w:tc>
          <w:tcPr>
            <w:tcW w:type="dxa" w:w="208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Market concentration</w:t>
            </w:r>
          </w:p>
        </w:tc>
        <w:tc>
          <w:tcPr>
            <w:tcW w:type="dxa" w:w="4968"/>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One buyer or aggregator sets unfavorable prices or terms.</w:t>
            </w:r>
          </w:p>
        </w:tc>
        <w:tc>
          <w:tcPr>
            <w:tcW w:type="dxa" w:w="403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Price transparency, multiple buyers and fair contracts.</w:t>
            </w:r>
          </w:p>
        </w:tc>
      </w:tr>
      <w:tr>
        <w:trPr>
          <w:cantSplit/>
        </w:trPr>
        <w:tc>
          <w:tcPr>
            <w:tcW w:type="dxa" w:w="2088"/>
            <w:vAlign w:val="center"/>
            <w:tcMar>
              <w:top w:w="80" w:type="dxa"/>
              <w:start w:w="100" w:type="dxa"/>
              <w:bottom w:w="80" w:type="dxa"/>
              <w:end w:w="100" w:type="dxa"/>
            </w:tcMar>
          </w:tcPr>
          <w:p>
            <w:pPr>
              <w:spacing w:after="0" w:line="240" w:lineRule="auto"/>
            </w:pPr>
            <w:r/>
            <w:r>
              <w:rPr>
                <w:rFonts w:ascii="Aptos" w:hAnsi="Aptos"/>
                <w:b w:val="0"/>
                <w:color w:val="282828"/>
                <w:sz w:val="16"/>
              </w:rPr>
              <w:t>Project distortion</w:t>
            </w:r>
          </w:p>
        </w:tc>
        <w:tc>
          <w:tcPr>
            <w:tcW w:type="dxa" w:w="4968"/>
            <w:vAlign w:val="center"/>
            <w:tcMar>
              <w:top w:w="80" w:type="dxa"/>
              <w:start w:w="100" w:type="dxa"/>
              <w:bottom w:w="80" w:type="dxa"/>
              <w:end w:w="100" w:type="dxa"/>
            </w:tcMar>
          </w:tcPr>
          <w:p>
            <w:pPr>
              <w:spacing w:after="0" w:line="240" w:lineRule="auto"/>
            </w:pPr>
            <w:r/>
            <w:r>
              <w:rPr>
                <w:rFonts w:ascii="Aptos" w:hAnsi="Aptos"/>
                <w:b w:val="0"/>
                <w:color w:val="282828"/>
                <w:sz w:val="16"/>
              </w:rPr>
              <w:t>Free seed, machines or training suppress commercial suppliers and create dependency.</w:t>
            </w:r>
          </w:p>
        </w:tc>
        <w:tc>
          <w:tcPr>
            <w:tcW w:type="dxa" w:w="4032"/>
            <w:vAlign w:val="center"/>
            <w:tcMar>
              <w:top w:w="80" w:type="dxa"/>
              <w:start w:w="100" w:type="dxa"/>
              <w:bottom w:w="80" w:type="dxa"/>
              <w:end w:w="100" w:type="dxa"/>
            </w:tcMar>
          </w:tcPr>
          <w:p>
            <w:pPr>
              <w:spacing w:after="0" w:line="240" w:lineRule="auto"/>
            </w:pPr>
            <w:r/>
            <w:r>
              <w:rPr>
                <w:rFonts w:ascii="Aptos" w:hAnsi="Aptos"/>
                <w:b w:val="0"/>
                <w:color w:val="282828"/>
                <w:sz w:val="16"/>
              </w:rPr>
              <w:t>Use co-payment, market testing and explicit subsidy exit plans.</w:t>
            </w:r>
          </w:p>
        </w:tc>
      </w:tr>
    </w:tbl>
    <w:p>
      <w:pPr>
        <w:spacing w:after="0"/>
      </w:pPr>
    </w:p>
    <w:p>
      <w:pPr>
        <w:pStyle w:val="Heading1"/>
        <w:keepNext/>
      </w:pPr>
      <w:r>
        <w:t>19. Monitoring, evidence and learning</w:t>
      </w:r>
    </w:p>
    <w:p>
      <w:pPr/>
      <w:r>
        <w:rPr>
          <w:rFonts w:ascii="Aptos" w:hAnsi="Aptos"/>
          <w:color w:val="282828"/>
          <w:sz w:val="20"/>
        </w:rPr>
        <w:t>The session contained many estimates but little verified outcome evidence. A strong monitoring system should follow the commercial pathway, not only count farmers contacted or partners engaged.</w:t>
      </w:r>
    </w:p>
    <w:p>
      <w:pPr>
        <w:pStyle w:val="Heading2"/>
        <w:keepNext/>
      </w:pPr>
      <w:r>
        <w:t>Recommended results chain and indicators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vAlign w:val="center"/>
            <w:tcMar>
              <w:top w:w="80" w:type="dxa"/>
              <w:start w:w="100" w:type="dxa"/>
              <w:bottom w:w="80" w:type="dxa"/>
              <w:end w:w="100" w:type="dxa"/>
            </w:tcMar>
            <w:shd w:fill="1F374E"/>
          </w:tcPr>
          <w:p>
            <w:pPr>
              <w:spacing w:after="0" w:line="240" w:lineRule="auto"/>
            </w:pPr>
            <w:r/>
            <w:r>
              <w:rPr>
                <w:rFonts w:ascii="Aptos" w:hAnsi="Aptos"/>
                <w:b/>
                <w:color w:val="FFFFFF"/>
                <w:sz w:val="18"/>
              </w:rPr>
              <w:t>Result level</w:t>
            </w:r>
          </w:p>
        </w:tc>
        <w:tc>
          <w:tcPr>
            <w:tcW w:type="dxa" w:w="8856"/>
            <w:vAlign w:val="center"/>
            <w:tcMar>
              <w:top w:w="80" w:type="dxa"/>
              <w:start w:w="100" w:type="dxa"/>
              <w:bottom w:w="80" w:type="dxa"/>
              <w:end w:w="100" w:type="dxa"/>
            </w:tcMar>
            <w:shd w:fill="1F374E"/>
          </w:tcPr>
          <w:p>
            <w:pPr>
              <w:spacing w:after="0" w:line="240" w:lineRule="auto"/>
            </w:pPr>
            <w:r/>
            <w:r>
              <w:rPr>
                <w:rFonts w:ascii="Aptos" w:hAnsi="Aptos"/>
                <w:b/>
                <w:color w:val="FFFFFF"/>
                <w:sz w:val="18"/>
              </w:rPr>
              <w:t>Illustrative indicators</w:t>
            </w:r>
          </w:p>
        </w:tc>
      </w:tr>
      <w:tr>
        <w:trPr>
          <w:cantSplit/>
        </w:trPr>
        <w:tc>
          <w:tcPr>
            <w:tcW w:type="dxa" w:w="2232"/>
            <w:vAlign w:val="center"/>
            <w:tcMar>
              <w:top w:w="80" w:type="dxa"/>
              <w:start w:w="100" w:type="dxa"/>
              <w:bottom w:w="80" w:type="dxa"/>
              <w:end w:w="100" w:type="dxa"/>
            </w:tcMar>
          </w:tcPr>
          <w:p>
            <w:pPr>
              <w:spacing w:after="0" w:line="240" w:lineRule="auto"/>
            </w:pPr>
            <w:r/>
            <w:r>
              <w:rPr>
                <w:rFonts w:ascii="Aptos" w:hAnsi="Aptos"/>
                <w:b w:val="0"/>
                <w:color w:val="282828"/>
                <w:sz w:val="16"/>
              </w:rPr>
              <w:t>Partner commitment</w:t>
            </w:r>
          </w:p>
        </w:tc>
        <w:tc>
          <w:tcPr>
            <w:tcW w:type="dxa" w:w="8856"/>
            <w:vAlign w:val="center"/>
            <w:tcMar>
              <w:top w:w="80" w:type="dxa"/>
              <w:start w:w="100" w:type="dxa"/>
              <w:bottom w:w="80" w:type="dxa"/>
              <w:end w:w="100" w:type="dxa"/>
            </w:tcMar>
          </w:tcPr>
          <w:p>
            <w:pPr>
              <w:spacing w:after="0" w:line="240" w:lineRule="auto"/>
            </w:pPr>
            <w:r/>
            <w:r>
              <w:rPr>
                <w:rFonts w:ascii="Aptos" w:hAnsi="Aptos"/>
                <w:b w:val="0"/>
                <w:color w:val="282828"/>
                <w:sz w:val="16"/>
              </w:rPr>
              <w:t>Signed agreements; staff and cash invested; products stocked; service locations; commercial targets.</w:t>
            </w:r>
          </w:p>
        </w:tc>
      </w:tr>
      <w:tr>
        <w:trPr>
          <w:cantSplit/>
        </w:trPr>
        <w:tc>
          <w:tcPr>
            <w:tcW w:type="dxa" w:w="223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Demand creation</w:t>
            </w:r>
          </w:p>
        </w:tc>
        <w:tc>
          <w:tcPr>
            <w:tcW w:type="dxa" w:w="8856"/>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Farmers reached, trained, assessed, requesting quotations and placing deposits or pre-orders.</w:t>
            </w:r>
          </w:p>
        </w:tc>
      </w:tr>
      <w:tr>
        <w:trPr>
          <w:cantSplit/>
        </w:trPr>
        <w:tc>
          <w:tcPr>
            <w:tcW w:type="dxa" w:w="2232"/>
            <w:vAlign w:val="center"/>
            <w:tcMar>
              <w:top w:w="80" w:type="dxa"/>
              <w:start w:w="100" w:type="dxa"/>
              <w:bottom w:w="80" w:type="dxa"/>
              <w:end w:w="100" w:type="dxa"/>
            </w:tcMar>
          </w:tcPr>
          <w:p>
            <w:pPr>
              <w:spacing w:after="0" w:line="240" w:lineRule="auto"/>
            </w:pPr>
            <w:r/>
            <w:r>
              <w:rPr>
                <w:rFonts w:ascii="Aptos" w:hAnsi="Aptos"/>
                <w:b w:val="0"/>
                <w:color w:val="282828"/>
                <w:sz w:val="16"/>
              </w:rPr>
              <w:t>Input and service uptake</w:t>
            </w:r>
          </w:p>
        </w:tc>
        <w:tc>
          <w:tcPr>
            <w:tcW w:type="dxa" w:w="8856"/>
            <w:vAlign w:val="center"/>
            <w:tcMar>
              <w:top w:w="80" w:type="dxa"/>
              <w:start w:w="100" w:type="dxa"/>
              <w:bottom w:w="80" w:type="dxa"/>
              <w:end w:w="100" w:type="dxa"/>
            </w:tcMar>
          </w:tcPr>
          <w:p>
            <w:pPr>
              <w:spacing w:after="0" w:line="240" w:lineRule="auto"/>
            </w:pPr>
            <w:r/>
            <w:r>
              <w:rPr>
                <w:rFonts w:ascii="Aptos" w:hAnsi="Aptos"/>
                <w:b w:val="0"/>
                <w:color w:val="282828"/>
                <w:sz w:val="16"/>
              </w:rPr>
              <w:t>Forage seed sold; hectares planted; feed tonnes processed; machine-hire transactions; finance and insurance applications.</w:t>
            </w:r>
          </w:p>
        </w:tc>
      </w:tr>
      <w:tr>
        <w:trPr>
          <w:cantSplit/>
        </w:trPr>
        <w:tc>
          <w:tcPr>
            <w:tcW w:type="dxa" w:w="223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Adoption</w:t>
            </w:r>
          </w:p>
        </w:tc>
        <w:tc>
          <w:tcPr>
            <w:tcW w:type="dxa" w:w="8856"/>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Farmers completing a validated ration; cattle placed in fattening; correct machinery use; repeat seed or service purchases.</w:t>
            </w:r>
          </w:p>
        </w:tc>
      </w:tr>
      <w:tr>
        <w:trPr>
          <w:cantSplit/>
        </w:trPr>
        <w:tc>
          <w:tcPr>
            <w:tcW w:type="dxa" w:w="2232"/>
            <w:vAlign w:val="center"/>
            <w:tcMar>
              <w:top w:w="80" w:type="dxa"/>
              <w:start w:w="100" w:type="dxa"/>
              <w:bottom w:w="80" w:type="dxa"/>
              <w:end w:w="100" w:type="dxa"/>
            </w:tcMar>
          </w:tcPr>
          <w:p>
            <w:pPr>
              <w:spacing w:after="0" w:line="240" w:lineRule="auto"/>
            </w:pPr>
            <w:r/>
            <w:r>
              <w:rPr>
                <w:rFonts w:ascii="Aptos" w:hAnsi="Aptos"/>
                <w:b w:val="0"/>
                <w:color w:val="282828"/>
                <w:sz w:val="16"/>
              </w:rPr>
              <w:t>Technical performance</w:t>
            </w:r>
          </w:p>
        </w:tc>
        <w:tc>
          <w:tcPr>
            <w:tcW w:type="dxa" w:w="8856"/>
            <w:vAlign w:val="center"/>
            <w:tcMar>
              <w:top w:w="80" w:type="dxa"/>
              <w:start w:w="100" w:type="dxa"/>
              <w:bottom w:w="80" w:type="dxa"/>
              <w:end w:w="100" w:type="dxa"/>
            </w:tcMar>
          </w:tcPr>
          <w:p>
            <w:pPr>
              <w:spacing w:after="0" w:line="240" w:lineRule="auto"/>
            </w:pPr>
            <w:r/>
            <w:r>
              <w:rPr>
                <w:rFonts w:ascii="Aptos" w:hAnsi="Aptos"/>
                <w:b w:val="0"/>
                <w:color w:val="282828"/>
                <w:sz w:val="16"/>
              </w:rPr>
              <w:t>Forage yield, ration quality, daily weight gain, mortality, days to sale, feed conversion and machine throughput.</w:t>
            </w:r>
          </w:p>
        </w:tc>
      </w:tr>
      <w:tr>
        <w:trPr>
          <w:cantSplit/>
        </w:trPr>
        <w:tc>
          <w:tcPr>
            <w:tcW w:type="dxa" w:w="223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Commercial performance</w:t>
            </w:r>
          </w:p>
        </w:tc>
        <w:tc>
          <w:tcPr>
            <w:tcW w:type="dxa" w:w="8856"/>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Full cost, revenue, gross margin, cash flow, repayment, premium payment, claims, service-provider utilization and repeat business.</w:t>
            </w:r>
          </w:p>
        </w:tc>
      </w:tr>
      <w:tr>
        <w:trPr>
          <w:cantSplit/>
        </w:trPr>
        <w:tc>
          <w:tcPr>
            <w:tcW w:type="dxa" w:w="2232"/>
            <w:vAlign w:val="center"/>
            <w:tcMar>
              <w:top w:w="80" w:type="dxa"/>
              <w:start w:w="100" w:type="dxa"/>
              <w:bottom w:w="80" w:type="dxa"/>
              <w:end w:w="100" w:type="dxa"/>
            </w:tcMar>
          </w:tcPr>
          <w:p>
            <w:pPr>
              <w:spacing w:after="0" w:line="240" w:lineRule="auto"/>
            </w:pPr>
            <w:r/>
            <w:r>
              <w:rPr>
                <w:rFonts w:ascii="Aptos" w:hAnsi="Aptos"/>
                <w:b w:val="0"/>
                <w:color w:val="282828"/>
                <w:sz w:val="16"/>
              </w:rPr>
              <w:t>Market outcome</w:t>
            </w:r>
          </w:p>
        </w:tc>
        <w:tc>
          <w:tcPr>
            <w:tcW w:type="dxa" w:w="8856"/>
            <w:vAlign w:val="center"/>
            <w:tcMar>
              <w:top w:w="80" w:type="dxa"/>
              <w:start w:w="100" w:type="dxa"/>
              <w:bottom w:w="80" w:type="dxa"/>
              <w:end w:w="100" w:type="dxa"/>
            </w:tcMar>
          </w:tcPr>
          <w:p>
            <w:pPr>
              <w:spacing w:after="0" w:line="240" w:lineRule="auto"/>
            </w:pPr>
            <w:r/>
            <w:r>
              <w:rPr>
                <w:rFonts w:ascii="Aptos" w:hAnsi="Aptos"/>
                <w:b w:val="0"/>
                <w:color w:val="282828"/>
                <w:sz w:val="16"/>
              </w:rPr>
              <w:t>Animals aggregated, liveweight and grade, formal sales, buyer contracts, price premium and side-selling.</w:t>
            </w:r>
          </w:p>
        </w:tc>
      </w:tr>
      <w:tr>
        <w:trPr>
          <w:cantSplit/>
        </w:trPr>
        <w:tc>
          <w:tcPr>
            <w:tcW w:type="dxa" w:w="2232"/>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Equity and responsibility</w:t>
            </w:r>
          </w:p>
        </w:tc>
        <w:tc>
          <w:tcPr>
            <w:tcW w:type="dxa" w:w="8856"/>
            <w:vAlign w:val="center"/>
            <w:tcMar>
              <w:top w:w="80" w:type="dxa"/>
              <w:start w:w="100" w:type="dxa"/>
              <w:bottom w:w="80" w:type="dxa"/>
              <w:end w:w="100" w:type="dxa"/>
            </w:tcMar>
            <w:shd w:fill="F8FAFB"/>
          </w:tcPr>
          <w:p>
            <w:pPr>
              <w:spacing w:after="0" w:line="240" w:lineRule="auto"/>
            </w:pPr>
            <w:r/>
            <w:r>
              <w:rPr>
                <w:rFonts w:ascii="Aptos" w:hAnsi="Aptos"/>
                <w:b w:val="0"/>
                <w:color w:val="282828"/>
                <w:sz w:val="16"/>
              </w:rPr>
              <w:t>Participation, asset control, debt and income by sex, age, farm size and cooperative role; land and residue effects.</w:t>
            </w:r>
          </w:p>
        </w:tc>
      </w:tr>
      <w:tr>
        <w:trPr>
          <w:cantSplit/>
        </w:trPr>
        <w:tc>
          <w:tcPr>
            <w:tcW w:type="dxa" w:w="2232"/>
            <w:vAlign w:val="center"/>
            <w:tcMar>
              <w:top w:w="80" w:type="dxa"/>
              <w:start w:w="100" w:type="dxa"/>
              <w:bottom w:w="80" w:type="dxa"/>
              <w:end w:w="100" w:type="dxa"/>
            </w:tcMar>
          </w:tcPr>
          <w:p>
            <w:pPr>
              <w:spacing w:after="0" w:line="240" w:lineRule="auto"/>
            </w:pPr>
            <w:r/>
            <w:r>
              <w:rPr>
                <w:rFonts w:ascii="Aptos" w:hAnsi="Aptos"/>
                <w:b w:val="0"/>
                <w:color w:val="282828"/>
                <w:sz w:val="16"/>
              </w:rPr>
              <w:t>Institutional sustainability</w:t>
            </w:r>
          </w:p>
        </w:tc>
        <w:tc>
          <w:tcPr>
            <w:tcW w:type="dxa" w:w="8856"/>
            <w:vAlign w:val="center"/>
            <w:tcMar>
              <w:top w:w="80" w:type="dxa"/>
              <w:start w:w="100" w:type="dxa"/>
              <w:bottom w:w="80" w:type="dxa"/>
              <w:end w:w="100" w:type="dxa"/>
            </w:tcMar>
          </w:tcPr>
          <w:p>
            <w:pPr>
              <w:spacing w:after="0" w:line="240" w:lineRule="auto"/>
            </w:pPr>
            <w:r/>
            <w:r>
              <w:rPr>
                <w:rFonts w:ascii="Aptos" w:hAnsi="Aptos"/>
                <w:b w:val="0"/>
                <w:color w:val="282828"/>
                <w:sz w:val="16"/>
              </w:rPr>
              <w:t>Partner functions continuing without project payment; government workload financed; private products maintained in the market.</w:t>
            </w:r>
          </w:p>
        </w:tc>
      </w:tr>
    </w:tbl>
    <w:p>
      <w:pPr>
        <w:spacing w:after="0"/>
      </w:pPr>
    </w:p>
    <w:p>
      <w:pPr>
        <w:pStyle w:val="Heading2"/>
        <w:keepNext/>
      </w:pPr>
      <w:r>
        <w:t>Evidence discipline</w:t>
      </w:r>
    </w:p>
    <w:p>
      <w:pPr>
        <w:pStyle w:val="ListBullet"/>
        <w:spacing w:after="50"/>
        <w:ind w:left="317" w:hanging="202"/>
      </w:pPr>
      <w:r>
        <w:rPr>
          <w:rFonts w:ascii="Aptos" w:hAnsi="Aptos"/>
          <w:color w:val="282828"/>
          <w:sz w:val="20"/>
        </w:rPr>
        <w:t>Label all figures as verified, partner-reported estimate or coaching assumption.</w:t>
      </w:r>
    </w:p>
    <w:p>
      <w:pPr>
        <w:pStyle w:val="ListBullet"/>
        <w:spacing w:after="50"/>
        <w:ind w:left="317" w:hanging="202"/>
      </w:pPr>
      <w:r>
        <w:rPr>
          <w:rFonts w:ascii="Aptos" w:hAnsi="Aptos"/>
          <w:color w:val="282828"/>
          <w:sz w:val="20"/>
        </w:rPr>
        <w:t>Do not infer market demand from training attendance or partner enthusiasm.</w:t>
      </w:r>
    </w:p>
    <w:p>
      <w:pPr>
        <w:pStyle w:val="ListBullet"/>
        <w:spacing w:after="50"/>
        <w:ind w:left="317" w:hanging="202"/>
      </w:pPr>
      <w:r>
        <w:rPr>
          <w:rFonts w:ascii="Aptos" w:hAnsi="Aptos"/>
          <w:color w:val="282828"/>
          <w:sz w:val="20"/>
        </w:rPr>
        <w:t>Do not count subsidized project procurement as proof of a sustainable commercial market.</w:t>
      </w:r>
    </w:p>
    <w:p>
      <w:pPr>
        <w:pStyle w:val="ListBullet"/>
        <w:spacing w:after="50"/>
        <w:ind w:left="317" w:hanging="202"/>
      </w:pPr>
      <w:r>
        <w:rPr>
          <w:rFonts w:ascii="Aptos" w:hAnsi="Aptos"/>
          <w:color w:val="282828"/>
          <w:sz w:val="20"/>
        </w:rPr>
        <w:t>Collect baseline and follow-up data for pilot farmers and matched comparison farmers where feasible.</w:t>
      </w:r>
    </w:p>
    <w:p>
      <w:pPr>
        <w:pStyle w:val="ListBullet"/>
        <w:spacing w:after="50"/>
        <w:ind w:left="317" w:hanging="202"/>
      </w:pPr>
      <w:r>
        <w:rPr>
          <w:rFonts w:ascii="Aptos" w:hAnsi="Aptos"/>
          <w:color w:val="282828"/>
          <w:sz w:val="20"/>
        </w:rPr>
        <w:t>Track dropout, non-adoption, loan rejection, default, claim rejection, side-selling and machine downtime as learning evidence.</w:t>
      </w:r>
    </w:p>
    <w:p>
      <w:pPr>
        <w:pStyle w:val="ListBullet"/>
        <w:spacing w:after="50"/>
        <w:ind w:left="317" w:hanging="202"/>
      </w:pPr>
      <w:r>
        <w:rPr>
          <w:rFonts w:ascii="Aptos" w:hAnsi="Aptos"/>
          <w:color w:val="282828"/>
          <w:sz w:val="20"/>
        </w:rPr>
        <w:t>Document the specific contribution of S4I and the solution team to partner behavior and outcomes.</w:t>
      </w:r>
    </w:p>
    <w:p>
      <w:pPr>
        <w:pStyle w:val="Heading1"/>
        <w:keepNext/>
      </w:pPr>
      <w:r>
        <w:t>20. Consolidated coaching recommendations</w:t>
      </w:r>
    </w:p>
    <w:p>
      <w:pPr/>
      <w:r>
        <w:rPr>
          <w:rFonts w:ascii="Aptos" w:hAnsi="Aptos"/>
          <w:b/>
          <w:color w:val="282828"/>
          <w:sz w:val="20"/>
        </w:rPr>
        <w:t>1. Define the primary scaling unit and target segment.</w:t>
      </w:r>
      <w:r>
        <w:rPr>
          <w:rFonts w:ascii="Aptos" w:hAnsi="Aptos"/>
          <w:color w:val="282828"/>
          <w:sz w:val="20"/>
        </w:rPr>
        <w:t xml:space="preserve"> Decide whether the initial unit is an individual medium farmer, a cooperative feedlot, a private service provider or an anchor enterprise. Do not design simultaneously for every farmer category.</w:t>
      </w:r>
    </w:p>
    <w:p>
      <w:pPr/>
      <w:r>
        <w:rPr>
          <w:rFonts w:ascii="Aptos" w:hAnsi="Aptos"/>
          <w:b/>
          <w:color w:val="282828"/>
          <w:sz w:val="20"/>
        </w:rPr>
        <w:t>2. Build a verified feed and land model.</w:t>
      </w:r>
      <w:r>
        <w:rPr>
          <w:rFonts w:ascii="Aptos" w:hAnsi="Aptos"/>
          <w:color w:val="282828"/>
          <w:sz w:val="20"/>
        </w:rPr>
        <w:t xml:space="preserve"> Use animal nutrition and agronomic data to calculate rations, land, residues, water, labor, storage and cost for each cattle and farm-size scenario.</w:t>
      </w:r>
    </w:p>
    <w:p>
      <w:pPr/>
      <w:r>
        <w:rPr>
          <w:rFonts w:ascii="Aptos" w:hAnsi="Aptos"/>
          <w:b/>
          <w:color w:val="282828"/>
          <w:sz w:val="20"/>
        </w:rPr>
        <w:t>3. Prove the farmer business case before scaling awareness.</w:t>
      </w:r>
      <w:r>
        <w:rPr>
          <w:rFonts w:ascii="Aptos" w:hAnsi="Aptos"/>
          <w:color w:val="282828"/>
          <w:sz w:val="20"/>
        </w:rPr>
        <w:t xml:space="preserve"> Demonstrate net returns, cash flow, risk and sensitivity using real pilot data. Compare maintenance feeding, partial supplementation and commercial fattening.</w:t>
      </w:r>
    </w:p>
    <w:p>
      <w:pPr/>
      <w:r>
        <w:rPr>
          <w:rFonts w:ascii="Aptos" w:hAnsi="Aptos"/>
          <w:b/>
          <w:color w:val="282828"/>
          <w:sz w:val="20"/>
        </w:rPr>
        <w:t>4. Separate the live-cattle and meat-market models.</w:t>
      </w:r>
      <w:r>
        <w:rPr>
          <w:rFonts w:ascii="Aptos" w:hAnsi="Aptos"/>
          <w:color w:val="282828"/>
          <w:sz w:val="20"/>
        </w:rPr>
        <w:t xml:space="preserve"> Develop independent value propositions, cost structures, partners and risks for brokerage versus slaughter and retail.</w:t>
      </w:r>
    </w:p>
    <w:p>
      <w:pPr/>
      <w:r>
        <w:rPr>
          <w:rFonts w:ascii="Aptos" w:hAnsi="Aptos"/>
          <w:b/>
          <w:color w:val="282828"/>
          <w:sz w:val="20"/>
        </w:rPr>
        <w:t>5. Secure formal market pull.</w:t>
      </w:r>
      <w:r>
        <w:rPr>
          <w:rFonts w:ascii="Aptos" w:hAnsi="Aptos"/>
          <w:color w:val="282828"/>
          <w:sz w:val="20"/>
        </w:rPr>
        <w:t xml:space="preserve"> Obtain written commercial interest or contracts from abattoirs, butchers, supermarkets or other buyers, with volume, quality, pricing and delivery terms.</w:t>
      </w:r>
    </w:p>
    <w:p>
      <w:pPr/>
      <w:r>
        <w:rPr>
          <w:rFonts w:ascii="Aptos" w:hAnsi="Aptos"/>
          <w:b/>
          <w:color w:val="282828"/>
          <w:sz w:val="20"/>
        </w:rPr>
        <w:t>6. Use staged commercial pilots.</w:t>
      </w:r>
      <w:r>
        <w:rPr>
          <w:rFonts w:ascii="Aptos" w:hAnsi="Aptos"/>
          <w:color w:val="282828"/>
          <w:sz w:val="20"/>
        </w:rPr>
        <w:t xml:space="preserve"> Pilot a small number of carefully screened farmers, cooperatives and service providers through a complete cycle before expanding.</w:t>
      </w:r>
    </w:p>
    <w:p>
      <w:pPr/>
      <w:r>
        <w:rPr>
          <w:rFonts w:ascii="Aptos" w:hAnsi="Aptos"/>
          <w:b/>
          <w:color w:val="282828"/>
          <w:sz w:val="20"/>
        </w:rPr>
        <w:t>7. Prefer access to machinery over universal ownership.</w:t>
      </w:r>
      <w:r>
        <w:rPr>
          <w:rFonts w:ascii="Aptos" w:hAnsi="Aptos"/>
          <w:color w:val="282828"/>
          <w:sz w:val="20"/>
        </w:rPr>
        <w:t xml:space="preserve"> Test machine-hire and feed-processing services, especially for smallholders, before promoting cooperative or individual debt-financed ownership.</w:t>
      </w:r>
    </w:p>
    <w:p>
      <w:pPr/>
      <w:r>
        <w:rPr>
          <w:rFonts w:ascii="Aptos" w:hAnsi="Aptos"/>
          <w:b/>
          <w:color w:val="282828"/>
          <w:sz w:val="20"/>
        </w:rPr>
        <w:t>8. Finalize the CAMCO specification and commercial transition.</w:t>
      </w:r>
      <w:r>
        <w:rPr>
          <w:rFonts w:ascii="Aptos" w:hAnsi="Aptos"/>
          <w:color w:val="282828"/>
          <w:sz w:val="20"/>
        </w:rPr>
        <w:t xml:space="preserve"> Confirm the combined chopper-grinder specification, price, delivery, warranty, spare parts, operating cost and non-project sales strategy.</w:t>
      </w:r>
    </w:p>
    <w:p>
      <w:pPr/>
      <w:r>
        <w:rPr>
          <w:rFonts w:ascii="Aptos" w:hAnsi="Aptos"/>
          <w:b/>
          <w:color w:val="282828"/>
          <w:sz w:val="20"/>
        </w:rPr>
        <w:t>9. Screen and strengthen cooperatives.</w:t>
      </w:r>
      <w:r>
        <w:rPr>
          <w:rFonts w:ascii="Aptos" w:hAnsi="Aptos"/>
          <w:color w:val="282828"/>
          <w:sz w:val="20"/>
        </w:rPr>
        <w:t xml:space="preserve"> Use a readiness assessment covering governance, records, savings, asset history, leadership, offtake and inclusion before financing or equipment allocation.</w:t>
      </w:r>
    </w:p>
    <w:p>
      <w:pPr/>
      <w:r>
        <w:rPr>
          <w:rFonts w:ascii="Aptos" w:hAnsi="Aptos"/>
          <w:b/>
          <w:color w:val="282828"/>
          <w:sz w:val="20"/>
        </w:rPr>
        <w:t>10. Co-design a bankable finance package.</w:t>
      </w:r>
      <w:r>
        <w:rPr>
          <w:rFonts w:ascii="Aptos" w:hAnsi="Aptos"/>
          <w:color w:val="282828"/>
          <w:sz w:val="20"/>
        </w:rPr>
        <w:t xml:space="preserve"> Develop standardized business plans, eligibility criteria, repayment calendars, working-capital needs and stress tests with the bank and target users.</w:t>
      </w:r>
    </w:p>
    <w:p>
      <w:pPr/>
      <w:r>
        <w:rPr>
          <w:rFonts w:ascii="Aptos" w:hAnsi="Aptos"/>
          <w:b/>
          <w:color w:val="282828"/>
          <w:sz w:val="20"/>
        </w:rPr>
        <w:t>11. Treat livestock collateral cautiously.</w:t>
      </w:r>
      <w:r>
        <w:rPr>
          <w:rFonts w:ascii="Aptos" w:hAnsi="Aptos"/>
          <w:color w:val="282828"/>
          <w:sz w:val="20"/>
        </w:rPr>
        <w:t xml:space="preserve"> Develop legally sound identification, valuation, ownership and enforcement procedures before presenting cattle as a scalable collateral solution.</w:t>
      </w:r>
    </w:p>
    <w:p>
      <w:pPr/>
      <w:r>
        <w:rPr>
          <w:rFonts w:ascii="Aptos" w:hAnsi="Aptos"/>
          <w:b/>
          <w:color w:val="282828"/>
          <w:sz w:val="20"/>
        </w:rPr>
        <w:t>12. Clarify and simplify insurance.</w:t>
      </w:r>
      <w:r>
        <w:rPr>
          <w:rFonts w:ascii="Aptos" w:hAnsi="Aptos"/>
          <w:color w:val="282828"/>
          <w:sz w:val="20"/>
        </w:rPr>
        <w:t xml:space="preserve"> Specify cover, premium, exclusions, valuation, claims documents and payment time; test customer understanding and willingness to pay.</w:t>
      </w:r>
    </w:p>
    <w:p>
      <w:pPr/>
      <w:r>
        <w:rPr>
          <w:rFonts w:ascii="Aptos" w:hAnsi="Aptos"/>
          <w:b/>
          <w:color w:val="282828"/>
          <w:sz w:val="20"/>
        </w:rPr>
        <w:t>13. Bundle finance, insurance, technical support and offtake.</w:t>
      </w:r>
      <w:r>
        <w:rPr>
          <w:rFonts w:ascii="Aptos" w:hAnsi="Aptos"/>
          <w:color w:val="282828"/>
          <w:sz w:val="20"/>
        </w:rPr>
        <w:t xml:space="preserve"> A loan should be embedded in a complete risk-managed enterprise package rather than offered as a stand-alone product.</w:t>
      </w:r>
    </w:p>
    <w:p>
      <w:pPr/>
      <w:r>
        <w:rPr>
          <w:rFonts w:ascii="Aptos" w:hAnsi="Aptos"/>
          <w:b/>
          <w:color w:val="282828"/>
          <w:sz w:val="20"/>
        </w:rPr>
        <w:t>14. Define each partner’s business incentive.</w:t>
      </w:r>
      <w:r>
        <w:rPr>
          <w:rFonts w:ascii="Aptos" w:hAnsi="Aptos"/>
          <w:color w:val="282828"/>
          <w:sz w:val="20"/>
        </w:rPr>
        <w:t xml:space="preserve"> Agreements should state what each partner invests, earns, reports and continues after project funding ends.</w:t>
      </w:r>
    </w:p>
    <w:p>
      <w:pPr/>
      <w:r>
        <w:rPr>
          <w:rFonts w:ascii="Aptos" w:hAnsi="Aptos"/>
          <w:b/>
          <w:color w:val="282828"/>
          <w:sz w:val="20"/>
        </w:rPr>
        <w:t>15. Cost the public delivery role.</w:t>
      </w:r>
      <w:r>
        <w:rPr>
          <w:rFonts w:ascii="Aptos" w:hAnsi="Aptos"/>
          <w:color w:val="282828"/>
          <w:sz w:val="20"/>
        </w:rPr>
        <w:t xml:space="preserve"> Quantify the ministry staff, transport, training, verification and monitoring workload and identify the budget or alternative provider.</w:t>
      </w:r>
    </w:p>
    <w:p>
      <w:pPr/>
      <w:r>
        <w:rPr>
          <w:rFonts w:ascii="Aptos" w:hAnsi="Aptos"/>
          <w:b/>
          <w:color w:val="282828"/>
          <w:sz w:val="20"/>
        </w:rPr>
        <w:t>16. Develop a market-based forage seed strategy.</w:t>
      </w:r>
      <w:r>
        <w:rPr>
          <w:rFonts w:ascii="Aptos" w:hAnsi="Aptos"/>
          <w:color w:val="282828"/>
          <w:sz w:val="20"/>
        </w:rPr>
        <w:t xml:space="preserve"> Use demonstrations, co-payment, pre-orders, quality assurance and repeat-purchase tracking, while managing distortion from subsidized programs.</w:t>
      </w:r>
    </w:p>
    <w:p>
      <w:pPr/>
      <w:r>
        <w:rPr>
          <w:rFonts w:ascii="Aptos" w:hAnsi="Aptos"/>
          <w:b/>
          <w:color w:val="282828"/>
          <w:sz w:val="20"/>
        </w:rPr>
        <w:t>17. Build GESI into enterprise design.</w:t>
      </w:r>
      <w:r>
        <w:rPr>
          <w:rFonts w:ascii="Aptos" w:hAnsi="Aptos"/>
          <w:color w:val="282828"/>
          <w:sz w:val="20"/>
        </w:rPr>
        <w:t xml:space="preserve"> Create lower-capital youth service roles, protect women’s control over benefits and assess collateral and land barriers.</w:t>
      </w:r>
    </w:p>
    <w:p>
      <w:pPr/>
      <w:r>
        <w:rPr>
          <w:rFonts w:ascii="Aptos" w:hAnsi="Aptos"/>
          <w:b/>
          <w:color w:val="282828"/>
          <w:sz w:val="20"/>
        </w:rPr>
        <w:t>18. Establish an integrated learning dashboard.</w:t>
      </w:r>
      <w:r>
        <w:rPr>
          <w:rFonts w:ascii="Aptos" w:hAnsi="Aptos"/>
          <w:color w:val="282828"/>
          <w:sz w:val="20"/>
        </w:rPr>
        <w:t xml:space="preserve"> Track technical, commercial, financial, market, equity and partner-sustainability indicators from the same pilots.</w:t>
      </w:r>
    </w:p>
    <w:p>
      <w:pPr>
        <w:pStyle w:val="Heading1"/>
        <w:keepNext/>
      </w:pPr>
      <w:r>
        <w:t>21. Follow-up actions and commitments</w:t>
      </w:r>
    </w:p>
    <w:p>
      <w:pPr/>
      <w:r>
        <w:rPr>
          <w:rFonts w:ascii="Aptos" w:hAnsi="Aptos"/>
          <w:color w:val="282828"/>
          <w:sz w:val="20"/>
        </w:rPr>
        <w:t>The table distinguishes actions explicitly indicated during the sessions from coaching recommendations needed to make the pathway credible. Leads are suggested where the transcript did not assign responsibility clearly.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5184"/>
            <w:vAlign w:val="center"/>
            <w:tcMar>
              <w:top w:w="80" w:type="dxa"/>
              <w:start w:w="100" w:type="dxa"/>
              <w:bottom w:w="80" w:type="dxa"/>
              <w:end w:w="100" w:type="dxa"/>
            </w:tcMar>
            <w:shd w:fill="1F374E"/>
          </w:tcPr>
          <w:p>
            <w:pPr>
              <w:spacing w:after="0" w:line="240" w:lineRule="auto"/>
            </w:pPr>
            <w:r/>
            <w:r>
              <w:rPr>
                <w:rFonts w:ascii="Aptos" w:hAnsi="Aptos"/>
                <w:b/>
                <w:color w:val="FFFFFF"/>
                <w:sz w:val="18"/>
              </w:rPr>
              <w:t>Action</w:t>
            </w:r>
          </w:p>
        </w:tc>
        <w:tc>
          <w:tcPr>
            <w:tcW w:type="dxa" w:w="2520"/>
            <w:vAlign w:val="center"/>
            <w:tcMar>
              <w:top w:w="80" w:type="dxa"/>
              <w:start w:w="100" w:type="dxa"/>
              <w:bottom w:w="80" w:type="dxa"/>
              <w:end w:w="100" w:type="dxa"/>
            </w:tcMar>
            <w:shd w:fill="1F374E"/>
          </w:tcPr>
          <w:p>
            <w:pPr>
              <w:spacing w:after="0" w:line="240" w:lineRule="auto"/>
            </w:pPr>
            <w:r/>
            <w:r>
              <w:rPr>
                <w:rFonts w:ascii="Aptos" w:hAnsi="Aptos"/>
                <w:b/>
                <w:color w:val="FFFFFF"/>
                <w:sz w:val="18"/>
              </w:rPr>
              <w:t>Suggested lead</w:t>
            </w:r>
          </w:p>
        </w:tc>
        <w:tc>
          <w:tcPr>
            <w:tcW w:type="dxa" w:w="1512"/>
            <w:vAlign w:val="center"/>
            <w:tcMar>
              <w:top w:w="80" w:type="dxa"/>
              <w:start w:w="100" w:type="dxa"/>
              <w:bottom w:w="80" w:type="dxa"/>
              <w:end w:w="100" w:type="dxa"/>
            </w:tcMar>
            <w:shd w:fill="1F374E"/>
          </w:tcPr>
          <w:p>
            <w:pPr>
              <w:spacing w:after="0" w:line="240" w:lineRule="auto"/>
            </w:pPr>
            <w:r/>
            <w:r>
              <w:rPr>
                <w:rFonts w:ascii="Aptos" w:hAnsi="Aptos"/>
                <w:b/>
                <w:color w:val="FFFFFF"/>
                <w:sz w:val="18"/>
              </w:rPr>
              <w:t>Timing</w:t>
            </w:r>
          </w:p>
        </w:tc>
        <w:tc>
          <w:tcPr>
            <w:tcW w:type="dxa" w:w="1728"/>
            <w:vAlign w:val="center"/>
            <w:tcMar>
              <w:top w:w="80" w:type="dxa"/>
              <w:start w:w="100" w:type="dxa"/>
              <w:bottom w:w="80" w:type="dxa"/>
              <w:end w:w="100" w:type="dxa"/>
            </w:tcMar>
            <w:shd w:fill="1F374E"/>
          </w:tcPr>
          <w:p>
            <w:pPr>
              <w:spacing w:after="0" w:line="240" w:lineRule="auto"/>
            </w:pPr>
            <w:r/>
            <w:r>
              <w:rPr>
                <w:rFonts w:ascii="Aptos" w:hAnsi="Aptos"/>
                <w:b/>
                <w:color w:val="FFFFFF"/>
                <w:sz w:val="18"/>
              </w:rPr>
              <w:t>Status</w:t>
            </w:r>
          </w:p>
        </w:tc>
      </w:tr>
      <w:tr>
        <w:trPr>
          <w:cantSplit/>
        </w:trPr>
        <w:tc>
          <w:tcPr>
            <w:tcW w:type="dxa" w:w="5184"/>
            <w:vAlign w:val="center"/>
            <w:tcMar>
              <w:top w:w="80" w:type="dxa"/>
              <w:start w:w="100" w:type="dxa"/>
              <w:bottom w:w="80" w:type="dxa"/>
              <w:end w:w="100" w:type="dxa"/>
            </w:tcMar>
          </w:tcPr>
          <w:p>
            <w:pPr>
              <w:spacing w:after="0" w:line="240" w:lineRule="auto"/>
            </w:pPr>
            <w:r/>
            <w:r>
              <w:rPr>
                <w:rFonts w:ascii="Aptos" w:hAnsi="Aptos"/>
                <w:b w:val="0"/>
                <w:color w:val="282828"/>
                <w:sz w:val="15"/>
              </w:rPr>
              <w:t>Clarify and finalize the COMACO partnership agreement, including the livestock-market and extension business model.</w:t>
            </w:r>
          </w:p>
        </w:tc>
        <w:tc>
          <w:tcPr>
            <w:tcW w:type="dxa" w:w="2520"/>
            <w:vAlign w:val="center"/>
            <w:tcMar>
              <w:top w:w="80" w:type="dxa"/>
              <w:start w:w="100" w:type="dxa"/>
              <w:bottom w:w="80" w:type="dxa"/>
              <w:end w:w="100" w:type="dxa"/>
            </w:tcMar>
          </w:tcPr>
          <w:p>
            <w:pPr>
              <w:spacing w:after="0" w:line="240" w:lineRule="auto"/>
            </w:pPr>
            <w:r/>
            <w:r>
              <w:rPr>
                <w:rFonts w:ascii="Aptos" w:hAnsi="Aptos"/>
                <w:b w:val="0"/>
                <w:color w:val="282828"/>
                <w:sz w:val="15"/>
              </w:rPr>
              <w:t>Solution team, COMACO, ministry</w:t>
            </w:r>
          </w:p>
        </w:tc>
        <w:tc>
          <w:tcPr>
            <w:tcW w:type="dxa" w:w="1512"/>
            <w:vAlign w:val="center"/>
            <w:tcMar>
              <w:top w:w="80" w:type="dxa"/>
              <w:start w:w="100" w:type="dxa"/>
              <w:bottom w:w="80" w:type="dxa"/>
              <w:end w:w="100" w:type="dxa"/>
            </w:tcMar>
          </w:tcPr>
          <w:p>
            <w:pPr>
              <w:spacing w:after="0" w:line="240" w:lineRule="auto"/>
            </w:pPr>
            <w:r/>
            <w:r>
              <w:rPr>
                <w:rFonts w:ascii="Aptos" w:hAnsi="Aptos"/>
                <w:b w:val="0"/>
                <w:color w:val="282828"/>
                <w:sz w:val="15"/>
              </w:rPr>
              <w:t>Immediate</w:t>
            </w:r>
          </w:p>
        </w:tc>
        <w:tc>
          <w:tcPr>
            <w:tcW w:type="dxa" w:w="1728"/>
            <w:vAlign w:val="center"/>
            <w:tcMar>
              <w:top w:w="80" w:type="dxa"/>
              <w:start w:w="100" w:type="dxa"/>
              <w:bottom w:w="80" w:type="dxa"/>
              <w:end w:w="100" w:type="dxa"/>
            </w:tcMar>
          </w:tcPr>
          <w:p>
            <w:pPr>
              <w:spacing w:after="0" w:line="240" w:lineRule="auto"/>
            </w:pPr>
            <w:r/>
            <w:r>
              <w:rPr>
                <w:rFonts w:ascii="Aptos" w:hAnsi="Aptos"/>
                <w:b w:val="0"/>
                <w:color w:val="282828"/>
                <w:sz w:val="15"/>
              </w:rPr>
              <w:t>Explicit follow-up</w:t>
            </w:r>
          </w:p>
        </w:tc>
      </w:tr>
      <w:tr>
        <w:trPr>
          <w:cantSplit/>
        </w:trPr>
        <w:tc>
          <w:tcPr>
            <w:tcW w:type="dxa" w:w="5184"/>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Verify COMACO reach, cooperative numbers, women’s participation and extension capacity.</w:t>
            </w:r>
          </w:p>
        </w:tc>
        <w:tc>
          <w:tcPr>
            <w:tcW w:type="dxa" w:w="252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COMACO and solution MEL team</w:t>
            </w:r>
          </w:p>
        </w:tc>
        <w:tc>
          <w:tcPr>
            <w:tcW w:type="dxa" w:w="1512"/>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Before final scaling plan</w:t>
            </w:r>
          </w:p>
        </w:tc>
        <w:tc>
          <w:tcPr>
            <w:tcW w:type="dxa" w:w="172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Recommended</w:t>
            </w:r>
          </w:p>
        </w:tc>
      </w:tr>
      <w:tr>
        <w:trPr>
          <w:cantSplit/>
        </w:trPr>
        <w:tc>
          <w:tcPr>
            <w:tcW w:type="dxa" w:w="5184"/>
            <w:vAlign w:val="center"/>
            <w:tcMar>
              <w:top w:w="80" w:type="dxa"/>
              <w:start w:w="100" w:type="dxa"/>
              <w:bottom w:w="80" w:type="dxa"/>
              <w:end w:w="100" w:type="dxa"/>
            </w:tcMar>
          </w:tcPr>
          <w:p>
            <w:pPr>
              <w:spacing w:after="0" w:line="240" w:lineRule="auto"/>
            </w:pPr>
            <w:r/>
            <w:r>
              <w:rPr>
                <w:rFonts w:ascii="Aptos" w:hAnsi="Aptos"/>
                <w:b w:val="0"/>
                <w:color w:val="282828"/>
                <w:sz w:val="15"/>
              </w:rPr>
              <w:t>Complete a feed-resource and land-budget model for representative farmer and cattle segments.</w:t>
            </w:r>
          </w:p>
        </w:tc>
        <w:tc>
          <w:tcPr>
            <w:tcW w:type="dxa" w:w="2520"/>
            <w:vAlign w:val="center"/>
            <w:tcMar>
              <w:top w:w="80" w:type="dxa"/>
              <w:start w:w="100" w:type="dxa"/>
              <w:bottom w:w="80" w:type="dxa"/>
              <w:end w:w="100" w:type="dxa"/>
            </w:tcMar>
          </w:tcPr>
          <w:p>
            <w:pPr>
              <w:spacing w:after="0" w:line="240" w:lineRule="auto"/>
            </w:pPr>
            <w:r/>
            <w:r>
              <w:rPr>
                <w:rFonts w:ascii="Aptos" w:hAnsi="Aptos"/>
                <w:b w:val="0"/>
                <w:color w:val="282828"/>
                <w:sz w:val="15"/>
              </w:rPr>
              <w:t>Forage, livestock-nutrition and economics team</w:t>
            </w:r>
          </w:p>
        </w:tc>
        <w:tc>
          <w:tcPr>
            <w:tcW w:type="dxa" w:w="1512"/>
            <w:vAlign w:val="center"/>
            <w:tcMar>
              <w:top w:w="80" w:type="dxa"/>
              <w:start w:w="100" w:type="dxa"/>
              <w:bottom w:w="80" w:type="dxa"/>
              <w:end w:w="100" w:type="dxa"/>
            </w:tcMar>
          </w:tcPr>
          <w:p>
            <w:pPr>
              <w:spacing w:after="0" w:line="240" w:lineRule="auto"/>
            </w:pPr>
            <w:r/>
            <w:r>
              <w:rPr>
                <w:rFonts w:ascii="Aptos" w:hAnsi="Aptos"/>
                <w:b w:val="0"/>
                <w:color w:val="282828"/>
                <w:sz w:val="15"/>
              </w:rPr>
              <w:t>Before finance or expansion</w:t>
            </w:r>
          </w:p>
        </w:tc>
        <w:tc>
          <w:tcPr>
            <w:tcW w:type="dxa" w:w="1728"/>
            <w:vAlign w:val="center"/>
            <w:tcMar>
              <w:top w:w="80" w:type="dxa"/>
              <w:start w:w="100" w:type="dxa"/>
              <w:bottom w:w="80" w:type="dxa"/>
              <w:end w:w="100" w:type="dxa"/>
            </w:tcMar>
          </w:tcPr>
          <w:p>
            <w:pPr>
              <w:spacing w:after="0" w:line="240" w:lineRule="auto"/>
            </w:pPr>
            <w:r/>
            <w:r>
              <w:rPr>
                <w:rFonts w:ascii="Aptos" w:hAnsi="Aptos"/>
                <w:b w:val="0"/>
                <w:color w:val="282828"/>
                <w:sz w:val="15"/>
              </w:rPr>
              <w:t>Recommended</w:t>
            </w:r>
          </w:p>
        </w:tc>
      </w:tr>
      <w:tr>
        <w:trPr>
          <w:cantSplit/>
        </w:trPr>
        <w:tc>
          <w:tcPr>
            <w:tcW w:type="dxa" w:w="5184"/>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Finalize the CAMCO contract and exact specification for the combined chopper-grinder.</w:t>
            </w:r>
          </w:p>
        </w:tc>
        <w:tc>
          <w:tcPr>
            <w:tcW w:type="dxa" w:w="252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Solution team and CAMCO</w:t>
            </w:r>
          </w:p>
        </w:tc>
        <w:tc>
          <w:tcPr>
            <w:tcW w:type="dxa" w:w="1512"/>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Immediate</w:t>
            </w:r>
          </w:p>
        </w:tc>
        <w:tc>
          <w:tcPr>
            <w:tcW w:type="dxa" w:w="172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Explicit follow-up</w:t>
            </w:r>
          </w:p>
        </w:tc>
      </w:tr>
      <w:tr>
        <w:trPr>
          <w:cantSplit/>
        </w:trPr>
        <w:tc>
          <w:tcPr>
            <w:tcW w:type="dxa" w:w="5184"/>
            <w:vAlign w:val="center"/>
            <w:tcMar>
              <w:top w:w="80" w:type="dxa"/>
              <w:start w:w="100" w:type="dxa"/>
              <w:bottom w:w="80" w:type="dxa"/>
              <w:end w:w="100" w:type="dxa"/>
            </w:tcMar>
          </w:tcPr>
          <w:p>
            <w:pPr>
              <w:spacing w:after="0" w:line="240" w:lineRule="auto"/>
            </w:pPr>
            <w:r/>
            <w:r>
              <w:rPr>
                <w:rFonts w:ascii="Aptos" w:hAnsi="Aptos"/>
                <w:b w:val="0"/>
                <w:color w:val="282828"/>
                <w:sz w:val="15"/>
              </w:rPr>
              <w:t>Confirm order quantity, commercial price, delivery date, warranty, spare parts and training.</w:t>
            </w:r>
          </w:p>
        </w:tc>
        <w:tc>
          <w:tcPr>
            <w:tcW w:type="dxa" w:w="2520"/>
            <w:vAlign w:val="center"/>
            <w:tcMar>
              <w:top w:w="80" w:type="dxa"/>
              <w:start w:w="100" w:type="dxa"/>
              <w:bottom w:w="80" w:type="dxa"/>
              <w:end w:w="100" w:type="dxa"/>
            </w:tcMar>
          </w:tcPr>
          <w:p>
            <w:pPr>
              <w:spacing w:after="0" w:line="240" w:lineRule="auto"/>
            </w:pPr>
            <w:r/>
            <w:r>
              <w:rPr>
                <w:rFonts w:ascii="Aptos" w:hAnsi="Aptos"/>
                <w:b w:val="0"/>
                <w:color w:val="282828"/>
                <w:sz w:val="15"/>
              </w:rPr>
              <w:t>CAMCO and procurement lead</w:t>
            </w:r>
          </w:p>
        </w:tc>
        <w:tc>
          <w:tcPr>
            <w:tcW w:type="dxa" w:w="1512"/>
            <w:vAlign w:val="center"/>
            <w:tcMar>
              <w:top w:w="80" w:type="dxa"/>
              <w:start w:w="100" w:type="dxa"/>
              <w:bottom w:w="80" w:type="dxa"/>
              <w:end w:w="100" w:type="dxa"/>
            </w:tcMar>
          </w:tcPr>
          <w:p>
            <w:pPr>
              <w:spacing w:after="0" w:line="240" w:lineRule="auto"/>
            </w:pPr>
            <w:r/>
            <w:r>
              <w:rPr>
                <w:rFonts w:ascii="Aptos" w:hAnsi="Aptos"/>
                <w:b w:val="0"/>
                <w:color w:val="282828"/>
                <w:sz w:val="15"/>
              </w:rPr>
              <w:t>Before shipment</w:t>
            </w:r>
          </w:p>
        </w:tc>
        <w:tc>
          <w:tcPr>
            <w:tcW w:type="dxa" w:w="1728"/>
            <w:vAlign w:val="center"/>
            <w:tcMar>
              <w:top w:w="80" w:type="dxa"/>
              <w:start w:w="100" w:type="dxa"/>
              <w:bottom w:w="80" w:type="dxa"/>
              <w:end w:w="100" w:type="dxa"/>
            </w:tcMar>
          </w:tcPr>
          <w:p>
            <w:pPr>
              <w:spacing w:after="0" w:line="240" w:lineRule="auto"/>
            </w:pPr>
            <w:r/>
            <w:r>
              <w:rPr>
                <w:rFonts w:ascii="Aptos" w:hAnsi="Aptos"/>
                <w:b w:val="0"/>
                <w:color w:val="282828"/>
                <w:sz w:val="15"/>
              </w:rPr>
              <w:t>Explicit follow-up</w:t>
            </w:r>
          </w:p>
        </w:tc>
      </w:tr>
      <w:tr>
        <w:trPr>
          <w:cantSplit/>
        </w:trPr>
        <w:tc>
          <w:tcPr>
            <w:tcW w:type="dxa" w:w="5184"/>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Track commercial demand for the additional CAMCO units beyond project purchases.</w:t>
            </w:r>
          </w:p>
        </w:tc>
        <w:tc>
          <w:tcPr>
            <w:tcW w:type="dxa" w:w="252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CAMCO and solution MEL team</w:t>
            </w:r>
          </w:p>
        </w:tc>
        <w:tc>
          <w:tcPr>
            <w:tcW w:type="dxa" w:w="1512"/>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First 12 months</w:t>
            </w:r>
          </w:p>
        </w:tc>
        <w:tc>
          <w:tcPr>
            <w:tcW w:type="dxa" w:w="172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Recommended</w:t>
            </w:r>
          </w:p>
        </w:tc>
      </w:tr>
      <w:tr>
        <w:trPr>
          <w:cantSplit/>
        </w:trPr>
        <w:tc>
          <w:tcPr>
            <w:tcW w:type="dxa" w:w="5184"/>
            <w:vAlign w:val="center"/>
            <w:tcMar>
              <w:top w:w="80" w:type="dxa"/>
              <w:start w:w="100" w:type="dxa"/>
              <w:bottom w:w="80" w:type="dxa"/>
              <w:end w:w="100" w:type="dxa"/>
            </w:tcMar>
          </w:tcPr>
          <w:p>
            <w:pPr>
              <w:spacing w:after="0" w:line="240" w:lineRule="auto"/>
            </w:pPr>
            <w:r/>
            <w:r>
              <w:rPr>
                <w:rFonts w:ascii="Aptos" w:hAnsi="Aptos"/>
                <w:b w:val="0"/>
                <w:color w:val="282828"/>
                <w:sz w:val="15"/>
              </w:rPr>
              <w:t>Develop machine ownership, service-provider and cooperative-use business cases.</w:t>
            </w:r>
          </w:p>
        </w:tc>
        <w:tc>
          <w:tcPr>
            <w:tcW w:type="dxa" w:w="2520"/>
            <w:vAlign w:val="center"/>
            <w:tcMar>
              <w:top w:w="80" w:type="dxa"/>
              <w:start w:w="100" w:type="dxa"/>
              <w:bottom w:w="80" w:type="dxa"/>
              <w:end w:w="100" w:type="dxa"/>
            </w:tcMar>
          </w:tcPr>
          <w:p>
            <w:pPr>
              <w:spacing w:after="0" w:line="240" w:lineRule="auto"/>
            </w:pPr>
            <w:r/>
            <w:r>
              <w:rPr>
                <w:rFonts w:ascii="Aptos" w:hAnsi="Aptos"/>
                <w:b w:val="0"/>
                <w:color w:val="282828"/>
                <w:sz w:val="15"/>
              </w:rPr>
              <w:t>CAMCO, finance partner and economics team</w:t>
            </w:r>
          </w:p>
        </w:tc>
        <w:tc>
          <w:tcPr>
            <w:tcW w:type="dxa" w:w="1512"/>
            <w:vAlign w:val="center"/>
            <w:tcMar>
              <w:top w:w="80" w:type="dxa"/>
              <w:start w:w="100" w:type="dxa"/>
              <w:bottom w:w="80" w:type="dxa"/>
              <w:end w:w="100" w:type="dxa"/>
            </w:tcMar>
          </w:tcPr>
          <w:p>
            <w:pPr>
              <w:spacing w:after="0" w:line="240" w:lineRule="auto"/>
            </w:pPr>
            <w:r/>
            <w:r>
              <w:rPr>
                <w:rFonts w:ascii="Aptos" w:hAnsi="Aptos"/>
                <w:b w:val="0"/>
                <w:color w:val="282828"/>
                <w:sz w:val="15"/>
              </w:rPr>
              <w:t>Before wider promotion</w:t>
            </w:r>
          </w:p>
        </w:tc>
        <w:tc>
          <w:tcPr>
            <w:tcW w:type="dxa" w:w="1728"/>
            <w:vAlign w:val="center"/>
            <w:tcMar>
              <w:top w:w="80" w:type="dxa"/>
              <w:start w:w="100" w:type="dxa"/>
              <w:bottom w:w="80" w:type="dxa"/>
              <w:end w:w="100" w:type="dxa"/>
            </w:tcMar>
          </w:tcPr>
          <w:p>
            <w:pPr>
              <w:spacing w:after="0" w:line="240" w:lineRule="auto"/>
            </w:pPr>
            <w:r/>
            <w:r>
              <w:rPr>
                <w:rFonts w:ascii="Aptos" w:hAnsi="Aptos"/>
                <w:b w:val="0"/>
                <w:color w:val="282828"/>
                <w:sz w:val="15"/>
              </w:rPr>
              <w:t>Recommended</w:t>
            </w:r>
          </w:p>
        </w:tc>
      </w:tr>
      <w:tr>
        <w:trPr>
          <w:cantSplit/>
        </w:trPr>
        <w:tc>
          <w:tcPr>
            <w:tcW w:type="dxa" w:w="5184"/>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Assess cooperative governance and onboard the ministry responsible for SMEs/cooperatives where useful.</w:t>
            </w:r>
          </w:p>
        </w:tc>
        <w:tc>
          <w:tcPr>
            <w:tcW w:type="dxa" w:w="252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Solution team and government partners</w:t>
            </w:r>
          </w:p>
        </w:tc>
        <w:tc>
          <w:tcPr>
            <w:tcW w:type="dxa" w:w="1512"/>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Before asset allocation</w:t>
            </w:r>
          </w:p>
        </w:tc>
        <w:tc>
          <w:tcPr>
            <w:tcW w:type="dxa" w:w="172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Explicit suggestion</w:t>
            </w:r>
          </w:p>
        </w:tc>
      </w:tr>
      <w:tr>
        <w:trPr>
          <w:cantSplit/>
        </w:trPr>
        <w:tc>
          <w:tcPr>
            <w:tcW w:type="dxa" w:w="5184"/>
            <w:vAlign w:val="center"/>
            <w:tcMar>
              <w:top w:w="80" w:type="dxa"/>
              <w:start w:w="100" w:type="dxa"/>
              <w:bottom w:w="80" w:type="dxa"/>
              <w:end w:w="100" w:type="dxa"/>
            </w:tcMar>
          </w:tcPr>
          <w:p>
            <w:pPr>
              <w:spacing w:after="0" w:line="240" w:lineRule="auto"/>
            </w:pPr>
            <w:r/>
            <w:r>
              <w:rPr>
                <w:rFonts w:ascii="Aptos" w:hAnsi="Aptos"/>
                <w:b w:val="0"/>
                <w:color w:val="282828"/>
                <w:sz w:val="15"/>
              </w:rPr>
              <w:t>Develop standardized cattle-fattening and machinery business-plan templates.</w:t>
            </w:r>
          </w:p>
        </w:tc>
        <w:tc>
          <w:tcPr>
            <w:tcW w:type="dxa" w:w="2520"/>
            <w:vAlign w:val="center"/>
            <w:tcMar>
              <w:top w:w="80" w:type="dxa"/>
              <w:start w:w="100" w:type="dxa"/>
              <w:bottom w:w="80" w:type="dxa"/>
              <w:end w:w="100" w:type="dxa"/>
            </w:tcMar>
          </w:tcPr>
          <w:p>
            <w:pPr>
              <w:spacing w:after="0" w:line="240" w:lineRule="auto"/>
            </w:pPr>
            <w:r/>
            <w:r>
              <w:rPr>
                <w:rFonts w:ascii="Aptos" w:hAnsi="Aptos"/>
                <w:b w:val="0"/>
                <w:color w:val="282828"/>
                <w:sz w:val="15"/>
              </w:rPr>
              <w:t>Bank, solution economics team and ministry</w:t>
            </w:r>
          </w:p>
        </w:tc>
        <w:tc>
          <w:tcPr>
            <w:tcW w:type="dxa" w:w="1512"/>
            <w:vAlign w:val="center"/>
            <w:tcMar>
              <w:top w:w="80" w:type="dxa"/>
              <w:start w:w="100" w:type="dxa"/>
              <w:bottom w:w="80" w:type="dxa"/>
              <w:end w:w="100" w:type="dxa"/>
            </w:tcMar>
          </w:tcPr>
          <w:p>
            <w:pPr>
              <w:spacing w:after="0" w:line="240" w:lineRule="auto"/>
            </w:pPr>
            <w:r/>
            <w:r>
              <w:rPr>
                <w:rFonts w:ascii="Aptos" w:hAnsi="Aptos"/>
                <w:b w:val="0"/>
                <w:color w:val="282828"/>
                <w:sz w:val="15"/>
              </w:rPr>
              <w:t>Near term</w:t>
            </w:r>
          </w:p>
        </w:tc>
        <w:tc>
          <w:tcPr>
            <w:tcW w:type="dxa" w:w="1728"/>
            <w:vAlign w:val="center"/>
            <w:tcMar>
              <w:top w:w="80" w:type="dxa"/>
              <w:start w:w="100" w:type="dxa"/>
              <w:bottom w:w="80" w:type="dxa"/>
              <w:end w:w="100" w:type="dxa"/>
            </w:tcMar>
          </w:tcPr>
          <w:p>
            <w:pPr>
              <w:spacing w:after="0" w:line="240" w:lineRule="auto"/>
            </w:pPr>
            <w:r/>
            <w:r>
              <w:rPr>
                <w:rFonts w:ascii="Aptos" w:hAnsi="Aptos"/>
                <w:b w:val="0"/>
                <w:color w:val="282828"/>
                <w:sz w:val="15"/>
              </w:rPr>
              <w:t>Recommended</w:t>
            </w:r>
          </w:p>
        </w:tc>
      </w:tr>
      <w:tr>
        <w:trPr>
          <w:cantSplit/>
        </w:trPr>
        <w:tc>
          <w:tcPr>
            <w:tcW w:type="dxa" w:w="5184"/>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Confirm bank product terms, eligibility, subsidy, collateral and portfolio limits in writing.</w:t>
            </w:r>
          </w:p>
        </w:tc>
        <w:tc>
          <w:tcPr>
            <w:tcW w:type="dxa" w:w="252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Bank and solution team</w:t>
            </w:r>
          </w:p>
        </w:tc>
        <w:tc>
          <w:tcPr>
            <w:tcW w:type="dxa" w:w="1512"/>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Near term</w:t>
            </w:r>
          </w:p>
        </w:tc>
        <w:tc>
          <w:tcPr>
            <w:tcW w:type="dxa" w:w="172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Recommended</w:t>
            </w:r>
          </w:p>
        </w:tc>
      </w:tr>
      <w:tr>
        <w:trPr>
          <w:cantSplit/>
        </w:trPr>
        <w:tc>
          <w:tcPr>
            <w:tcW w:type="dxa" w:w="5184"/>
            <w:vAlign w:val="center"/>
            <w:tcMar>
              <w:top w:w="80" w:type="dxa"/>
              <w:start w:w="100" w:type="dxa"/>
              <w:bottom w:w="80" w:type="dxa"/>
              <w:end w:w="100" w:type="dxa"/>
            </w:tcMar>
          </w:tcPr>
          <w:p>
            <w:pPr>
              <w:spacing w:after="0" w:line="240" w:lineRule="auto"/>
            </w:pPr>
            <w:r/>
            <w:r>
              <w:rPr>
                <w:rFonts w:ascii="Aptos" w:hAnsi="Aptos"/>
                <w:b w:val="0"/>
                <w:color w:val="282828"/>
                <w:sz w:val="15"/>
              </w:rPr>
              <w:t>Link the bank and insurer to test a bundled loan-insurance product.</w:t>
            </w:r>
          </w:p>
        </w:tc>
        <w:tc>
          <w:tcPr>
            <w:tcW w:type="dxa" w:w="2520"/>
            <w:vAlign w:val="center"/>
            <w:tcMar>
              <w:top w:w="80" w:type="dxa"/>
              <w:start w:w="100" w:type="dxa"/>
              <w:bottom w:w="80" w:type="dxa"/>
              <w:end w:w="100" w:type="dxa"/>
            </w:tcMar>
          </w:tcPr>
          <w:p>
            <w:pPr>
              <w:spacing w:after="0" w:line="240" w:lineRule="auto"/>
            </w:pPr>
            <w:r/>
            <w:r>
              <w:rPr>
                <w:rFonts w:ascii="Aptos" w:hAnsi="Aptos"/>
                <w:b w:val="0"/>
                <w:color w:val="282828"/>
                <w:sz w:val="15"/>
              </w:rPr>
              <w:t>Bank, NICO and solution team</w:t>
            </w:r>
          </w:p>
        </w:tc>
        <w:tc>
          <w:tcPr>
            <w:tcW w:type="dxa" w:w="1512"/>
            <w:vAlign w:val="center"/>
            <w:tcMar>
              <w:top w:w="80" w:type="dxa"/>
              <w:start w:w="100" w:type="dxa"/>
              <w:bottom w:w="80" w:type="dxa"/>
              <w:end w:w="100" w:type="dxa"/>
            </w:tcMar>
          </w:tcPr>
          <w:p>
            <w:pPr>
              <w:spacing w:after="0" w:line="240" w:lineRule="auto"/>
            </w:pPr>
            <w:r/>
            <w:r>
              <w:rPr>
                <w:rFonts w:ascii="Aptos" w:hAnsi="Aptos"/>
                <w:b w:val="0"/>
                <w:color w:val="282828"/>
                <w:sz w:val="15"/>
              </w:rPr>
              <w:t>Pilot design stage</w:t>
            </w:r>
          </w:p>
        </w:tc>
        <w:tc>
          <w:tcPr>
            <w:tcW w:type="dxa" w:w="1728"/>
            <w:vAlign w:val="center"/>
            <w:tcMar>
              <w:top w:w="80" w:type="dxa"/>
              <w:start w:w="100" w:type="dxa"/>
              <w:bottom w:w="80" w:type="dxa"/>
              <w:end w:w="100" w:type="dxa"/>
            </w:tcMar>
          </w:tcPr>
          <w:p>
            <w:pPr>
              <w:spacing w:after="0" w:line="240" w:lineRule="auto"/>
            </w:pPr>
            <w:r/>
            <w:r>
              <w:rPr>
                <w:rFonts w:ascii="Aptos" w:hAnsi="Aptos"/>
                <w:b w:val="0"/>
                <w:color w:val="282828"/>
                <w:sz w:val="15"/>
              </w:rPr>
              <w:t>Explicit suggestion</w:t>
            </w:r>
          </w:p>
        </w:tc>
      </w:tr>
      <w:tr>
        <w:trPr>
          <w:cantSplit/>
        </w:trPr>
        <w:tc>
          <w:tcPr>
            <w:tcW w:type="dxa" w:w="5184"/>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Define the cattle insurance product, premium, coverage, claims requirements and valuation protocol.</w:t>
            </w:r>
          </w:p>
        </w:tc>
        <w:tc>
          <w:tcPr>
            <w:tcW w:type="dxa" w:w="252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NICO and ministry</w:t>
            </w:r>
          </w:p>
        </w:tc>
        <w:tc>
          <w:tcPr>
            <w:tcW w:type="dxa" w:w="1512"/>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Before farmer marketing</w:t>
            </w:r>
          </w:p>
        </w:tc>
        <w:tc>
          <w:tcPr>
            <w:tcW w:type="dxa" w:w="172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Recommended</w:t>
            </w:r>
          </w:p>
        </w:tc>
      </w:tr>
      <w:tr>
        <w:trPr>
          <w:cantSplit/>
        </w:trPr>
        <w:tc>
          <w:tcPr>
            <w:tcW w:type="dxa" w:w="5184"/>
            <w:vAlign w:val="center"/>
            <w:tcMar>
              <w:top w:w="80" w:type="dxa"/>
              <w:start w:w="100" w:type="dxa"/>
              <w:bottom w:w="80" w:type="dxa"/>
              <w:end w:w="100" w:type="dxa"/>
            </w:tcMar>
          </w:tcPr>
          <w:p>
            <w:pPr>
              <w:spacing w:after="0" w:line="240" w:lineRule="auto"/>
            </w:pPr>
            <w:r/>
            <w:r>
              <w:rPr>
                <w:rFonts w:ascii="Aptos" w:hAnsi="Aptos"/>
                <w:b w:val="0"/>
                <w:color w:val="282828"/>
                <w:sz w:val="15"/>
              </w:rPr>
              <w:t>Strengthen animal identification and traceability for finance and market access.</w:t>
            </w:r>
          </w:p>
        </w:tc>
        <w:tc>
          <w:tcPr>
            <w:tcW w:type="dxa" w:w="2520"/>
            <w:vAlign w:val="center"/>
            <w:tcMar>
              <w:top w:w="80" w:type="dxa"/>
              <w:start w:w="100" w:type="dxa"/>
              <w:bottom w:w="80" w:type="dxa"/>
              <w:end w:w="100" w:type="dxa"/>
            </w:tcMar>
          </w:tcPr>
          <w:p>
            <w:pPr>
              <w:spacing w:after="0" w:line="240" w:lineRule="auto"/>
            </w:pPr>
            <w:r/>
            <w:r>
              <w:rPr>
                <w:rFonts w:ascii="Aptos" w:hAnsi="Aptos"/>
                <w:b w:val="0"/>
                <w:color w:val="282828"/>
                <w:sz w:val="15"/>
              </w:rPr>
              <w:t>Ministry, bank and insurer</w:t>
            </w:r>
          </w:p>
        </w:tc>
        <w:tc>
          <w:tcPr>
            <w:tcW w:type="dxa" w:w="1512"/>
            <w:vAlign w:val="center"/>
            <w:tcMar>
              <w:top w:w="80" w:type="dxa"/>
              <w:start w:w="100" w:type="dxa"/>
              <w:bottom w:w="80" w:type="dxa"/>
              <w:end w:w="100" w:type="dxa"/>
            </w:tcMar>
          </w:tcPr>
          <w:p>
            <w:pPr>
              <w:spacing w:after="0" w:line="240" w:lineRule="auto"/>
            </w:pPr>
            <w:r/>
            <w:r>
              <w:rPr>
                <w:rFonts w:ascii="Aptos" w:hAnsi="Aptos"/>
                <w:b w:val="0"/>
                <w:color w:val="282828"/>
                <w:sz w:val="15"/>
              </w:rPr>
              <w:t>Medium term</w:t>
            </w:r>
          </w:p>
        </w:tc>
        <w:tc>
          <w:tcPr>
            <w:tcW w:type="dxa" w:w="1728"/>
            <w:vAlign w:val="center"/>
            <w:tcMar>
              <w:top w:w="80" w:type="dxa"/>
              <w:start w:w="100" w:type="dxa"/>
              <w:bottom w:w="80" w:type="dxa"/>
              <w:end w:w="100" w:type="dxa"/>
            </w:tcMar>
          </w:tcPr>
          <w:p>
            <w:pPr>
              <w:spacing w:after="0" w:line="240" w:lineRule="auto"/>
            </w:pPr>
            <w:r/>
            <w:r>
              <w:rPr>
                <w:rFonts w:ascii="Aptos" w:hAnsi="Aptos"/>
                <w:b w:val="0"/>
                <w:color w:val="282828"/>
                <w:sz w:val="15"/>
              </w:rPr>
              <w:t>Ongoing public action</w:t>
            </w:r>
          </w:p>
        </w:tc>
      </w:tr>
      <w:tr>
        <w:trPr>
          <w:cantSplit/>
        </w:trPr>
        <w:tc>
          <w:tcPr>
            <w:tcW w:type="dxa" w:w="5184"/>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Map and obtain formal interest from abattoirs, butchers and other buyers.</w:t>
            </w:r>
          </w:p>
        </w:tc>
        <w:tc>
          <w:tcPr>
            <w:tcW w:type="dxa" w:w="252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COMACO, ministry and solution market lead</w:t>
            </w:r>
          </w:p>
        </w:tc>
        <w:tc>
          <w:tcPr>
            <w:tcW w:type="dxa" w:w="1512"/>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Before fattening loans</w:t>
            </w:r>
          </w:p>
        </w:tc>
        <w:tc>
          <w:tcPr>
            <w:tcW w:type="dxa" w:w="172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Recommended</w:t>
            </w:r>
          </w:p>
        </w:tc>
      </w:tr>
      <w:tr>
        <w:trPr>
          <w:cantSplit/>
        </w:trPr>
        <w:tc>
          <w:tcPr>
            <w:tcW w:type="dxa" w:w="5184"/>
            <w:vAlign w:val="center"/>
            <w:tcMar>
              <w:top w:w="80" w:type="dxa"/>
              <w:start w:w="100" w:type="dxa"/>
              <w:bottom w:w="80" w:type="dxa"/>
              <w:end w:w="100" w:type="dxa"/>
            </w:tcMar>
          </w:tcPr>
          <w:p>
            <w:pPr>
              <w:spacing w:after="0" w:line="240" w:lineRule="auto"/>
            </w:pPr>
            <w:r/>
            <w:r>
              <w:rPr>
                <w:rFonts w:ascii="Aptos" w:hAnsi="Aptos"/>
                <w:b w:val="0"/>
                <w:color w:val="282828"/>
                <w:sz w:val="15"/>
              </w:rPr>
              <w:t>Verify district extension staffing, transport, fuel, farmer coverage and livestock-specialist capacity.</w:t>
            </w:r>
          </w:p>
        </w:tc>
        <w:tc>
          <w:tcPr>
            <w:tcW w:type="dxa" w:w="2520"/>
            <w:vAlign w:val="center"/>
            <w:tcMar>
              <w:top w:w="80" w:type="dxa"/>
              <w:start w:w="100" w:type="dxa"/>
              <w:bottom w:w="80" w:type="dxa"/>
              <w:end w:w="100" w:type="dxa"/>
            </w:tcMar>
          </w:tcPr>
          <w:p>
            <w:pPr>
              <w:spacing w:after="0" w:line="240" w:lineRule="auto"/>
            </w:pPr>
            <w:r/>
            <w:r>
              <w:rPr>
                <w:rFonts w:ascii="Aptos" w:hAnsi="Aptos"/>
                <w:b w:val="0"/>
                <w:color w:val="282828"/>
                <w:sz w:val="15"/>
              </w:rPr>
              <w:t>Ministry and solution team</w:t>
            </w:r>
          </w:p>
        </w:tc>
        <w:tc>
          <w:tcPr>
            <w:tcW w:type="dxa" w:w="1512"/>
            <w:vAlign w:val="center"/>
            <w:tcMar>
              <w:top w:w="80" w:type="dxa"/>
              <w:start w:w="100" w:type="dxa"/>
              <w:bottom w:w="80" w:type="dxa"/>
              <w:end w:w="100" w:type="dxa"/>
            </w:tcMar>
          </w:tcPr>
          <w:p>
            <w:pPr>
              <w:spacing w:after="0" w:line="240" w:lineRule="auto"/>
            </w:pPr>
            <w:r/>
            <w:r>
              <w:rPr>
                <w:rFonts w:ascii="Aptos" w:hAnsi="Aptos"/>
                <w:b w:val="0"/>
                <w:color w:val="282828"/>
                <w:sz w:val="15"/>
              </w:rPr>
              <w:t>Before scale commitment</w:t>
            </w:r>
          </w:p>
        </w:tc>
        <w:tc>
          <w:tcPr>
            <w:tcW w:type="dxa" w:w="1728"/>
            <w:vAlign w:val="center"/>
            <w:tcMar>
              <w:top w:w="80" w:type="dxa"/>
              <w:start w:w="100" w:type="dxa"/>
              <w:bottom w:w="80" w:type="dxa"/>
              <w:end w:w="100" w:type="dxa"/>
            </w:tcMar>
          </w:tcPr>
          <w:p>
            <w:pPr>
              <w:spacing w:after="0" w:line="240" w:lineRule="auto"/>
            </w:pPr>
            <w:r/>
            <w:r>
              <w:rPr>
                <w:rFonts w:ascii="Aptos" w:hAnsi="Aptos"/>
                <w:b w:val="0"/>
                <w:color w:val="282828"/>
                <w:sz w:val="15"/>
              </w:rPr>
              <w:t>Recommended</w:t>
            </w:r>
          </w:p>
        </w:tc>
      </w:tr>
      <w:tr>
        <w:trPr>
          <w:cantSplit/>
        </w:trPr>
        <w:tc>
          <w:tcPr>
            <w:tcW w:type="dxa" w:w="5184"/>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Create pilot monitoring tools for technical, financial, market and inclusion outcomes.</w:t>
            </w:r>
          </w:p>
        </w:tc>
        <w:tc>
          <w:tcPr>
            <w:tcW w:type="dxa" w:w="252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MEL team and all pilot partners</w:t>
            </w:r>
          </w:p>
        </w:tc>
        <w:tc>
          <w:tcPr>
            <w:tcW w:type="dxa" w:w="1512"/>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Before pilot enrollment</w:t>
            </w:r>
          </w:p>
        </w:tc>
        <w:tc>
          <w:tcPr>
            <w:tcW w:type="dxa" w:w="172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Recommended</w:t>
            </w:r>
          </w:p>
        </w:tc>
      </w:tr>
      <w:tr>
        <w:trPr>
          <w:cantSplit/>
        </w:trPr>
        <w:tc>
          <w:tcPr>
            <w:tcW w:type="dxa" w:w="5184"/>
            <w:vAlign w:val="center"/>
            <w:tcMar>
              <w:top w:w="80" w:type="dxa"/>
              <w:start w:w="100" w:type="dxa"/>
              <w:bottom w:w="80" w:type="dxa"/>
              <w:end w:w="100" w:type="dxa"/>
            </w:tcMar>
          </w:tcPr>
          <w:p>
            <w:pPr>
              <w:spacing w:after="0" w:line="240" w:lineRule="auto"/>
            </w:pPr>
            <w:r/>
            <w:r>
              <w:rPr>
                <w:rFonts w:ascii="Aptos" w:hAnsi="Aptos"/>
                <w:b w:val="0"/>
                <w:color w:val="282828"/>
                <w:sz w:val="15"/>
              </w:rPr>
              <w:t>Verify all numerical statements used in the coaching report and scaling profile.</w:t>
            </w:r>
          </w:p>
        </w:tc>
        <w:tc>
          <w:tcPr>
            <w:tcW w:type="dxa" w:w="2520"/>
            <w:vAlign w:val="center"/>
            <w:tcMar>
              <w:top w:w="80" w:type="dxa"/>
              <w:start w:w="100" w:type="dxa"/>
              <w:bottom w:w="80" w:type="dxa"/>
              <w:end w:w="100" w:type="dxa"/>
            </w:tcMar>
          </w:tcPr>
          <w:p>
            <w:pPr>
              <w:spacing w:after="0" w:line="240" w:lineRule="auto"/>
            </w:pPr>
            <w:r/>
            <w:r>
              <w:rPr>
                <w:rFonts w:ascii="Aptos" w:hAnsi="Aptos"/>
                <w:b w:val="0"/>
                <w:color w:val="282828"/>
                <w:sz w:val="15"/>
              </w:rPr>
              <w:t>Solution team</w:t>
            </w:r>
          </w:p>
        </w:tc>
        <w:tc>
          <w:tcPr>
            <w:tcW w:type="dxa" w:w="1512"/>
            <w:vAlign w:val="center"/>
            <w:tcMar>
              <w:top w:w="80" w:type="dxa"/>
              <w:start w:w="100" w:type="dxa"/>
              <w:bottom w:w="80" w:type="dxa"/>
              <w:end w:w="100" w:type="dxa"/>
            </w:tcMar>
          </w:tcPr>
          <w:p>
            <w:pPr>
              <w:spacing w:after="0" w:line="240" w:lineRule="auto"/>
            </w:pPr>
            <w:r/>
            <w:r>
              <w:rPr>
                <w:rFonts w:ascii="Aptos" w:hAnsi="Aptos"/>
                <w:b w:val="0"/>
                <w:color w:val="282828"/>
                <w:sz w:val="15"/>
              </w:rPr>
              <w:t>Immediate</w:t>
            </w:r>
          </w:p>
        </w:tc>
        <w:tc>
          <w:tcPr>
            <w:tcW w:type="dxa" w:w="1728"/>
            <w:vAlign w:val="center"/>
            <w:tcMar>
              <w:top w:w="80" w:type="dxa"/>
              <w:start w:w="100" w:type="dxa"/>
              <w:bottom w:w="80" w:type="dxa"/>
              <w:end w:w="100" w:type="dxa"/>
            </w:tcMar>
          </w:tcPr>
          <w:p>
            <w:pPr>
              <w:spacing w:after="0" w:line="240" w:lineRule="auto"/>
            </w:pPr>
            <w:r/>
            <w:r>
              <w:rPr>
                <w:rFonts w:ascii="Aptos" w:hAnsi="Aptos"/>
                <w:b w:val="0"/>
                <w:color w:val="282828"/>
                <w:sz w:val="15"/>
              </w:rPr>
              <w:t>Required</w:t>
            </w:r>
          </w:p>
        </w:tc>
      </w:tr>
    </w:tbl>
    <w:p>
      <w:pPr>
        <w:spacing w:after="0"/>
      </w:pPr>
    </w:p>
    <w:p>
      <w:pPr>
        <w:pStyle w:val="Heading1"/>
        <w:keepNext/>
      </w:pPr>
      <w:r>
        <w:t>22. Outstanding questions and evidence gaps</w:t>
      </w:r>
    </w:p>
    <w:p>
      <w:pPr>
        <w:pStyle w:val="ListBullet"/>
        <w:spacing w:after="50"/>
        <w:ind w:left="317" w:hanging="202"/>
      </w:pPr>
      <w:r>
        <w:rPr>
          <w:rFonts w:ascii="Aptos" w:hAnsi="Aptos"/>
          <w:color w:val="282828"/>
          <w:sz w:val="20"/>
        </w:rPr>
        <w:t>Who is the primary adopter for the next scaling phase, and how many of that exact segment exist in the target districts?</w:t>
      </w:r>
    </w:p>
    <w:p>
      <w:pPr>
        <w:pStyle w:val="ListBullet"/>
        <w:spacing w:after="50"/>
        <w:ind w:left="317" w:hanging="202"/>
      </w:pPr>
      <w:r>
        <w:rPr>
          <w:rFonts w:ascii="Aptos" w:hAnsi="Aptos"/>
          <w:color w:val="282828"/>
          <w:sz w:val="20"/>
        </w:rPr>
        <w:t>What is the verified feed requirement and complete ration for each animal category and target weight gain?</w:t>
      </w:r>
    </w:p>
    <w:p>
      <w:pPr>
        <w:pStyle w:val="ListBullet"/>
        <w:spacing w:after="50"/>
        <w:ind w:left="317" w:hanging="202"/>
      </w:pPr>
      <w:r>
        <w:rPr>
          <w:rFonts w:ascii="Aptos" w:hAnsi="Aptos"/>
          <w:color w:val="282828"/>
          <w:sz w:val="20"/>
        </w:rPr>
        <w:t>How much forage and residue can typical farms produce without reducing food production or soil cover?</w:t>
      </w:r>
    </w:p>
    <w:p>
      <w:pPr>
        <w:pStyle w:val="ListBullet"/>
        <w:spacing w:after="50"/>
        <w:ind w:left="317" w:hanging="202"/>
      </w:pPr>
      <w:r>
        <w:rPr>
          <w:rFonts w:ascii="Aptos" w:hAnsi="Aptos"/>
          <w:color w:val="282828"/>
          <w:sz w:val="20"/>
        </w:rPr>
        <w:t>What are the yields, production risks and seed requirements for lablab, mucuna, Rhodes grass, lucerne and alternative forages?</w:t>
      </w:r>
    </w:p>
    <w:p>
      <w:pPr>
        <w:pStyle w:val="ListBullet"/>
        <w:spacing w:after="50"/>
        <w:ind w:left="317" w:hanging="202"/>
      </w:pPr>
      <w:r>
        <w:rPr>
          <w:rFonts w:ascii="Aptos" w:hAnsi="Aptos"/>
          <w:color w:val="282828"/>
          <w:sz w:val="20"/>
        </w:rPr>
        <w:t>Will farmers purchase forage seed repeatedly, and at what price, after free or subsidized programs end?</w:t>
      </w:r>
    </w:p>
    <w:p>
      <w:pPr>
        <w:pStyle w:val="ListBullet"/>
        <w:spacing w:after="50"/>
        <w:ind w:left="317" w:hanging="202"/>
      </w:pPr>
      <w:r>
        <w:rPr>
          <w:rFonts w:ascii="Aptos" w:hAnsi="Aptos"/>
          <w:color w:val="282828"/>
          <w:sz w:val="20"/>
        </w:rPr>
        <w:t>What staff, cash and commercial commitment will COMACO make, and which livestock-market model will it pursue?</w:t>
      </w:r>
    </w:p>
    <w:p>
      <w:pPr>
        <w:pStyle w:val="ListBullet"/>
        <w:spacing w:after="50"/>
        <w:ind w:left="317" w:hanging="202"/>
      </w:pPr>
      <w:r>
        <w:rPr>
          <w:rFonts w:ascii="Aptos" w:hAnsi="Aptos"/>
          <w:color w:val="282828"/>
          <w:sz w:val="20"/>
        </w:rPr>
        <w:t>Which abattoirs or buyers have confirmed demand, what quality do they require and what prices do they pay?</w:t>
      </w:r>
    </w:p>
    <w:p>
      <w:pPr>
        <w:pStyle w:val="ListBullet"/>
        <w:spacing w:after="50"/>
        <w:ind w:left="317" w:hanging="202"/>
      </w:pPr>
      <w:r>
        <w:rPr>
          <w:rFonts w:ascii="Aptos" w:hAnsi="Aptos"/>
          <w:color w:val="282828"/>
          <w:sz w:val="20"/>
        </w:rPr>
        <w:t>What are the complete costs and margins for live-cattle aggregation versus slaughter and meat marketing?</w:t>
      </w:r>
    </w:p>
    <w:p>
      <w:pPr>
        <w:pStyle w:val="ListBullet"/>
        <w:spacing w:after="50"/>
        <w:ind w:left="317" w:hanging="202"/>
      </w:pPr>
      <w:r>
        <w:rPr>
          <w:rFonts w:ascii="Aptos" w:hAnsi="Aptos"/>
          <w:color w:val="282828"/>
          <w:sz w:val="20"/>
        </w:rPr>
        <w:t>What machine throughput, fuel cost, utilization and service fee make the chopper-grinder profitable?</w:t>
      </w:r>
    </w:p>
    <w:p>
      <w:pPr>
        <w:pStyle w:val="ListBullet"/>
        <w:spacing w:after="50"/>
        <w:ind w:left="317" w:hanging="202"/>
      </w:pPr>
      <w:r>
        <w:rPr>
          <w:rFonts w:ascii="Aptos" w:hAnsi="Aptos"/>
          <w:color w:val="282828"/>
          <w:sz w:val="20"/>
        </w:rPr>
        <w:t>Which ownership model produces the highest utilization and best maintenance: individual, cooperative, service provider or anchor enterprise?</w:t>
      </w:r>
    </w:p>
    <w:p>
      <w:pPr>
        <w:pStyle w:val="ListBullet"/>
        <w:spacing w:after="50"/>
        <w:ind w:left="317" w:hanging="202"/>
      </w:pPr>
      <w:r>
        <w:rPr>
          <w:rFonts w:ascii="Aptos" w:hAnsi="Aptos"/>
          <w:color w:val="282828"/>
          <w:sz w:val="20"/>
        </w:rPr>
        <w:t>How many cooperatives meet minimum governance and financial-readiness standards?</w:t>
      </w:r>
    </w:p>
    <w:p>
      <w:pPr>
        <w:pStyle w:val="ListBullet"/>
        <w:spacing w:after="50"/>
        <w:ind w:left="317" w:hanging="202"/>
      </w:pPr>
      <w:r>
        <w:rPr>
          <w:rFonts w:ascii="Aptos" w:hAnsi="Aptos"/>
          <w:color w:val="282828"/>
          <w:sz w:val="20"/>
        </w:rPr>
        <w:t>Can the target farmers meet the bank’s fixed-asset and contribution requirements?</w:t>
      </w:r>
    </w:p>
    <w:p>
      <w:pPr>
        <w:pStyle w:val="ListBullet"/>
        <w:spacing w:after="50"/>
        <w:ind w:left="317" w:hanging="202"/>
      </w:pPr>
      <w:r>
        <w:rPr>
          <w:rFonts w:ascii="Aptos" w:hAnsi="Aptos"/>
          <w:color w:val="282828"/>
          <w:sz w:val="20"/>
        </w:rPr>
        <w:t>Does the subsidized bank product have a funding ceiling, and what happens if demand exceeds the allocation?</w:t>
      </w:r>
    </w:p>
    <w:p>
      <w:pPr>
        <w:pStyle w:val="ListBullet"/>
        <w:spacing w:after="50"/>
        <w:ind w:left="317" w:hanging="202"/>
      </w:pPr>
      <w:r>
        <w:rPr>
          <w:rFonts w:ascii="Aptos" w:hAnsi="Aptos"/>
          <w:color w:val="282828"/>
          <w:sz w:val="20"/>
        </w:rPr>
        <w:t>What risks are actually covered by the cattle insurance product, and how are drought and animal-care obligations treated?</w:t>
      </w:r>
    </w:p>
    <w:p>
      <w:pPr>
        <w:pStyle w:val="ListBullet"/>
        <w:spacing w:after="50"/>
        <w:ind w:left="317" w:hanging="202"/>
      </w:pPr>
      <w:r>
        <w:rPr>
          <w:rFonts w:ascii="Aptos" w:hAnsi="Aptos"/>
          <w:color w:val="282828"/>
          <w:sz w:val="20"/>
        </w:rPr>
        <w:t>What is the verified insurance premium, claim rejection experience and total time from loss to payment?</w:t>
      </w:r>
    </w:p>
    <w:p>
      <w:pPr>
        <w:pStyle w:val="ListBullet"/>
        <w:spacing w:after="50"/>
        <w:ind w:left="317" w:hanging="202"/>
      </w:pPr>
      <w:r>
        <w:rPr>
          <w:rFonts w:ascii="Aptos" w:hAnsi="Aptos"/>
          <w:color w:val="282828"/>
          <w:sz w:val="20"/>
        </w:rPr>
        <w:t>How will cattle ownership and value be legally established and updated?</w:t>
      </w:r>
    </w:p>
    <w:p>
      <w:pPr>
        <w:pStyle w:val="ListBullet"/>
        <w:spacing w:after="50"/>
        <w:ind w:left="317" w:hanging="202"/>
      </w:pPr>
      <w:r>
        <w:rPr>
          <w:rFonts w:ascii="Aptos" w:hAnsi="Aptos"/>
          <w:color w:val="282828"/>
          <w:sz w:val="20"/>
        </w:rPr>
        <w:t>What is the ministry’s actual capacity to deliver the expected extension, verification, animal-health and monitoring functions?</w:t>
      </w:r>
    </w:p>
    <w:p>
      <w:pPr>
        <w:pStyle w:val="ListBullet"/>
        <w:spacing w:after="50"/>
        <w:ind w:left="317" w:hanging="202"/>
      </w:pPr>
      <w:r>
        <w:rPr>
          <w:rFonts w:ascii="Aptos" w:hAnsi="Aptos"/>
          <w:color w:val="282828"/>
          <w:sz w:val="20"/>
        </w:rPr>
        <w:t>How will women, youth and smaller farmers access benefits when land, cattle and fixed assets are commonly controlled by men or larger farmers?</w:t>
      </w:r>
    </w:p>
    <w:p>
      <w:pPr>
        <w:pStyle w:val="ListBullet"/>
        <w:spacing w:after="50"/>
        <w:ind w:left="317" w:hanging="202"/>
      </w:pPr>
      <w:r>
        <w:rPr>
          <w:rFonts w:ascii="Aptos" w:hAnsi="Aptos"/>
          <w:color w:val="282828"/>
          <w:sz w:val="20"/>
        </w:rPr>
        <w:t>Which functions will continue without project funding, and which require an explicit long-term subsidy?</w:t>
      </w:r>
    </w:p>
    <w:p>
      <w:pPr>
        <w:pStyle w:val="Heading1"/>
        <w:keepNext/>
      </w:pPr>
      <w:r>
        <w:t>23. Overall assessment of the solution track</w:t>
      </w:r>
    </w:p>
    <w:p>
      <w:pPr/>
      <w:r>
        <w:rPr>
          <w:rFonts w:ascii="Aptos" w:hAnsi="Aptos"/>
          <w:color w:val="282828"/>
          <w:sz w:val="20"/>
        </w:rPr>
        <w:t>The Zambia forage-based livestock feed solution has assembled a relevant set of actors and is addressing a genuine constraint: poor dry-season nutrition and low commercialization of cattle. The field and partner discussions show that technical options, machinery suppliers, financiers, insurers, farmer organizations and public agencies can all be brought into one scaling conversation. This convening achievement is valuable.</w:t>
      </w:r>
    </w:p>
    <w:p>
      <w:pPr/>
      <w:r>
        <w:rPr>
          <w:rFonts w:ascii="Aptos" w:hAnsi="Aptos"/>
          <w:color w:val="282828"/>
          <w:sz w:val="20"/>
        </w:rPr>
        <w:t>The principal weakness is that the pathway still depends on assumptions at every transition: that farmers have enough biomass; that they will purchase seed; that cooperatives can manage equipment; that banks will lend to the target group; that insurers can provide affordable and trusted cover; that public officers can deliver the required services; and that formal buyers will pay enough to cover all costs. None of these assumptions should be treated as proven merely because a partner expressed willingness.</w:t>
      </w:r>
    </w:p>
    <w:p>
      <w:pPr/>
      <w:r>
        <w:rPr>
          <w:rFonts w:ascii="Aptos" w:hAnsi="Aptos"/>
          <w:color w:val="282828"/>
          <w:sz w:val="20"/>
        </w:rPr>
        <w:t>The solution is therefore best positioned as a focused transition-to-scale effort built around a small number of end-to-end commercial pilots. Success should be judged by complete and profitable fattening cycles, repeat purchases, reliable service utilization, formal sales, loan performance, partner investment and inclusion outcomes. Once those results are demonstrated, the track will have a credible basis for broader scaling through cooperatives, service providers, anchor enterprises and public programs.</w:t>
      </w:r>
    </w:p>
    <w:tbl>
      <w:tblPr>
        <w:tblW w:type="auto" w:w="0"/>
        <w:jc w:val="center"/>
        <w:tblLook w:firstColumn="1" w:firstRow="1" w:lastColumn="0" w:lastRow="0" w:noHBand="0" w:noVBand="1" w:val="04A0"/>
      </w:tblPr>
      <w:tblGrid>
        <w:gridCol w:w="9994"/>
      </w:tblGrid>
      <w:tr>
        <w:trPr>
          <w:cantSplit/>
        </w:trPr>
        <w:tc>
          <w:tcPr>
            <w:tcW w:type="dxa" w:w="9994"/>
            <w:shd w:fill="E2F0D9"/>
            <w:tcMar>
              <w:top w:w="160" w:type="dxa"/>
              <w:start w:w="180" w:type="dxa"/>
              <w:bottom w:w="150" w:type="dxa"/>
              <w:end w:w="180" w:type="dxa"/>
            </w:tcMar>
          </w:tcPr>
          <w:p>
            <w:pPr>
              <w:spacing w:after="80"/>
            </w:pPr>
            <w:r>
              <w:rPr>
                <w:rFonts w:ascii="Aptos Display" w:hAnsi="Aptos Display"/>
                <w:b/>
                <w:color w:val="1F374E"/>
                <w:sz w:val="22"/>
              </w:rPr>
              <w:t>Bottom line</w:t>
            </w:r>
          </w:p>
          <w:p>
            <w:pPr>
              <w:spacing w:after="0" w:line="259" w:lineRule="auto"/>
            </w:pPr>
            <w:r>
              <w:rPr>
                <w:rFonts w:ascii="Aptos" w:hAnsi="Aptos"/>
                <w:color w:val="282828"/>
                <w:sz w:val="19"/>
              </w:rPr>
              <w:t>The next phase should narrow the package, validate the feed and business economics, select capable operators, secure buyers, and test a complete finance-and-service pathway. Scale should follow evidence of profitable repeat behavior, not precede it.</w:t>
            </w:r>
          </w:p>
        </w:tc>
      </w:tr>
    </w:tbl>
    <w:p>
      <w:pPr>
        <w:spacing w:after="0"/>
      </w:pPr>
    </w:p>
    <w:p>
      <w:pPr>
        <w:pStyle w:val="Heading1"/>
        <w:keepNext/>
      </w:pPr>
      <w:r>
        <w:t>Annex A. Key figures mentioned in the sessions</w:t>
      </w:r>
    </w:p>
    <w:p>
      <w:pPr/>
      <w:r>
        <w:rPr>
          <w:rFonts w:ascii="Aptos" w:hAnsi="Aptos"/>
          <w:color w:val="282828"/>
          <w:sz w:val="20"/>
        </w:rPr>
        <w:t>All figures below were stated or inferred during a noisy automated transcript and should be verified against partner records before external use.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vAlign w:val="center"/>
            <w:tcMar>
              <w:top w:w="80" w:type="dxa"/>
              <w:start w:w="100" w:type="dxa"/>
              <w:bottom w:w="80" w:type="dxa"/>
              <w:end w:w="100" w:type="dxa"/>
            </w:tcMar>
            <w:shd w:fill="1F374E"/>
          </w:tcPr>
          <w:p>
            <w:pPr>
              <w:spacing w:after="0" w:line="240" w:lineRule="auto"/>
            </w:pPr>
            <w:r/>
            <w:r>
              <w:rPr>
                <w:rFonts w:ascii="Aptos" w:hAnsi="Aptos"/>
                <w:b/>
                <w:color w:val="FFFFFF"/>
                <w:sz w:val="18"/>
              </w:rPr>
              <w:t>Item</w:t>
            </w:r>
          </w:p>
        </w:tc>
        <w:tc>
          <w:tcPr>
            <w:tcW w:type="dxa" w:w="3096"/>
            <w:vAlign w:val="center"/>
            <w:tcMar>
              <w:top w:w="80" w:type="dxa"/>
              <w:start w:w="100" w:type="dxa"/>
              <w:bottom w:w="80" w:type="dxa"/>
              <w:end w:w="100" w:type="dxa"/>
            </w:tcMar>
            <w:shd w:fill="1F374E"/>
          </w:tcPr>
          <w:p>
            <w:pPr>
              <w:spacing w:after="0" w:line="240" w:lineRule="auto"/>
            </w:pPr>
            <w:r/>
            <w:r>
              <w:rPr>
                <w:rFonts w:ascii="Aptos" w:hAnsi="Aptos"/>
                <w:b/>
                <w:color w:val="FFFFFF"/>
                <w:sz w:val="18"/>
              </w:rPr>
              <w:t>Figure stated</w:t>
            </w:r>
          </w:p>
        </w:tc>
        <w:tc>
          <w:tcPr>
            <w:tcW w:type="dxa" w:w="5400"/>
            <w:vAlign w:val="center"/>
            <w:tcMar>
              <w:top w:w="80" w:type="dxa"/>
              <w:start w:w="100" w:type="dxa"/>
              <w:bottom w:w="80" w:type="dxa"/>
              <w:end w:w="100" w:type="dxa"/>
            </w:tcMar>
            <w:shd w:fill="1F374E"/>
          </w:tcPr>
          <w:p>
            <w:pPr>
              <w:spacing w:after="0" w:line="240" w:lineRule="auto"/>
            </w:pPr>
            <w:r/>
            <w:r>
              <w:rPr>
                <w:rFonts w:ascii="Aptos" w:hAnsi="Aptos"/>
                <w:b/>
                <w:color w:val="FFFFFF"/>
                <w:sz w:val="18"/>
              </w:rPr>
              <w:t>Qualification</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Recording duration</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39m 8s; 2h 32m 22s; 17m 1s</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Approximately 3h 28m 31s combined.</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COMACO women members</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Approximately 70 percent</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Reported estimate; denominator not stated.</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COMACO/farmer network reach</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References to as many as 200,000 farmers and an average cooperative of about 500</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Highly uncertain; verify.</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Target cooperatives</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Approximately 63</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Mentioned during machinery discussion.</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Focused supplementation training</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Approximately 27 people</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Reported by private livestock-services partner since November.</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Forage seed buyers</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Three farmers</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Reported recent-season buyers of Rhodes grass/lucerne.</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Fattening inquiries</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Approximately three individuals</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Early commercial interest.</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Medium livestock clients</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Approximately 70-100 cattle</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How the private partner informally defined medium farmers.</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Machinery customer farm size</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Approximately 15-25 hectares</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Reported typical CAMCO customer range in Eastern Province.</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Individual machinery buyers</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Approximately 75 percent</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Remaining demand attributed to cooperatives or public procurement.</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Small chopper price</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Approximately K16,000 electric; K17,000 diesel</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Exact model and specification require confirmation.</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New machine lead time</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Two to three months</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After order confirmation.</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Initial new-machine order</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Two project units; supplier minimum order of four</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Supplier intended to market additional units.</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Warranty</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Six months for small units; one year or 1,000 hours for some larger equipment</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Reported supplier practice.</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Bank interest</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Approximately 16.25 percent</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Reported as central-bank rate plus three points; verify current terms.</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Loan tenor</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Maximum three years</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Flexible repayment and possible grace period.</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Borrower margin</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Approximately 15 percent</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Mentioned for some cases; verify.</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Machinery loans in province</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Approximately 100</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Rough partner estimate across machinery types.</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Cattle-fattening loans</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None completed; one in pipeline</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Branch-level statement.</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Agriculture share of insurer portfolio</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Below five percent</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Reported estimate.</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Livestock insurance sales</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One sheep client; no completed cattle policy in Eastern Province</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Cattle prospects under discussion.</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Indicative cattle premium</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Approximately 4.5 percent</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Earlier transcript reference was unclear; verify.</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Crop-insurance clients and claims</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Approximately 15 clients and four claims</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Time period unclear.</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Claim review after complete documents</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Approximately two to three days</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Excludes time needed to gather documents.</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District extension capacity</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Nine field officers and one livestock specialist</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Cited in coaching; government representative disputed the interpretation.</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Eastern Province cattle population</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Approximately one million before drought, falling to about 600,000; aspiration around 1.5 million</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Reported estimates requiring official verification.</w:t>
            </w:r>
          </w:p>
        </w:tc>
      </w:tr>
      <w:tr>
        <w:trPr>
          <w:cantSplit/>
        </w:trPr>
        <w:tc>
          <w:tcPr>
            <w:tcW w:type="dxa" w:w="2448"/>
            <w:vAlign w:val="center"/>
            <w:tcMar>
              <w:top w:w="80" w:type="dxa"/>
              <w:start w:w="100" w:type="dxa"/>
              <w:bottom w:w="80" w:type="dxa"/>
              <w:end w:w="100" w:type="dxa"/>
            </w:tcMar>
          </w:tcPr>
          <w:p>
            <w:pPr>
              <w:spacing w:after="0" w:line="240" w:lineRule="auto"/>
            </w:pPr>
            <w:r/>
            <w:r>
              <w:rPr>
                <w:rFonts w:ascii="Aptos" w:hAnsi="Aptos"/>
                <w:b w:val="0"/>
                <w:color w:val="282828"/>
                <w:sz w:val="15"/>
              </w:rPr>
              <w:t>Feed planning assumption</w:t>
            </w:r>
          </w:p>
        </w:tc>
        <w:tc>
          <w:tcPr>
            <w:tcW w:type="dxa" w:w="3096"/>
            <w:vAlign w:val="center"/>
            <w:tcMar>
              <w:top w:w="80" w:type="dxa"/>
              <w:start w:w="100" w:type="dxa"/>
              <w:bottom w:w="80" w:type="dxa"/>
              <w:end w:w="100" w:type="dxa"/>
            </w:tcMar>
          </w:tcPr>
          <w:p>
            <w:pPr>
              <w:spacing w:after="0" w:line="240" w:lineRule="auto"/>
            </w:pPr>
            <w:r/>
            <w:r>
              <w:rPr>
                <w:rFonts w:ascii="Aptos" w:hAnsi="Aptos"/>
                <w:b w:val="0"/>
                <w:color w:val="282828"/>
                <w:sz w:val="15"/>
              </w:rPr>
              <w:t>Roughly one tonne per animal over 90 days in one discussion</w:t>
            </w:r>
          </w:p>
        </w:tc>
        <w:tc>
          <w:tcPr>
            <w:tcW w:type="dxa" w:w="5400"/>
            <w:vAlign w:val="center"/>
            <w:tcMar>
              <w:top w:w="80" w:type="dxa"/>
              <w:start w:w="100" w:type="dxa"/>
              <w:bottom w:w="80" w:type="dxa"/>
              <w:end w:w="100" w:type="dxa"/>
            </w:tcMar>
          </w:tcPr>
          <w:p>
            <w:pPr>
              <w:spacing w:after="0" w:line="240" w:lineRule="auto"/>
            </w:pPr>
            <w:r/>
            <w:r>
              <w:rPr>
                <w:rFonts w:ascii="Aptos" w:hAnsi="Aptos"/>
                <w:b w:val="0"/>
                <w:color w:val="282828"/>
                <w:sz w:val="15"/>
              </w:rPr>
              <w:t>Not a validated ration; use only as a prompt for analysis.</w:t>
            </w:r>
          </w:p>
        </w:tc>
      </w:tr>
      <w:tr>
        <w:trPr>
          <w:cantSplit/>
        </w:trPr>
        <w:tc>
          <w:tcPr>
            <w:tcW w:type="dxa" w:w="2448"/>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Average groundnut plot</w:t>
            </w:r>
          </w:p>
        </w:tc>
        <w:tc>
          <w:tcPr>
            <w:tcW w:type="dxa" w:w="3096"/>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About 50m by 50m, approximately 0.25 ha</w:t>
            </w:r>
          </w:p>
        </w:tc>
        <w:tc>
          <w:tcPr>
            <w:tcW w:type="dxa" w:w="5400"/>
            <w:vAlign w:val="center"/>
            <w:tcMar>
              <w:top w:w="80" w:type="dxa"/>
              <w:start w:w="100" w:type="dxa"/>
              <w:bottom w:w="80" w:type="dxa"/>
              <w:end w:w="100" w:type="dxa"/>
            </w:tcMar>
            <w:shd w:fill="F8FAFB"/>
          </w:tcPr>
          <w:p>
            <w:pPr>
              <w:spacing w:after="0" w:line="240" w:lineRule="auto"/>
            </w:pPr>
            <w:r/>
            <w:r>
              <w:rPr>
                <w:rFonts w:ascii="Aptos" w:hAnsi="Aptos"/>
                <w:b w:val="0"/>
                <w:color w:val="282828"/>
                <w:sz w:val="15"/>
              </w:rPr>
              <w:t>Informal estimate used during feed-balance discussion.</w:t>
            </w:r>
          </w:p>
        </w:tc>
      </w:tr>
    </w:tbl>
    <w:p>
      <w:pPr>
        <w:spacing w:after="0"/>
      </w:pPr>
    </w:p>
    <w:p>
      <w:pPr>
        <w:pStyle w:val="Heading1"/>
        <w:keepNext/>
      </w:pPr>
      <w:r>
        <w:t>Annex B. Selected coaching messages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384"/>
            <w:vAlign w:val="center"/>
            <w:tcMar>
              <w:top w:w="80" w:type="dxa"/>
              <w:start w:w="100" w:type="dxa"/>
              <w:bottom w:w="80" w:type="dxa"/>
              <w:end w:w="100" w:type="dxa"/>
            </w:tcMar>
            <w:shd w:fill="1F374E"/>
          </w:tcPr>
          <w:p>
            <w:pPr>
              <w:spacing w:after="0" w:line="240" w:lineRule="auto"/>
            </w:pPr>
            <w:r/>
            <w:r>
              <w:rPr>
                <w:rFonts w:ascii="Aptos" w:hAnsi="Aptos"/>
                <w:b/>
                <w:color w:val="FFFFFF"/>
                <w:sz w:val="18"/>
              </w:rPr>
              <w:t>Message</w:t>
            </w:r>
          </w:p>
        </w:tc>
        <w:tc>
          <w:tcPr>
            <w:tcW w:type="dxa" w:w="7560"/>
            <w:vAlign w:val="center"/>
            <w:tcMar>
              <w:top w:w="80" w:type="dxa"/>
              <w:start w:w="100" w:type="dxa"/>
              <w:bottom w:w="80" w:type="dxa"/>
              <w:end w:w="100" w:type="dxa"/>
            </w:tcMar>
            <w:shd w:fill="1F374E"/>
          </w:tcPr>
          <w:p>
            <w:pPr>
              <w:spacing w:after="0" w:line="240" w:lineRule="auto"/>
            </w:pPr>
            <w:r/>
            <w:r>
              <w:rPr>
                <w:rFonts w:ascii="Aptos" w:hAnsi="Aptos"/>
                <w:b/>
                <w:color w:val="FFFFFF"/>
                <w:sz w:val="18"/>
              </w:rPr>
              <w:t>Meaning for the track</w:t>
            </w:r>
          </w:p>
        </w:tc>
      </w:tr>
      <w:tr>
        <w:trPr>
          <w:cantSplit/>
        </w:trPr>
        <w:tc>
          <w:tcPr>
            <w:tcW w:type="dxa" w:w="3384"/>
            <w:vAlign w:val="center"/>
            <w:tcMar>
              <w:top w:w="80" w:type="dxa"/>
              <w:start w:w="100" w:type="dxa"/>
              <w:bottom w:w="80" w:type="dxa"/>
              <w:end w:w="100" w:type="dxa"/>
            </w:tcMar>
          </w:tcPr>
          <w:p>
            <w:pPr>
              <w:spacing w:after="0" w:line="240" w:lineRule="auto"/>
            </w:pPr>
            <w:r/>
            <w:r>
              <w:rPr>
                <w:rFonts w:ascii="Aptos" w:hAnsi="Aptos"/>
                <w:b w:val="0"/>
                <w:color w:val="282828"/>
                <w:sz w:val="17"/>
              </w:rPr>
              <w:t>“There has to be a business case.”</w:t>
            </w:r>
          </w:p>
        </w:tc>
        <w:tc>
          <w:tcPr>
            <w:tcW w:type="dxa" w:w="7560"/>
            <w:vAlign w:val="center"/>
            <w:tcMar>
              <w:top w:w="80" w:type="dxa"/>
              <w:start w:w="100" w:type="dxa"/>
              <w:bottom w:w="80" w:type="dxa"/>
              <w:end w:w="100" w:type="dxa"/>
            </w:tcMar>
          </w:tcPr>
          <w:p>
            <w:pPr>
              <w:spacing w:after="0" w:line="240" w:lineRule="auto"/>
            </w:pPr>
            <w:r/>
            <w:r>
              <w:rPr>
                <w:rFonts w:ascii="Aptos" w:hAnsi="Aptos"/>
                <w:b w:val="0"/>
                <w:color w:val="282828"/>
                <w:sz w:val="17"/>
              </w:rPr>
              <w:t>Technical value and political priority are insufficient unless farmers, suppliers, financiers and buyers can make money at acceptable risk.</w:t>
            </w:r>
          </w:p>
        </w:tc>
      </w:tr>
      <w:tr>
        <w:trPr>
          <w:cantSplit/>
        </w:trPr>
        <w:tc>
          <w:tcPr>
            <w:tcW w:type="dxa" w:w="3384"/>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“Relying on neighbors is not a long-term solution.”</w:t>
            </w:r>
          </w:p>
        </w:tc>
        <w:tc>
          <w:tcPr>
            <w:tcW w:type="dxa" w:w="756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Surplus crop residues may disappear as adoption grows; feed availability must be calculated at scale.</w:t>
            </w:r>
          </w:p>
        </w:tc>
      </w:tr>
      <w:tr>
        <w:trPr>
          <w:cantSplit/>
        </w:trPr>
        <w:tc>
          <w:tcPr>
            <w:tcW w:type="dxa" w:w="3384"/>
            <w:vAlign w:val="center"/>
            <w:tcMar>
              <w:top w:w="80" w:type="dxa"/>
              <w:start w:w="100" w:type="dxa"/>
              <w:bottom w:w="80" w:type="dxa"/>
              <w:end w:w="100" w:type="dxa"/>
            </w:tcMar>
          </w:tcPr>
          <w:p>
            <w:pPr>
              <w:spacing w:after="0" w:line="240" w:lineRule="auto"/>
            </w:pPr>
            <w:r/>
            <w:r>
              <w:rPr>
                <w:rFonts w:ascii="Aptos" w:hAnsi="Aptos"/>
                <w:b w:val="0"/>
                <w:color w:val="282828"/>
                <w:sz w:val="17"/>
              </w:rPr>
              <w:t>“The project should be very clear about what partners need.”</w:t>
            </w:r>
          </w:p>
        </w:tc>
        <w:tc>
          <w:tcPr>
            <w:tcW w:type="dxa" w:w="7560"/>
            <w:vAlign w:val="center"/>
            <w:tcMar>
              <w:top w:w="80" w:type="dxa"/>
              <w:start w:w="100" w:type="dxa"/>
              <w:bottom w:w="80" w:type="dxa"/>
              <w:end w:w="100" w:type="dxa"/>
            </w:tcMar>
          </w:tcPr>
          <w:p>
            <w:pPr>
              <w:spacing w:after="0" w:line="240" w:lineRule="auto"/>
            </w:pPr>
            <w:r/>
            <w:r>
              <w:rPr>
                <w:rFonts w:ascii="Aptos" w:hAnsi="Aptos"/>
                <w:b w:val="0"/>
                <w:color w:val="282828"/>
                <w:sz w:val="17"/>
              </w:rPr>
              <w:t>Private partners should define the conditions under which they will invest and continue without project funding.</w:t>
            </w:r>
          </w:p>
        </w:tc>
      </w:tr>
      <w:tr>
        <w:trPr>
          <w:cantSplit/>
        </w:trPr>
        <w:tc>
          <w:tcPr>
            <w:tcW w:type="dxa" w:w="3384"/>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“A formal offtaker contract matters.”</w:t>
            </w:r>
          </w:p>
        </w:tc>
        <w:tc>
          <w:tcPr>
            <w:tcW w:type="dxa" w:w="756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Banks are more willing to finance capable cooperatives and farmers when the market is documented and risk is shared.</w:t>
            </w:r>
          </w:p>
        </w:tc>
      </w:tr>
      <w:tr>
        <w:trPr>
          <w:cantSplit/>
        </w:trPr>
        <w:tc>
          <w:tcPr>
            <w:tcW w:type="dxa" w:w="3384"/>
            <w:vAlign w:val="center"/>
            <w:tcMar>
              <w:top w:w="80" w:type="dxa"/>
              <w:start w:w="100" w:type="dxa"/>
              <w:bottom w:w="80" w:type="dxa"/>
              <w:end w:w="100" w:type="dxa"/>
            </w:tcMar>
          </w:tcPr>
          <w:p>
            <w:pPr>
              <w:spacing w:after="0" w:line="240" w:lineRule="auto"/>
            </w:pPr>
            <w:r/>
            <w:r>
              <w:rPr>
                <w:rFonts w:ascii="Aptos" w:hAnsi="Aptos"/>
                <w:b w:val="0"/>
                <w:color w:val="282828"/>
                <w:sz w:val="17"/>
              </w:rPr>
              <w:t>“Training is not enough.”</w:t>
            </w:r>
          </w:p>
        </w:tc>
        <w:tc>
          <w:tcPr>
            <w:tcW w:type="dxa" w:w="7560"/>
            <w:vAlign w:val="center"/>
            <w:tcMar>
              <w:top w:w="80" w:type="dxa"/>
              <w:start w:w="100" w:type="dxa"/>
              <w:bottom w:w="80" w:type="dxa"/>
              <w:end w:w="100" w:type="dxa"/>
            </w:tcMar>
          </w:tcPr>
          <w:p>
            <w:pPr>
              <w:spacing w:after="0" w:line="240" w:lineRule="auto"/>
            </w:pPr>
            <w:r/>
            <w:r>
              <w:rPr>
                <w:rFonts w:ascii="Aptos" w:hAnsi="Aptos"/>
                <w:b w:val="0"/>
                <w:color w:val="282828"/>
                <w:sz w:val="17"/>
              </w:rPr>
              <w:t>Awareness, attendance and technical knowledge must be linked to purchase, adoption, performance and profitable repeat behavior.</w:t>
            </w:r>
          </w:p>
        </w:tc>
      </w:tr>
      <w:tr>
        <w:trPr>
          <w:cantSplit/>
        </w:trPr>
        <w:tc>
          <w:tcPr>
            <w:tcW w:type="dxa" w:w="3384"/>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“Cooperative quality varies.”</w:t>
            </w:r>
          </w:p>
        </w:tc>
        <w:tc>
          <w:tcPr>
            <w:tcW w:type="dxa" w:w="756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Legal registration does not guarantee governance, financial discipline or capacity to manage debt and shared machinery.</w:t>
            </w:r>
          </w:p>
        </w:tc>
      </w:tr>
      <w:tr>
        <w:trPr>
          <w:cantSplit/>
        </w:trPr>
        <w:tc>
          <w:tcPr>
            <w:tcW w:type="dxa" w:w="3384"/>
            <w:vAlign w:val="center"/>
            <w:tcMar>
              <w:top w:w="80" w:type="dxa"/>
              <w:start w:w="100" w:type="dxa"/>
              <w:bottom w:w="80" w:type="dxa"/>
              <w:end w:w="100" w:type="dxa"/>
            </w:tcMar>
          </w:tcPr>
          <w:p>
            <w:pPr>
              <w:spacing w:after="0" w:line="240" w:lineRule="auto"/>
            </w:pPr>
            <w:r/>
            <w:r>
              <w:rPr>
                <w:rFonts w:ascii="Aptos" w:hAnsi="Aptos"/>
                <w:b w:val="0"/>
                <w:color w:val="282828"/>
                <w:sz w:val="17"/>
              </w:rPr>
              <w:t>“Risk matters as much as return.”</w:t>
            </w:r>
          </w:p>
        </w:tc>
        <w:tc>
          <w:tcPr>
            <w:tcW w:type="dxa" w:w="7560"/>
            <w:vAlign w:val="center"/>
            <w:tcMar>
              <w:top w:w="80" w:type="dxa"/>
              <w:start w:w="100" w:type="dxa"/>
              <w:bottom w:w="80" w:type="dxa"/>
              <w:end w:w="100" w:type="dxa"/>
            </w:tcMar>
          </w:tcPr>
          <w:p>
            <w:pPr>
              <w:spacing w:after="0" w:line="240" w:lineRule="auto"/>
            </w:pPr>
            <w:r/>
            <w:r>
              <w:rPr>
                <w:rFonts w:ascii="Aptos" w:hAnsi="Aptos"/>
                <w:b w:val="0"/>
                <w:color w:val="282828"/>
                <w:sz w:val="17"/>
              </w:rPr>
              <w:t>Small farmers may reject a profitable average outcome if the downside could threaten food security or household assets.</w:t>
            </w:r>
          </w:p>
        </w:tc>
      </w:tr>
      <w:tr>
        <w:trPr>
          <w:cantSplit/>
        </w:trPr>
        <w:tc>
          <w:tcPr>
            <w:tcW w:type="dxa" w:w="3384"/>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“Government capacity must be tested, not assumed.”</w:t>
            </w:r>
          </w:p>
        </w:tc>
        <w:tc>
          <w:tcPr>
            <w:tcW w:type="dxa" w:w="7560"/>
            <w:vAlign w:val="center"/>
            <w:tcMar>
              <w:top w:w="80" w:type="dxa"/>
              <w:start w:w="100" w:type="dxa"/>
              <w:bottom w:w="80" w:type="dxa"/>
              <w:end w:w="100" w:type="dxa"/>
            </w:tcMar>
            <w:shd w:fill="F8FAFB"/>
          </w:tcPr>
          <w:p>
            <w:pPr>
              <w:spacing w:after="0" w:line="240" w:lineRule="auto"/>
            </w:pPr>
            <w:r/>
            <w:r>
              <w:rPr>
                <w:rFonts w:ascii="Aptos" w:hAnsi="Aptos"/>
                <w:b w:val="0"/>
                <w:color w:val="282828"/>
                <w:sz w:val="17"/>
              </w:rPr>
              <w:t>The model depends on extension, verification and animal-health services whose staffing and operating resources need evidence.</w:t>
            </w:r>
          </w:p>
        </w:tc>
      </w:tr>
    </w:tbl>
    <w:p>
      <w:pPr>
        <w:spacing w:after="0"/>
      </w:pPr>
    </w:p>
    <w:sectPr w:rsidR="00FC693F" w:rsidRPr="0006063C" w:rsidSect="00034616">
      <w:footerReference w:type="default" r:id="rId9"/>
      <w:pgSz w:w="12240" w:h="15840"/>
      <w:pgMar w:top="1037" w:right="1123" w:bottom="979"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374E"/>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66F7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F374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82828"/>
      <w:sz w:val="20"/>
    </w:rPr>
  </w:style>
  <w:style w:type="paragraph" w:styleId="ListBullet2">
    <w:name w:val="List Bullet 2"/>
    <w:basedOn w:val="Normal"/>
    <w:uiPriority w:val="99"/>
    <w:unhideWhenUsed/>
    <w:rsid w:val="00326F90"/>
    <w:pPr>
      <w:numPr>
        <w:numId w:val="2"/>
      </w:numPr>
      <w:contextualSpacing/>
    </w:pPr>
    <w:rPr>
      <w:rFonts w:ascii="Aptos" w:hAnsi="Aptos"/>
      <w:color w:val="282828"/>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20" w:line="269" w:lineRule="auto"/>
    </w:pPr>
    <w:rPr>
      <w:rFonts w:ascii="Aptos" w:hAnsi="Aptos"/>
      <w:color w:val="1F374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Forage-Based Livestock Feed Innovation - Zambia Partner Coaching Notes</dc:title>
  <dc:subject>Comprehensive thematic notes from partner engagement and coaching discussions</dc:subject>
  <dc:creator>Scaling for Impact</dc:creator>
  <cp:keywords>forage, livestock feed, Zambia, coaching, scaling, machinery, finance, insurance, cooperatives</cp:keywords>
  <dc:description>generated by python-docx</dc:description>
  <cp:lastModifiedBy/>
  <cp:revision>1</cp:revision>
  <dcterms:created xsi:type="dcterms:W3CDTF">2013-12-23T23:15:00Z</dcterms:created>
  <dcterms:modified xsi:type="dcterms:W3CDTF">2013-12-23T23:15:00Z</dcterms:modified>
  <cp:category/>
</cp:coreProperties>
</file>