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446C" w14:textId="77777777" w:rsidR="00050067" w:rsidRDefault="002D6B61">
      <w:pPr>
        <w:pStyle w:val="Title"/>
        <w:jc w:val="center"/>
      </w:pPr>
      <w:r>
        <w:t>Zambia Inclusive Mechanization / Rural Entrepreneurship Solution Track</w:t>
      </w:r>
    </w:p>
    <w:p w14:paraId="5D563277" w14:textId="22FDC63D" w:rsidR="00050067" w:rsidRDefault="002D6B61">
      <w:pPr>
        <w:spacing w:after="80" w:line="252" w:lineRule="auto"/>
      </w:pPr>
      <w:r>
        <w:t>Comprehensive transcript-based notes from partner discussions, field visits, finance discussions, internal S4I reflections, and the coaching session with CIMMYT, ABC and IWMI.</w:t>
      </w:r>
      <w:r w:rsidR="0079468B">
        <w:t xml:space="preserve"> </w:t>
      </w:r>
      <w:r>
        <w:t xml:space="preserve">Prepared as working notes for the Scaling for Impact coaching summary. </w:t>
      </w:r>
    </w:p>
    <w:p w14:paraId="4EDAEBCD" w14:textId="77777777" w:rsidR="00050067" w:rsidRDefault="002D6B61">
      <w:pPr>
        <w:pStyle w:val="Heading1"/>
      </w:pPr>
      <w:r>
        <w:t xml:space="preserve">1. Overall </w:t>
      </w:r>
      <w:proofErr w:type="gramStart"/>
      <w:r>
        <w:t>framing</w:t>
      </w:r>
      <w:proofErr w:type="gramEnd"/>
      <w:r>
        <w:t xml:space="preserve"> of the solution track</w:t>
      </w:r>
    </w:p>
    <w:p w14:paraId="3F94F8E1" w14:textId="77777777" w:rsidR="00050067" w:rsidRDefault="002D6B61">
      <w:pPr>
        <w:spacing w:after="80" w:line="252" w:lineRule="auto"/>
      </w:pPr>
      <w:r>
        <w:t xml:space="preserve">The solution track is built around scaling access to smallholder-appropriate mechanization through rural entrepreneurs or mechanization service providers (MSPs/SPs). The core proposition is that some farmers or farmer groups can acquire relatively low-cost machinery and sell services to other farmers who cannot afford to buy machines themselves. The discussions focused mainly on maize shellers, basin diggers, groundnut/peanut processing machines, chopper-grinders, two-wheel tractor attachments, and related </w:t>
      </w:r>
      <w:r>
        <w:t>postharvest or land preparation equipment.</w:t>
      </w:r>
    </w:p>
    <w:p w14:paraId="511CAEAC" w14:textId="77777777" w:rsidR="00050067" w:rsidRDefault="002D6B61">
      <w:pPr>
        <w:spacing w:after="80" w:line="252" w:lineRule="auto"/>
      </w:pPr>
      <w:r>
        <w:t>Across the field discussions, the strongest evidence of demand was around postharvest services, especially maize shelling. Farmers clearly understood the benefits: faster shelling, lower labor requirements, lower cost per bag than manual shelling, lower grain loss, easier sorting/winnowing, and faster access to cash after harvest. There was also interest in groundnut processing, peanut butter/value addition, transport services, ripping, land smoothing, planting services, and possibly basin digging. The busi</w:t>
      </w:r>
      <w:r>
        <w:t>ness case for maize shelling appeared strongest and most immediate. The business case for basin diggers was promising but less proven, because the machines are newer in the Zambian context and still need to be tested through actual purchase, use, and paid service provision.</w:t>
      </w:r>
    </w:p>
    <w:p w14:paraId="5465DBA4" w14:textId="77777777" w:rsidR="00050067" w:rsidRDefault="002D6B61">
      <w:pPr>
        <w:spacing w:after="80" w:line="252" w:lineRule="auto"/>
      </w:pPr>
      <w:r>
        <w:t>The main issue is not whether mechanization is relevant. It clearly is. The main issue is whether the track has the right delivery system, financing model, partner resourcing, seasonal timing, supplier engagement, and monitoring system to convert interest into real MSP businesses quickly enough.</w:t>
      </w:r>
    </w:p>
    <w:p w14:paraId="62A816A4" w14:textId="77777777" w:rsidR="00050067" w:rsidRDefault="002D6B61">
      <w:pPr>
        <w:pStyle w:val="Heading1"/>
      </w:pPr>
      <w:r>
        <w:t>2. Discussions with partners and field actors</w:t>
      </w:r>
    </w:p>
    <w:p w14:paraId="65797947" w14:textId="77777777" w:rsidR="00050067" w:rsidRDefault="002D6B61">
      <w:pPr>
        <w:pStyle w:val="Heading2"/>
      </w:pPr>
      <w:r>
        <w:t>2.1 CIMMYT implementation team: history, evidence base and current approach</w:t>
      </w:r>
    </w:p>
    <w:p w14:paraId="002E819F" w14:textId="77777777" w:rsidR="00050067" w:rsidRDefault="002D6B61">
      <w:pPr>
        <w:spacing w:after="80" w:line="252" w:lineRule="auto"/>
      </w:pPr>
      <w:r>
        <w:t>The CIMMYT team explained that the mechanization work in Zambia did not start from zero. Earlier work under prior projects generated evidence on machinery packages, service-provider models, profitability, and farmer demand. The earlier package idea was to support year-round MSP businesses through a set of machines covering land preparation, planting, shelling, threshing, reaping, transport and related services. However, feedback from farmers and government suggested that the full package was too expensive a</w:t>
      </w:r>
      <w:r>
        <w:t>nd that potential service providers wanted to choose individual machines according to their capacity and market opportunity.</w:t>
      </w:r>
    </w:p>
    <w:p w14:paraId="132F68A9" w14:textId="77777777" w:rsidR="00050067" w:rsidRDefault="002D6B61">
      <w:pPr>
        <w:spacing w:after="80" w:line="252" w:lineRule="auto"/>
      </w:pPr>
      <w:r>
        <w:t>The team therefore shifted from a broad machinery package to a more demand-led approach. Evidence from earlier service providers showed that not all machines generate equal business. Maize shelling and transport appeared especially profitable, while no-till planting and ripping had not taken off in the same way. This pushed the team toward prioritizing machines with clearer demand, especially maize shellers and selected postharvest/value addition equipment, while also testing newer options such as basin dig</w:t>
      </w:r>
      <w:r>
        <w:t>gers.</w:t>
      </w:r>
    </w:p>
    <w:p w14:paraId="1CCEE235" w14:textId="77777777" w:rsidR="00050067" w:rsidRDefault="002D6B61">
      <w:pPr>
        <w:spacing w:after="80" w:line="252" w:lineRule="auto"/>
      </w:pPr>
      <w:r>
        <w:t>The team reported that they had about 174-175 potential service providers on the expression-of-interest list from the initial awareness campaigns. These were not yet confirmed adopters. They were people who had attended demonstrations or awareness meetings and had indicated interest in becoming service providers. The team recognized that the conversion from expression of interest to real machine purchase and service operation still needed to be tracked.</w:t>
      </w:r>
    </w:p>
    <w:p w14:paraId="47C8BFAF" w14:textId="77777777" w:rsidR="00050067" w:rsidRDefault="002D6B61">
      <w:pPr>
        <w:spacing w:after="80" w:line="252" w:lineRule="auto"/>
      </w:pPr>
      <w:r>
        <w:t>The team also explained that the project had been slowed by funding and budget-code delays. Although permission to spend may have existed earlier at system level, the practical ability to spend through center systems was delayed, which affected field implementation, partner sub-grants, demonstrations, finance linkages, and the ability to get ahead of the agricultural season. This was a major point in both the internal discussion and the coaching session.</w:t>
      </w:r>
    </w:p>
    <w:p w14:paraId="7B6E83F9" w14:textId="77777777" w:rsidR="00050067" w:rsidRDefault="002D6B61">
      <w:pPr>
        <w:pStyle w:val="Heading2"/>
      </w:pPr>
      <w:r>
        <w:t>2.2 Demand creation partners: TLC, CFU and Ministry/DACO structures</w:t>
      </w:r>
    </w:p>
    <w:p w14:paraId="59C9DAC5" w14:textId="77777777" w:rsidR="00050067" w:rsidRDefault="002D6B61">
      <w:pPr>
        <w:spacing w:after="80" w:line="252" w:lineRule="auto"/>
      </w:pPr>
      <w:r>
        <w:t>The discussions with demand-creation partners brought out three different but complementary channels: existing cooperatives and groups, CFU lead-farmer structures, and government extension/DACO structures.</w:t>
      </w:r>
    </w:p>
    <w:p w14:paraId="2FDAA663" w14:textId="77777777" w:rsidR="00050067" w:rsidRDefault="002D6B61">
      <w:pPr>
        <w:pStyle w:val="Heading3"/>
      </w:pPr>
      <w:r>
        <w:lastRenderedPageBreak/>
        <w:t>TLC and cooperatives / women groups</w:t>
      </w:r>
    </w:p>
    <w:p w14:paraId="722DF03D" w14:textId="77777777" w:rsidR="00050067" w:rsidRDefault="002D6B61">
      <w:pPr>
        <w:spacing w:after="80" w:line="252" w:lineRule="auto"/>
      </w:pPr>
      <w:r>
        <w:t>TLC described a long history of working with groups and cooperatives in the targeted districts. These relationships matter because farmers already know the organization and are less worried about being scammed when new equipment or business opportunities are introduced. TLC found many cooperatives already existed, but many were mainly organized around accessing government inputs. TLC worked with them on governance, leadership, group fund management, and income-generating activities so that they would not de</w:t>
      </w:r>
      <w:r>
        <w:t>pend only on government subsidies.</w:t>
      </w:r>
    </w:p>
    <w:p w14:paraId="676650EA" w14:textId="77777777" w:rsidR="00050067" w:rsidRDefault="002D6B61">
      <w:pPr>
        <w:spacing w:after="80" w:line="252" w:lineRule="auto"/>
      </w:pPr>
      <w:r>
        <w:t>TLC reported working with about 150 cooperatives across three districts, roughly 50 per district, with average membership of about 50-60 people per cooperative. In addition to cooperatives, TLC also works with women groups/self-help groups and individual farmers. A notable example mentioned was a women group that had already acquired a sheller and a peanut butter machine. This shows that women groups can be more than passive beneficiaries; they can potentially own machinery or manage value-addition business</w:t>
      </w:r>
      <w:r>
        <w:t>es if governance and financing are workable.</w:t>
      </w:r>
    </w:p>
    <w:p w14:paraId="5B3B0B7B" w14:textId="77777777" w:rsidR="00050067" w:rsidRDefault="002D6B61">
      <w:pPr>
        <w:spacing w:after="80" w:line="252" w:lineRule="auto"/>
      </w:pPr>
      <w:r>
        <w:t>TLC’s approach appears useful for demand creation because it works through existing social structures, but the discussions also showed that cooperatives vary in quality. Some may be functional, while others may exist mainly to access subsidies. The coaching discussion later emphasized the need for clear vetting criteria before assuming that cooperatives can own machinery, manage a service provider, or take on debt.</w:t>
      </w:r>
    </w:p>
    <w:p w14:paraId="03344BCC" w14:textId="77777777" w:rsidR="00050067" w:rsidRDefault="002D6B61">
      <w:pPr>
        <w:pStyle w:val="Heading3"/>
      </w:pPr>
      <w:r>
        <w:t>CFU lead-farmer and tillage-service-provider structure</w:t>
      </w:r>
    </w:p>
    <w:p w14:paraId="084C89FC" w14:textId="77777777" w:rsidR="00050067" w:rsidRDefault="002D6B61">
      <w:pPr>
        <w:spacing w:after="80" w:line="252" w:lineRule="auto"/>
      </w:pPr>
      <w:r>
        <w:t>CFU described a more structured lead-farmer model. It operates in eight districts and works with around 405 lead farmers. Each lead farmer has about 40-50 follower farmers. For mechanization awareness campaigns, CFU uses lead farmers to inform their follower farmers and mobilize attendance. CFU also has experience with tillage service providers who already own machinery such as tractors, rippers, and shellers. The lead farmers help connect follower farmers to service providers and create demand for services</w:t>
      </w:r>
      <w:r>
        <w:t>.</w:t>
      </w:r>
    </w:p>
    <w:p w14:paraId="7B5636DA" w14:textId="77777777" w:rsidR="00050067" w:rsidRDefault="002D6B61">
      <w:pPr>
        <w:spacing w:after="80" w:line="252" w:lineRule="auto"/>
      </w:pPr>
      <w:r>
        <w:t>CFU reported working with around 65 tillage service providers across the eight districts, with many in one of the target districts. Some acquired equipment through prior projects or partners, while others accessed financing through arrangements such as Agrisco/AgLease-type models where the service provider pays around 20-25% upfront, the equipment serves as collateral, and repayment can be structured over several years. Some providers reportedly repaid faster than expected because demand for services was st</w:t>
      </w:r>
      <w:r>
        <w:t>rong.</w:t>
      </w:r>
    </w:p>
    <w:p w14:paraId="358343C5" w14:textId="77777777" w:rsidR="00050067" w:rsidRDefault="002D6B61">
      <w:pPr>
        <w:spacing w:after="80" w:line="252" w:lineRule="auto"/>
      </w:pPr>
      <w:r>
        <w:t xml:space="preserve">CFU saw the S4I mechanization track as an opportunity to expand the service-provider concept beyond tractor owners. Since tractors are expensive and only a few farmers can own them, lower-cost machines such as maize shellers, basin diggers and groundnut-processing equipment may allow more farmers, women and youth to participate as service providers. CFU also highlighted women’s potential interest in basin diggers because the machine reduces the heavy labor of digging basins by hand, and women’s interest in </w:t>
      </w:r>
      <w:r>
        <w:t>peanut/groundnut processing because groundnuts are often considered a women-associated crop and value-addition area.</w:t>
      </w:r>
    </w:p>
    <w:p w14:paraId="07CBAD91" w14:textId="77777777" w:rsidR="00050067" w:rsidRDefault="002D6B61">
      <w:pPr>
        <w:pStyle w:val="Heading3"/>
      </w:pPr>
      <w:r>
        <w:t>Ministry / DACO / extension role</w:t>
      </w:r>
    </w:p>
    <w:p w14:paraId="2BCE54B7" w14:textId="77777777" w:rsidR="00050067" w:rsidRDefault="002D6B61">
      <w:pPr>
        <w:spacing w:after="80" w:line="252" w:lineRule="auto"/>
      </w:pPr>
      <w:r>
        <w:t>The awareness campaigns were organized through district agricultural offices, camp officers and local structures. Partners described the process as generally open: rather than selecting only specific individuals, they work with the Ministry/DACO structures to invite communities in a zone or camp. The advantage is that the invitation reaches both people interested in buying machinery and people interested in using machinery services. The weakness is that open meetings may produce large expression-of-interest</w:t>
      </w:r>
      <w:r>
        <w:t xml:space="preserve"> lists with many people who are curious but not actually ready or able to buy machines.</w:t>
      </w:r>
    </w:p>
    <w:p w14:paraId="2594BD6F" w14:textId="77777777" w:rsidR="00050067" w:rsidRDefault="002D6B61">
      <w:pPr>
        <w:spacing w:after="80" w:line="252" w:lineRule="auto"/>
      </w:pPr>
      <w:r>
        <w:t>Partners acknowledged the limits of government extension. DACOs and extension staff often lack staff, transport and fuel. In some districts, partners provide fuel to agricultural officers so they can reach more farmers. This makes the government system useful for outreach but not sufficient on its own unless partner resources support field mobilization.</w:t>
      </w:r>
    </w:p>
    <w:p w14:paraId="563413B4" w14:textId="77777777" w:rsidR="00050067" w:rsidRDefault="002D6B61">
      <w:pPr>
        <w:pStyle w:val="Heading2"/>
      </w:pPr>
      <w:r>
        <w:t>2.3 Awareness campaigns and demonstrations</w:t>
      </w:r>
    </w:p>
    <w:p w14:paraId="26E4CC10" w14:textId="77777777" w:rsidR="00050067" w:rsidRDefault="002D6B61">
      <w:pPr>
        <w:spacing w:after="80" w:line="252" w:lineRule="auto"/>
      </w:pPr>
      <w:r>
        <w:t>The awareness campaigns were typically one to two hours long. They introduced the machinery, demonstrated how it worked, explained basic operation, and presented a simple business case: how much the machine costs, how much it can process, what a service provider can charge, and what revenue might look like. The campaigns also included broader agricultural messages, so attendance did not necessarily mean every participant wanted to become a service provider.</w:t>
      </w:r>
    </w:p>
    <w:p w14:paraId="32755C54" w14:textId="77777777" w:rsidR="00050067" w:rsidRDefault="002D6B61">
      <w:pPr>
        <w:spacing w:after="80" w:line="252" w:lineRule="auto"/>
      </w:pPr>
      <w:r>
        <w:t xml:space="preserve">The initial demonstrations used a limited set of machines, partly because the number of available demonstration units was insufficient. Machines had to be shared between teams and regions. Initially about four machines were demonstrated, including maize shellers, basin diggers, and peanut/groundnut processing-related equipment. The team later added another set, and CFU also purchased or sought its own machines to increase demonstration capacity. This </w:t>
      </w:r>
      <w:r>
        <w:lastRenderedPageBreak/>
        <w:t>shows adaptive management, but also indicates an early operational bottleneck: if the project wants multiple simultaneous demonstrations, it needs enough demonstration machines and enough field teams.</w:t>
      </w:r>
    </w:p>
    <w:p w14:paraId="5B63C62D" w14:textId="77777777" w:rsidR="00050067" w:rsidRDefault="002D6B61">
      <w:pPr>
        <w:spacing w:after="80" w:line="252" w:lineRule="auto"/>
      </w:pPr>
      <w:r>
        <w:t>Partners estimated that about half of those invited may attend awareness meetings in some locations. Attendance can be high because mechanization is a missing service that farmers are eager to learn about. However, attendance should not be treated as adoption or even serious purchase intent. Some people attend to learn about mechanization generally; others may be interested in using services rather than providing them; only a smaller subset may be credible potential machine buyers.</w:t>
      </w:r>
    </w:p>
    <w:p w14:paraId="1DB68703" w14:textId="77777777" w:rsidR="00050067" w:rsidRDefault="002D6B61">
      <w:pPr>
        <w:spacing w:after="80" w:line="252" w:lineRule="auto"/>
      </w:pPr>
      <w:r>
        <w:t>The initial expression-of-interest list captured basic details such as name, phone number, gender, age, national ID and machine of interest. The discussions emphasized that this is not enough for conversion or finance. The team still needs to collect bankability information, including assets, land, livestock, business activity, farming history, income sources, ability to pay cash or down payment, and whether the person has existing clients or a realistic service area.</w:t>
      </w:r>
    </w:p>
    <w:p w14:paraId="7E664FAF" w14:textId="77777777" w:rsidR="00050067" w:rsidRDefault="002D6B61">
      <w:pPr>
        <w:pStyle w:val="Heading2"/>
      </w:pPr>
      <w:r>
        <w:t>2.4 Existing service provider: Fred and partner</w:t>
      </w:r>
    </w:p>
    <w:p w14:paraId="360BE55C" w14:textId="77777777" w:rsidR="00050067" w:rsidRDefault="002D6B61">
      <w:pPr>
        <w:spacing w:after="80" w:line="252" w:lineRule="auto"/>
      </w:pPr>
      <w:r>
        <w:t>The discussion with Fred and his partner provided the strongest field evidence that maize shelling can be a real business. They had received equipment through CIMMYT-supported work under an earlier project, including a two-wheel tractor and several attachments or machines such as a sheller, planter, reaper and other equipment. They had been trained on machine use and were keeping records. The fact that they received the machines free is important: they prove service demand and operational viability, but the</w:t>
      </w:r>
      <w:r>
        <w:t>y do not by themselves prove that a farmer who pays for the machine will have the same risk-return experience.</w:t>
      </w:r>
    </w:p>
    <w:p w14:paraId="016ACCC6" w14:textId="77777777" w:rsidR="00050067" w:rsidRDefault="002D6B61">
      <w:pPr>
        <w:spacing w:after="80" w:line="252" w:lineRule="auto"/>
      </w:pPr>
      <w:r>
        <w:t>Fred and his partner reported that the maize sheller can process about 450-500 bags per day if enough labor is available. They charge around 10 kwacha per bag. For a 450-bag day, gross revenue is roughly 4,500 kwacha. They may need 15-20 laborers to feed and handle the maize, paying around 100 kwacha per laborer for a full day, plus fuel for the machine and transport. Their rough daily net margin was discussed at around 1,800-2,000 kwacha after major operating costs. They work through the shelling season an</w:t>
      </w:r>
      <w:r>
        <w:t>d described shelling as a highly profitable service.</w:t>
      </w:r>
    </w:p>
    <w:p w14:paraId="793E6CF1" w14:textId="77777777" w:rsidR="00050067" w:rsidRDefault="002D6B61">
      <w:pPr>
        <w:spacing w:after="80" w:line="252" w:lineRule="auto"/>
      </w:pPr>
      <w:r>
        <w:t>They reported around 45-50 clients, including clients as far as 30 km away. Customers mainly come through word of mouth: one farmer sees the service, asks who provided it, gets the phone number, and calls. Payment is mostly cash, but some farmers pay in maize if they do not have cash, provided the maize value matches the service charge.</w:t>
      </w:r>
    </w:p>
    <w:p w14:paraId="6AE64F69" w14:textId="77777777" w:rsidR="00050067" w:rsidRDefault="002D6B61">
      <w:pPr>
        <w:spacing w:after="80" w:line="252" w:lineRule="auto"/>
      </w:pPr>
      <w:r>
        <w:t>The service provider checks maize moisture informally by biting the grain rather than using a moisture meter. He noted that if moisture is too high, fuel consumption is higher and shelling is more difficult. The service provider also requires farmers to prepare and pack the maize before he arrives so that he does not lose time waiting. This is an important operational detail: service profitability depends not only on machine capacity, but also on customer readiness, travel time, labor availability, and mini</w:t>
      </w:r>
      <w:r>
        <w:t>mizing idle time.</w:t>
      </w:r>
    </w:p>
    <w:p w14:paraId="20817040" w14:textId="77777777" w:rsidR="00050067" w:rsidRDefault="002D6B61">
      <w:pPr>
        <w:spacing w:after="80" w:line="252" w:lineRule="auto"/>
      </w:pPr>
      <w:r>
        <w:t xml:space="preserve">The service provider also offers or is interested in transport services. One example was charging about 8 kwacha per bag for transport over a short distance. He had interest in buying more machines after the shelling season, including a popcorn machine and a sunflower/cooking-oil machine. He did not buy more machinery after the previous season because drought reduced income and he used available money to buy seed and fertilizer. This illustrates that even profitable service providers may delay reinvestment </w:t>
      </w:r>
      <w:r>
        <w:t>if household or farm liquidity is affected by drought or seasonal needs.</w:t>
      </w:r>
    </w:p>
    <w:p w14:paraId="20BBF987" w14:textId="77777777" w:rsidR="00050067" w:rsidRDefault="002D6B61">
      <w:pPr>
        <w:spacing w:after="80" w:line="252" w:lineRule="auto"/>
      </w:pPr>
      <w:r>
        <w:t>The service provider identified key qualities of a good MSP: being a good custodian of machines, actively looking for customers, keeping machines in good condition, being able to account for income, using profits productively, and not waiting for the project to repair machines. When a machine broke down, he quickly bought the needed part from the supplier in Lusaka and repaired it within about a day because every idle day means lost income. This reinforces the importance of spare parts, supplier relationshi</w:t>
      </w:r>
      <w:r>
        <w:t>ps, technical confidence and business discipline.</w:t>
      </w:r>
    </w:p>
    <w:p w14:paraId="6660854F" w14:textId="77777777" w:rsidR="00050067" w:rsidRDefault="002D6B61">
      <w:pPr>
        <w:pStyle w:val="Heading2"/>
      </w:pPr>
      <w:r>
        <w:t>2.5 Farmer clients of mechanization services</w:t>
      </w:r>
    </w:p>
    <w:p w14:paraId="1FE71CAA" w14:textId="77777777" w:rsidR="00050067" w:rsidRDefault="002D6B61">
      <w:pPr>
        <w:spacing w:after="80" w:line="252" w:lineRule="auto"/>
      </w:pPr>
      <w:r>
        <w:t>The farmer-client discussion showed why farmers are willing to pay for shelling services. The farmers interviewed had roughly 3-5 hectares or similar farm sizes and grew maize, groundnuts, sunflower, okra, sweet potatoes, tomatoes, vegetables, fruit trees and other crops. Several had used the service provider previously and planned to use him again.</w:t>
      </w:r>
    </w:p>
    <w:p w14:paraId="00436DFE" w14:textId="77777777" w:rsidR="00050067" w:rsidRDefault="002D6B61">
      <w:pPr>
        <w:spacing w:after="80" w:line="252" w:lineRule="auto"/>
      </w:pPr>
      <w:r>
        <w:t>The main reasons for hiring maize shelling services were speed, lower labor burden, lower cost, and quality. Farmers described manual shelling as slow and labor-intensive. For example, shelling around 100 bags manually could take about two weeks and require around 10 laborers, with costs of around 15-25 kwacha per bag plus food. In contrast, machine shelling could finish the job in about a day at around 10 kwacha per bag, with fewer feeding and handling costs. Farmers also said machine shelling reduces grai</w:t>
      </w:r>
      <w:r>
        <w:t>n scattering, breakage and sorting/winnowing burden.</w:t>
      </w:r>
    </w:p>
    <w:p w14:paraId="35DF60A5" w14:textId="77777777" w:rsidR="00050067" w:rsidRDefault="002D6B61">
      <w:pPr>
        <w:spacing w:after="80" w:line="252" w:lineRule="auto"/>
      </w:pPr>
      <w:r>
        <w:t xml:space="preserve">The clients also expressed demand for other services. Some wanted transport services to move produce. Others wanted mechanized land preparation, ripping, land smoothing/cultivation, and planting services. One farmer noted that even if tractor plowing is possible, the land may remain rough and require further smoothing. Another noted that making </w:t>
      </w:r>
      <w:r>
        <w:lastRenderedPageBreak/>
        <w:t>basins or planting holes manually over several hectares is very time-consuming. However, farmers also acknowledged a cash constraint: they may want services but not always have money to pay for all operations at the right time.</w:t>
      </w:r>
    </w:p>
    <w:p w14:paraId="558B7CB3" w14:textId="77777777" w:rsidR="00050067" w:rsidRDefault="002D6B61">
      <w:pPr>
        <w:spacing w:after="80" w:line="252" w:lineRule="auto"/>
      </w:pPr>
      <w:r>
        <w:t>The farmer-client discussion reinforces the difference between postharvest and land-preparation services. Postharvest services are linked to harvest and sales, so farmers may have produce or imminent cash. Land preparation occurs before income is realized, so ability to pay may be weaker unless credit, savings or in-kind arrangements are available. This matters for deciding whether basin diggers, rippers, planters or other land-preparation machinery can generate a reliable service business.</w:t>
      </w:r>
    </w:p>
    <w:p w14:paraId="633BB053" w14:textId="77777777" w:rsidR="00050067" w:rsidRDefault="002D6B61">
      <w:pPr>
        <w:pStyle w:val="Heading2"/>
      </w:pPr>
      <w:r>
        <w:t>2.6 Machinery suppliers and private-sector actors</w:t>
      </w:r>
    </w:p>
    <w:p w14:paraId="03E83D11" w14:textId="77777777" w:rsidR="00050067" w:rsidRDefault="002D6B61">
      <w:pPr>
        <w:spacing w:after="80" w:line="252" w:lineRule="auto"/>
      </w:pPr>
      <w:r>
        <w:t>The meeting with machinery companies showed that suppliers see potential in the project but may currently be more passive than needed for rapid scaling. The companies recognized that farmers face acquisition barriers and that financing can help sales. They also emphasized after-sales service, technical support, spare parts and branch presence as important parts of the machinery ecosystem.</w:t>
      </w:r>
    </w:p>
    <w:p w14:paraId="7F7B71A4" w14:textId="77777777" w:rsidR="00050067" w:rsidRDefault="002D6B61">
      <w:pPr>
        <w:pStyle w:val="Heading3"/>
      </w:pPr>
      <w:r>
        <w:t>Growmore</w:t>
      </w:r>
    </w:p>
    <w:p w14:paraId="3DC390D2" w14:textId="77777777" w:rsidR="00050067" w:rsidRDefault="002D6B61">
      <w:pPr>
        <w:spacing w:after="80" w:line="252" w:lineRule="auto"/>
      </w:pPr>
      <w:r>
        <w:t>Growmore described its role as supplying equipment, training farmers, building capacity, and explaining the business case to farmers. The company said it has field officers on bikes and technicians with vehicles who can move around to service equipment. It provides after-sales service and can source spare parts if an item is not available at a branch. This is important because service providers need fast repair and spare-part access to avoid losing income during the service season.</w:t>
      </w:r>
    </w:p>
    <w:p w14:paraId="1297A607" w14:textId="77777777" w:rsidR="00050067" w:rsidRDefault="002D6B61">
      <w:pPr>
        <w:pStyle w:val="Heading3"/>
      </w:pPr>
      <w:r>
        <w:t>CAMCO</w:t>
      </w:r>
    </w:p>
    <w:p w14:paraId="5EC916EF" w14:textId="77777777" w:rsidR="00050067" w:rsidRDefault="002D6B61">
      <w:pPr>
        <w:spacing w:after="80" w:line="252" w:lineRule="auto"/>
      </w:pPr>
      <w:r>
        <w:t>CAMCO described its role as more than selling equipment. It said it is interested in how customers use machines, how communities benefit, and how equipment can become a business for farmers. CAMCO also recognized financing as a major opportunity because many farmers want equipment but struggle to purchase it outright. CAMCO has branches in different provinces, which could help reach farmers, though there was a question about how actively those branches participate in demonstrations and last-mile promotion.</w:t>
      </w:r>
    </w:p>
    <w:p w14:paraId="6381B819" w14:textId="77777777" w:rsidR="00050067" w:rsidRDefault="002D6B61">
      <w:pPr>
        <w:pStyle w:val="Heading3"/>
      </w:pPr>
      <w:r>
        <w:t>SARO</w:t>
      </w:r>
    </w:p>
    <w:p w14:paraId="028078CB" w14:textId="77777777" w:rsidR="00050067" w:rsidRDefault="002D6B61">
      <w:pPr>
        <w:spacing w:after="80" w:line="252" w:lineRule="auto"/>
      </w:pPr>
      <w:r>
        <w:t>SARO described a long history in Zambia and recent branch expansion. It now has around 14 branches, including in strategic locations where small-scale farmers can access equipment and spare parts. SARO explained that it previously relied partly on agro-dealers, but many agro-dealers lacked the financial and staff capacity to actively sell machinery, so SARO expanded direct branches. It also described experience with EU-supported mechanization work and 50-50 financing arrangements that helped expand branches</w:t>
      </w:r>
      <w:r>
        <w:t xml:space="preserve"> and services.</w:t>
      </w:r>
    </w:p>
    <w:p w14:paraId="15A6B1D4" w14:textId="77777777" w:rsidR="00050067" w:rsidRDefault="002D6B61">
      <w:pPr>
        <w:spacing w:after="80" w:line="252" w:lineRule="auto"/>
      </w:pPr>
      <w:r>
        <w:t>SARO and other suppliers discussed public and private financing mechanisms that affect machinery sales, including CDF, CEEC and SAFF. CDF appeared more relevant for councils and public equipment, while CEEC and SAFF were more relevant to individual farmers or entrepreneurs. Suppliers also mentioned previous arrangements where farmers paid 50% upfront and paid the balance over time, but repayment was mixed. Financing partners such as AgLeaseCo/At-least-style models were seen as useful because the supplier re</w:t>
      </w:r>
      <w:r>
        <w:t>ceives the full amount while the farmer repays the financier.</w:t>
      </w:r>
    </w:p>
    <w:p w14:paraId="3700E0B2" w14:textId="77777777" w:rsidR="00050067" w:rsidRDefault="002D6B61">
      <w:pPr>
        <w:pStyle w:val="Heading3"/>
      </w:pPr>
      <w:r>
        <w:t>Implications from supplier discussions</w:t>
      </w:r>
    </w:p>
    <w:p w14:paraId="37B8CC81" w14:textId="77777777" w:rsidR="00050067" w:rsidRDefault="002D6B61">
      <w:pPr>
        <w:spacing w:after="80" w:line="252" w:lineRule="auto"/>
      </w:pPr>
      <w:r>
        <w:t>The supplier discussions showed that private companies can support scaling through equipment supply, demonstrations, after-sales, spare parts, branch networks and possibly dealer-finance arrangements. However, supplier participation in current demonstrations appears uneven. If the project expects suppliers to help create demand, not just respond to demand, it needs clearer commitments from them: which demonstrations they will attend, what machines they will provide, what staff they will deploy, how they wil</w:t>
      </w:r>
      <w:r>
        <w:t>l support training, and whether they are willing to carry inventory or import based on expected demand.</w:t>
      </w:r>
    </w:p>
    <w:p w14:paraId="478A4169" w14:textId="77777777" w:rsidR="00050067" w:rsidRDefault="002D6B61">
      <w:pPr>
        <w:pStyle w:val="Heading2"/>
      </w:pPr>
      <w:r>
        <w:t>2.7 Finance actors: banks, CEEC, MicroLoan Foundation and asset-finance options</w:t>
      </w:r>
    </w:p>
    <w:p w14:paraId="1DFC3D1A" w14:textId="77777777" w:rsidR="00050067" w:rsidRDefault="002D6B61">
      <w:pPr>
        <w:spacing w:after="80" w:line="252" w:lineRule="auto"/>
      </w:pPr>
      <w:r>
        <w:t>Finance emerged as the most consistent bottleneck across all discussions. Different finance actors serve different segments, and no single option currently solves the whole problem.</w:t>
      </w:r>
    </w:p>
    <w:p w14:paraId="70C0CDC2" w14:textId="77777777" w:rsidR="00050067" w:rsidRDefault="002D6B61">
      <w:pPr>
        <w:pStyle w:val="Heading3"/>
      </w:pPr>
      <w:r>
        <w:t>Commercial bank perspective</w:t>
      </w:r>
    </w:p>
    <w:p w14:paraId="2FA277F9" w14:textId="77777777" w:rsidR="00050067" w:rsidRDefault="002D6B61">
      <w:pPr>
        <w:spacing w:after="80" w:line="252" w:lineRule="auto"/>
      </w:pPr>
      <w:r>
        <w:t xml:space="preserve">The commercial bank discussion suggested that mainstream bank finance is more suitable for larger loan sizes and more formal clients. The bank described lending for equipment and commercial/emerging farmers, often with around 20% deposit and the asset itself as collateral. It assesses production history, yields, irrigation access, market/offtaker </w:t>
      </w:r>
      <w:r>
        <w:lastRenderedPageBreak/>
        <w:t>arrangements, prices, farmer character, credit bureau records and repayment history. Many smaller farmers may have little formal credit record, or only small mobile-money records, which limits formal bankability.</w:t>
      </w:r>
    </w:p>
    <w:p w14:paraId="06E165E6" w14:textId="77777777" w:rsidR="00050067" w:rsidRDefault="002D6B61">
      <w:pPr>
        <w:spacing w:after="80" w:line="252" w:lineRule="auto"/>
      </w:pPr>
      <w:r>
        <w:t>The bank indicated that very small loans are difficult because of transaction costs. A loan around 100,000 kwacha makes more sense, and 50,000 kwacha may be possible, especially if several farmers or buyers are bundled together. This is important because many priority machines cost far below that level. Individual loans for 5,000-10,000 kwacha machines may not be attractive to a commercial bank unless bundled, aggregated or processed through a different mechanism.</w:t>
      </w:r>
    </w:p>
    <w:p w14:paraId="100EE540" w14:textId="77777777" w:rsidR="00050067" w:rsidRDefault="002D6B61">
      <w:pPr>
        <w:spacing w:after="80" w:line="252" w:lineRule="auto"/>
      </w:pPr>
      <w:r>
        <w:t>Interest rates depend on currency and risk profile. The discussion mentioned lower rates for USD facilities and higher local-currency rates. Insurance on the asset may add another cost, possibly around 5-10% of asset value. The bank was open in principle to de-risking but suggested that meaningful guarantees may need to be well above 50%, with 80% mentioned as a starting level for smaller or riskier clients. This points to the need for careful guarantee design if the project wants commercial banks to lend t</w:t>
      </w:r>
      <w:r>
        <w:t>o lower-cost machinery buyers.</w:t>
      </w:r>
    </w:p>
    <w:p w14:paraId="267D80AC" w14:textId="77777777" w:rsidR="00050067" w:rsidRDefault="002D6B61">
      <w:pPr>
        <w:pStyle w:val="Heading3"/>
      </w:pPr>
      <w:r>
        <w:t>MicroLoan Foundation / MFI perspective</w:t>
      </w:r>
    </w:p>
    <w:p w14:paraId="37BE17B5" w14:textId="77777777" w:rsidR="00050067" w:rsidRDefault="002D6B61">
      <w:pPr>
        <w:spacing w:after="80" w:line="252" w:lineRule="auto"/>
      </w:pPr>
      <w:r>
        <w:t>The MFI discussion indicated that microfinance can reach smaller borrowers and groups, but at high cost. The institution lends to both groups and individuals. Group loans may involve around five borrowers guaranteeing each other. Individual loans may require collateral such as land or property and guarantors. Loan sizes discussed ranged from roughly 2,000 to 50,000 kwacha. However, monthly flat interest rates around 4-5% imply a very high annualized cost. This may be suitable only if the machine business ha</w:t>
      </w:r>
      <w:r>
        <w:t>s very fast payback, and even then it could be risky if seasonality prevents year-round income.</w:t>
      </w:r>
    </w:p>
    <w:p w14:paraId="12A050B3" w14:textId="77777777" w:rsidR="00050067" w:rsidRDefault="002D6B61">
      <w:pPr>
        <w:spacing w:after="80" w:line="252" w:lineRule="auto"/>
      </w:pPr>
      <w:r>
        <w:t>The MFI route may work for small machines or groups if the business case is strong and repayment is aligned with income. But if farmers borrow late in the season for equipment that cannot generate income until the next season, high monthly interest becomes a major risk. The project should not assume that “available credit” is equivalent to “appropriate finance.”</w:t>
      </w:r>
    </w:p>
    <w:p w14:paraId="2B44A39E" w14:textId="77777777" w:rsidR="00050067" w:rsidRDefault="002D6B61">
      <w:pPr>
        <w:pStyle w:val="Heading3"/>
      </w:pPr>
      <w:r>
        <w:t>CEEC / government finance</w:t>
      </w:r>
    </w:p>
    <w:p w14:paraId="0345ADE8" w14:textId="77777777" w:rsidR="00050067" w:rsidRDefault="002D6B61">
      <w:pPr>
        <w:spacing w:after="80" w:line="252" w:lineRule="auto"/>
      </w:pPr>
      <w:r>
        <w:t>CEEC was discussed as a potentially important government financing route because it can provide lower-cost capital and support small businesses, including mechanization. However, availability of funds may depend on treasury transfers and repayments from previous loans. The process may be intended to take about a month, but there was uncertainty over whether this is realistic in practice. CEEC may be one of the more relevant routes for lower-cost equipment if the application requirements and timing can be ma</w:t>
      </w:r>
      <w:r>
        <w:t>naged.</w:t>
      </w:r>
    </w:p>
    <w:p w14:paraId="232D5807" w14:textId="77777777" w:rsidR="00050067" w:rsidRDefault="002D6B61">
      <w:pPr>
        <w:pStyle w:val="Heading3"/>
      </w:pPr>
      <w:r>
        <w:t>Asset finance, supplier finance and lease-type arrangements</w:t>
      </w:r>
    </w:p>
    <w:p w14:paraId="1D96C79C" w14:textId="77777777" w:rsidR="00050067" w:rsidRDefault="002D6B61">
      <w:pPr>
        <w:spacing w:after="80" w:line="252" w:lineRule="auto"/>
      </w:pPr>
      <w:r>
        <w:t>Asset-finance or lease-type models such as Agrisco/AgLeaseCo were repeatedly mentioned. In these models, the buyer pays 20-25% upfront, the equipment serves as collateral, and repayment can be structured over several years. These models may be more relevant for equipment finance than normal bank loans because the asset is central to the financing structure. Suppliers also referenced arrangements where a farmer pays a deposit and the financier pays the supplier directly. The project needs to clarify which of</w:t>
      </w:r>
      <w:r>
        <w:t xml:space="preserve"> these options are actually active in Zambia, what loan sizes they support, what interest rates and maturities apply, and whether they are willing to finance the low-cost machines prioritized by the track.</w:t>
      </w:r>
    </w:p>
    <w:p w14:paraId="3C746598" w14:textId="77777777" w:rsidR="00050067" w:rsidRDefault="002D6B61">
      <w:pPr>
        <w:pStyle w:val="Heading2"/>
      </w:pPr>
      <w:r>
        <w:t>2.8 Alliance/ABC finance model discussion</w:t>
      </w:r>
    </w:p>
    <w:p w14:paraId="586A3B5A" w14:textId="77777777" w:rsidR="00050067" w:rsidRDefault="002D6B61">
      <w:pPr>
        <w:spacing w:after="80" w:line="252" w:lineRule="auto"/>
      </w:pPr>
      <w:r>
        <w:t>The discussion with Pedro from the Alliance/ABC finance side clarified that a financing model had been developed from earlier missions at the end of 2024. The model attempted to adapt lessons from Zimbabwe to Zambia and use an off-taker/aggregator structure to de-risk lending. It proposed a bundled solution with technical assistance, business-case development, climate-sensitive credit scoring, index insurance or other insurance, and potential guarantees linked to aggregators and off-takers.</w:t>
      </w:r>
    </w:p>
    <w:p w14:paraId="7E73E24E" w14:textId="77777777" w:rsidR="00050067" w:rsidRDefault="002D6B61">
      <w:pPr>
        <w:spacing w:after="80" w:line="252" w:lineRule="auto"/>
      </w:pPr>
      <w:r>
        <w:t>The logic was that off-takers need more consistent supply from farmers; mechanization can increase production and reliability; therefore off-takers may be willing to support or guarantee small machinery finance if they benefit from the produce. The model also assumed that service providers are farmers with some production base and are diversifying into mechanization services. From that angle, their crop production and off-taker relationships might matter to the lender.</w:t>
      </w:r>
    </w:p>
    <w:p w14:paraId="3EBDB8C8" w14:textId="77777777" w:rsidR="00050067" w:rsidRDefault="002D6B61">
      <w:pPr>
        <w:spacing w:after="80" w:line="252" w:lineRule="auto"/>
      </w:pPr>
      <w:r>
        <w:t>However, the model was challenged strongly during the discussion. The central concern was that a mechanization service provider earns cash by selling services, not by necessarily delivering maize to an off-taker. If a maize off-taker is guaranteeing finance based on produce delivery, the connection to a maize sheller or other machinery-service business is not straightforward. The more the model depends on farmers selling maize through a specific aggregator to repay machinery finance, the more complex and po</w:t>
      </w:r>
      <w:r>
        <w:t xml:space="preserve">tentially unrealistic it becomes. Pedro acknowledged that parts of the earlier model need updating, but argued that the whole framework should not be thrown away because some elements </w:t>
      </w:r>
      <w:r>
        <w:lastRenderedPageBreak/>
        <w:t>remain relevant, such as asset collateral, business-case preparation, technical assistance and possible off-taker interest.</w:t>
      </w:r>
    </w:p>
    <w:p w14:paraId="0F66A09C" w14:textId="77777777" w:rsidR="00050067" w:rsidRDefault="002D6B61">
      <w:pPr>
        <w:spacing w:after="80" w:line="252" w:lineRule="auto"/>
      </w:pPr>
      <w:r>
        <w:t>The practical conclusion is that the finance model needs to be rebuilt or substantially revised around the actual business model observed on the ground: service providers selling cash-based mechanization services, some paying cash, some needing short or medium-term asset finance, some operating through groups, and some requiring guarantees or interest-rate support. Off-taker arrangements may still matter for larger farmers or production finance, but they should not be assumed to solve the service-provider f</w:t>
      </w:r>
      <w:r>
        <w:t>inance problem.</w:t>
      </w:r>
    </w:p>
    <w:p w14:paraId="6F2C2CE1" w14:textId="77777777" w:rsidR="00050067" w:rsidRDefault="002D6B61">
      <w:pPr>
        <w:pStyle w:val="Heading2"/>
      </w:pPr>
      <w:r>
        <w:t>2.9 GESI, women and youth participation</w:t>
      </w:r>
    </w:p>
    <w:p w14:paraId="0CC29406" w14:textId="77777777" w:rsidR="00050067" w:rsidRDefault="002D6B61">
      <w:pPr>
        <w:spacing w:after="80" w:line="252" w:lineRule="auto"/>
      </w:pPr>
      <w:r>
        <w:t xml:space="preserve">Women’s participation came up in several ways. First, some women are potential machinery owners and service providers, especially those who are business-minded, own shops, rear chickens or goats, grow crops, or have diversified livelihoods. One example was a widow who bought or wanted to buy a machine because she saw mechanization as another income stream. Second, women groups may buy machines collectively, especially for groundnut-related value addition. Third, some women may buy machines but have sons or </w:t>
      </w:r>
      <w:r>
        <w:t>other family members operate them while income comes back to the household.</w:t>
      </w:r>
    </w:p>
    <w:p w14:paraId="1FB56D65" w14:textId="77777777" w:rsidR="00050067" w:rsidRDefault="002D6B61">
      <w:pPr>
        <w:spacing w:after="80" w:line="252" w:lineRule="auto"/>
      </w:pPr>
      <w:r>
        <w:t>The discussions also showed the risk of narrowing women only to “women’s machines.” Groundnuts and peanut processing clearly generate strong women’s interest because they align with existing gendered crop roles and value addition. However, women may also be interested in other machines for business reasons, even if they do not personally operate them. The project should therefore track actual machine preferences by women, not assume that women are only interested in peanut butter or groundnut processing.</w:t>
      </w:r>
    </w:p>
    <w:p w14:paraId="0E326C8C" w14:textId="77777777" w:rsidR="00050067" w:rsidRDefault="002D6B61">
      <w:pPr>
        <w:spacing w:after="80" w:line="252" w:lineRule="auto"/>
      </w:pPr>
      <w:r>
        <w:t>Household sensitization was discussed as important. When a woman is interested in buying equipment, some partners engage the husband or household so that income use, labor roles and decision-making are aligned. Traditional leadership and civil society organizations may also be involved in group farmer training. GESI support should be integrated into the main scaling strategy rather than run as a parallel workstream. It should shape targeting, group vetting, finance design, machine choice, demonstrations, an</w:t>
      </w:r>
      <w:r>
        <w:t>d conversion tracking.</w:t>
      </w:r>
    </w:p>
    <w:p w14:paraId="3F7AFAD2" w14:textId="77777777" w:rsidR="00050067" w:rsidRDefault="002D6B61">
      <w:pPr>
        <w:pStyle w:val="Heading1"/>
      </w:pPr>
      <w:r>
        <w:t>3. Key issues and bottlenecks identified</w:t>
      </w:r>
    </w:p>
    <w:p w14:paraId="6BF51A76" w14:textId="77777777" w:rsidR="00050067" w:rsidRDefault="002D6B61">
      <w:pPr>
        <w:pStyle w:val="Heading2"/>
      </w:pPr>
      <w:r>
        <w:t>3.1 Finance is the binding constraint, but different types of finance are needed</w:t>
      </w:r>
    </w:p>
    <w:p w14:paraId="35050858" w14:textId="77777777" w:rsidR="00050067" w:rsidRDefault="002D6B61">
      <w:pPr>
        <w:spacing w:after="80" w:line="252" w:lineRule="auto"/>
      </w:pPr>
      <w:r>
        <w:t>Finance is not one bottleneck; it is several bottlenecks. Some potential service providers can pay cash, especially for low-cost machines. Others can afford a down payment but need asset finance. Others need group lending or MFI finance, but MFI rates may be too high. Commercial banks may not lend below 50,000-100,000 kwacha because transaction costs are high. CEEC may be affordable but depends on available public funds and process timing. Supplier finance may be attractive but needs clear terms and invento</w:t>
      </w:r>
      <w:r>
        <w:t>ry.</w:t>
      </w:r>
    </w:p>
    <w:p w14:paraId="1D1DEBF7" w14:textId="77777777" w:rsidR="00050067" w:rsidRDefault="002D6B61">
      <w:pPr>
        <w:spacing w:after="80" w:line="252" w:lineRule="auto"/>
      </w:pPr>
      <w:r>
        <w:t>The current financing architecture is therefore not yet fit-for-purpose. It needs segmentation by machine type, buyer type, season, loan size, cash capacity, and risk profile.</w:t>
      </w:r>
    </w:p>
    <w:p w14:paraId="1FF22DF6" w14:textId="77777777" w:rsidR="00050067" w:rsidRDefault="002D6B61">
      <w:pPr>
        <w:pStyle w:val="Heading2"/>
      </w:pPr>
      <w:r>
        <w:t>3.2 Seasonality creates a serious timing risk</w:t>
      </w:r>
    </w:p>
    <w:p w14:paraId="28D9F7EE" w14:textId="77777777" w:rsidR="00050067" w:rsidRDefault="002D6B61">
      <w:pPr>
        <w:spacing w:after="80" w:line="252" w:lineRule="auto"/>
      </w:pPr>
      <w:r>
        <w:t>Maize shellers and peanut-processing machines are postharvest machines. Their income window is mainly from harvest through the shelling/processing period. If a farmer receives finance too late, for example near the end of the shelling season, it may not make sense to borrow because the machine will sit idle while loan interest accumulates. This point was emphasized strongly in the coaching session. The project is already late in the 2026 season for shellers, so the immediate opportunity is to pursue cash bu</w:t>
      </w:r>
      <w:r>
        <w:t>yers quickly and support those who can buy now. Borrowers may need to wait until the next season unless the machine has alternative uses or the loan has a grace period aligned to income.</w:t>
      </w:r>
    </w:p>
    <w:p w14:paraId="4D093CD4" w14:textId="77777777" w:rsidR="00050067" w:rsidRDefault="002D6B61">
      <w:pPr>
        <w:pStyle w:val="Heading2"/>
      </w:pPr>
      <w:r>
        <w:t>3.3 Expressions of interest are not adoption</w:t>
      </w:r>
    </w:p>
    <w:p w14:paraId="766F62E9" w14:textId="77777777" w:rsidR="00050067" w:rsidRDefault="002D6B61">
      <w:pPr>
        <w:spacing w:after="80" w:line="252" w:lineRule="auto"/>
      </w:pPr>
      <w:r>
        <w:t xml:space="preserve">The project has lists of interested people, but an expression of interest is only the first step. Many people may attend demonstrations because they are curious or want to use services, not because they are ready to buy machinery. The team needs to track the conversion chain from awareness to serious lead, documentation, finance application, approval, machine purchase, service provision, repeat service provision, and viable business. Without this, the project cannot know whether its awareness campaigns are </w:t>
      </w:r>
      <w:r>
        <w:t>producing real MSPs or only attendance numbers.</w:t>
      </w:r>
    </w:p>
    <w:p w14:paraId="2A3272F1" w14:textId="77777777" w:rsidR="00050067" w:rsidRDefault="002D6B61">
      <w:pPr>
        <w:pStyle w:val="Heading2"/>
      </w:pPr>
      <w:r>
        <w:t>3.4 Demonstrations are under-resourced relative to ambition</w:t>
      </w:r>
    </w:p>
    <w:p w14:paraId="6C704969" w14:textId="77777777" w:rsidR="00050067" w:rsidRDefault="002D6B61">
      <w:pPr>
        <w:spacing w:after="80" w:line="252" w:lineRule="auto"/>
      </w:pPr>
      <w:r>
        <w:t xml:space="preserve">The project needs many more high-quality demonstrations if the conversion rate is low. If only 10-20% of interested people become real machine buyers, the project needs a much larger pool of leads than currently available. However, </w:t>
      </w:r>
      <w:r>
        <w:lastRenderedPageBreak/>
        <w:t>demonstrations require machines, transport, fuel, trained facilitators, supplier involvement and partner staff. The fact that teams had to share limited machine sets shows that the current demonstration system is not yet scaled to match the target.</w:t>
      </w:r>
    </w:p>
    <w:p w14:paraId="2ABD3463" w14:textId="77777777" w:rsidR="00050067" w:rsidRDefault="002D6B61">
      <w:pPr>
        <w:pStyle w:val="Heading2"/>
      </w:pPr>
      <w:r>
        <w:t>3.5 Too few boots on the ground</w:t>
      </w:r>
    </w:p>
    <w:p w14:paraId="378F7B87" w14:textId="77777777" w:rsidR="00050067" w:rsidRDefault="002D6B61">
      <w:pPr>
        <w:spacing w:after="80" w:line="252" w:lineRule="auto"/>
      </w:pPr>
      <w:r>
        <w:t>A repeated theme was insufficient field-level implementation capacity. The work requires mobilizing farmers, following up leads, collecting bankability data, helping with documentation, linking buyers to suppliers and financiers, ensuring machines arrive, training operators, tracking use, and solving problems quickly. This cannot be managed only through occasional visits or coordination calls by staff based outside the country. The coaching discussion recommended dedicated in-country staff or consultants wi</w:t>
      </w:r>
      <w:r>
        <w:t>th business and coordination skills, not only agronomic expertise.</w:t>
      </w:r>
    </w:p>
    <w:p w14:paraId="1682C16A" w14:textId="77777777" w:rsidR="00050067" w:rsidRDefault="002D6B61">
      <w:pPr>
        <w:pStyle w:val="Heading2"/>
      </w:pPr>
      <w:r>
        <w:t>3.6 The finance model is not aligned enough with the actual service business</w:t>
      </w:r>
    </w:p>
    <w:p w14:paraId="3142AB0B" w14:textId="77777777" w:rsidR="00050067" w:rsidRDefault="002D6B61">
      <w:pPr>
        <w:spacing w:after="80" w:line="252" w:lineRule="auto"/>
      </w:pPr>
      <w:r>
        <w:t>The earlier off-taker/aggregator finance model may be relevant for crop production finance, but its relevance to a mechanization service-provider business is unclear. If the service provider earns income from cash payments by clients, the model should be based on service cash flows, machine utilization, customer demand, operating costs, maintenance costs and repayment timing. Off-taker contracts may strengthen a farmer’s general bankability but should not be treated as the core repayment mechanism unless th</w:t>
      </w:r>
      <w:r>
        <w:t>ere is a clear link to the machinery-service business.</w:t>
      </w:r>
    </w:p>
    <w:p w14:paraId="65A88CED" w14:textId="77777777" w:rsidR="00050067" w:rsidRDefault="002D6B61">
      <w:pPr>
        <w:pStyle w:val="Heading2"/>
      </w:pPr>
      <w:r>
        <w:t>3.7 Supplier engagement is necessary but not yet strong enough</w:t>
      </w:r>
    </w:p>
    <w:p w14:paraId="0E334854" w14:textId="77777777" w:rsidR="00050067" w:rsidRDefault="002D6B61">
      <w:pPr>
        <w:spacing w:after="80" w:line="252" w:lineRule="auto"/>
      </w:pPr>
      <w:r>
        <w:t>Suppliers are important for supply, spare parts, repairs, demonstrations and market creation. Some suppliers have branches and after-sales systems, but their role in the project seems uneven. Some may wait for customers to come, while the project needs them to help actively create demand. Scaling will be faster if suppliers import and stock machines in anticipation of demand, participate in demonstrations, train operators, and commit to after-sales support in target districts.</w:t>
      </w:r>
    </w:p>
    <w:p w14:paraId="606A6507" w14:textId="77777777" w:rsidR="00050067" w:rsidRDefault="002D6B61">
      <w:pPr>
        <w:pStyle w:val="Heading2"/>
      </w:pPr>
      <w:r>
        <w:t>3.8 Cooperative and group pathways are promising but risky</w:t>
      </w:r>
    </w:p>
    <w:p w14:paraId="6CB2A551" w14:textId="77777777" w:rsidR="00050067" w:rsidRDefault="002D6B61">
      <w:pPr>
        <w:spacing w:after="80" w:line="252" w:lineRule="auto"/>
      </w:pPr>
      <w:r>
        <w:t>Groups, cooperatives and women’s self-help groups can help aggregate demand, mobilize members, buy machinery collectively, contract operators, and support women’s participation. However, group governance varies. Some cooperatives may exist mainly for subsidies and may not be capable of managing machinery businesses. The project needs due diligence and vetting criteria before supporting group-owned machinery or group loans.</w:t>
      </w:r>
    </w:p>
    <w:p w14:paraId="1C7D0439" w14:textId="77777777" w:rsidR="00050067" w:rsidRDefault="002D6B61">
      <w:pPr>
        <w:pStyle w:val="Heading2"/>
      </w:pPr>
      <w:r>
        <w:t>3.9 Land preparation services have demand but weaker payment timing</w:t>
      </w:r>
    </w:p>
    <w:p w14:paraId="0317B27D" w14:textId="77777777" w:rsidR="00050067" w:rsidRDefault="002D6B61">
      <w:pPr>
        <w:spacing w:after="80" w:line="252" w:lineRule="auto"/>
      </w:pPr>
      <w:r>
        <w:t>Farmers expressed interest in land preparation, ripping, basin digging, land smoothing and planting services. However, the business case may be weaker than shelling because these services occur before harvest income. Farmers may not have cash at that time. Basin diggers may reduce labor drudgery and support conservation agriculture, but paid service demand still needs evidence. The project should treat basin diggers as a serious experiment, not assume they will scale like maize shellers.</w:t>
      </w:r>
    </w:p>
    <w:p w14:paraId="3F27063B" w14:textId="77777777" w:rsidR="00050067" w:rsidRDefault="002D6B61">
      <w:pPr>
        <w:pStyle w:val="Heading2"/>
      </w:pPr>
      <w:r>
        <w:t>3.10 Machinery businesses need after-sales, spare parts and maintenance capacity</w:t>
      </w:r>
    </w:p>
    <w:p w14:paraId="5726CE57" w14:textId="77777777" w:rsidR="00050067" w:rsidRDefault="002D6B61">
      <w:pPr>
        <w:spacing w:after="80" w:line="252" w:lineRule="auto"/>
      </w:pPr>
      <w:r>
        <w:t>The service-provider example showed that downtime directly reduces income. Repairs must be fast, and spare parts must be accessible. Suppliers with branches and service capacity are therefore critical. Training should include maintenance, record keeping, customer management, pricing, scheduling and basic repairs, not only operation.</w:t>
      </w:r>
    </w:p>
    <w:p w14:paraId="06C6C656" w14:textId="77777777" w:rsidR="00050067" w:rsidRDefault="002D6B61">
      <w:pPr>
        <w:pStyle w:val="Heading1"/>
      </w:pPr>
      <w:r>
        <w:t>4. Solutions and options proposed or discussed</w:t>
      </w:r>
    </w:p>
    <w:p w14:paraId="12B385D8" w14:textId="77777777" w:rsidR="00050067" w:rsidRDefault="002D6B61">
      <w:pPr>
        <w:pStyle w:val="Heading2"/>
      </w:pPr>
      <w:r>
        <w:t>4.1 Segment the lead list immediately</w:t>
      </w:r>
    </w:p>
    <w:p w14:paraId="0C227694" w14:textId="77777777" w:rsidR="00050067" w:rsidRDefault="002D6B61">
      <w:pPr>
        <w:spacing w:after="80" w:line="252" w:lineRule="auto"/>
      </w:pPr>
      <w:r>
        <w:t>The project should divide the current expression-of-interest list into practical categories: cash buyers ready to buy now; buyers who can make a down payment and need low-cost asset finance; buyers needing larger loans for bigger machines; group/cooperative buyers; women/youth buyers needing special support; and weak leads that are unlikely to convert soon. The first priority for 2026 should be cash buyers and near-cash buyers because the shelling season window is closing.</w:t>
      </w:r>
    </w:p>
    <w:p w14:paraId="212BCDB4" w14:textId="77777777" w:rsidR="00050067" w:rsidRDefault="002D6B61">
      <w:pPr>
        <w:pStyle w:val="Heading2"/>
      </w:pPr>
      <w:r>
        <w:t>4.2 Pursue cash buyers now</w:t>
      </w:r>
    </w:p>
    <w:p w14:paraId="287F463D" w14:textId="77777777" w:rsidR="00050067" w:rsidRDefault="002D6B61">
      <w:pPr>
        <w:spacing w:after="80" w:line="252" w:lineRule="auto"/>
      </w:pPr>
      <w:r>
        <w:t xml:space="preserve">Several discussions suggested that some emerging farmers have enough cash to buy low-cost machines such as shellers or basin diggers. These buyers do not need a complex finance product. They need quick follow-up, </w:t>
      </w:r>
      <w:r>
        <w:lastRenderedPageBreak/>
        <w:t>confirmation of machine choice, connection to a supplier, basic training, and support to start serving customers. This is the most immediate path to real 2026 adoption.</w:t>
      </w:r>
    </w:p>
    <w:p w14:paraId="35B64F74" w14:textId="77777777" w:rsidR="00050067" w:rsidRDefault="002D6B61">
      <w:pPr>
        <w:pStyle w:val="Heading2"/>
      </w:pPr>
      <w:r>
        <w:t>4.3 Complement open demonstrations with targeted recruitment</w:t>
      </w:r>
    </w:p>
    <w:p w14:paraId="2E12DEF2" w14:textId="77777777" w:rsidR="00050067" w:rsidRDefault="002D6B61">
      <w:pPr>
        <w:spacing w:after="80" w:line="252" w:lineRule="auto"/>
      </w:pPr>
      <w:r>
        <w:t>Open demonstrations should continue because they create broad awareness and demand for services. However, they should be complemented by targeted recruitment of likely buyers: farmers with land, livestock, shops, diversified businesses, irrigation, existing service activity, cash from produce sales, or strong local reputations. Local partners, lead farmers, camp officers and community informants can help identify these people. The project could compare open demonstrations versus targeted recruitment to lear</w:t>
      </w:r>
      <w:r>
        <w:t>n which has a lower cost per successful MSP.</w:t>
      </w:r>
    </w:p>
    <w:p w14:paraId="24FFC088" w14:textId="77777777" w:rsidR="00050067" w:rsidRDefault="002D6B61">
      <w:pPr>
        <w:pStyle w:val="Heading2"/>
      </w:pPr>
      <w:r>
        <w:t>4.4 Strengthen bankability data collection</w:t>
      </w:r>
    </w:p>
    <w:p w14:paraId="0289FA5A" w14:textId="77777777" w:rsidR="00050067" w:rsidRDefault="002D6B61">
      <w:pPr>
        <w:spacing w:after="80" w:line="252" w:lineRule="auto"/>
      </w:pPr>
      <w:r>
        <w:t>The current lists should be upgraded from contact lists to bankability and business-readiness profiles. Information should include land size, crops, livestock, irrigation, assets, existing businesses, production history, credit history, group membership, machine preference, cash/down-payment capacity, service area, likely customers, and whether the buyer wants to use the machine personally or provide services. This will reduce delays when approaching financiers and help suppliers identify credible buyers.</w:t>
      </w:r>
    </w:p>
    <w:p w14:paraId="0255F31D" w14:textId="77777777" w:rsidR="00050067" w:rsidRDefault="002D6B61">
      <w:pPr>
        <w:pStyle w:val="Heading2"/>
      </w:pPr>
      <w:r>
        <w:t>4.5 Put a dedicated business-oriented person on the ground</w:t>
      </w:r>
    </w:p>
    <w:p w14:paraId="365C5DA7" w14:textId="77777777" w:rsidR="00050067" w:rsidRDefault="002D6B61">
      <w:pPr>
        <w:spacing w:after="80" w:line="252" w:lineRule="auto"/>
      </w:pPr>
      <w:r>
        <w:t>The coaching discussion recommended a person or small team in Zambia focused on business coordination: working with financiers, suppliers, TLC, CFU, Ministry/DACOs, lead lists, documentation, loan applications, machine delivery, training and follow-up. This role should be practical and business-oriented. It may require someone who understands agriculture but is not primarily an agronomist. The person should be empowered to solve problems quickly.</w:t>
      </w:r>
    </w:p>
    <w:p w14:paraId="1081B066" w14:textId="77777777" w:rsidR="00050067" w:rsidRDefault="002D6B61">
      <w:pPr>
        <w:pStyle w:val="Heading2"/>
      </w:pPr>
      <w:r>
        <w:t>4.6 Rework the finance model around service cash flows</w:t>
      </w:r>
    </w:p>
    <w:p w14:paraId="5A58F7FE" w14:textId="77777777" w:rsidR="00050067" w:rsidRDefault="002D6B61">
      <w:pPr>
        <w:spacing w:after="80" w:line="252" w:lineRule="auto"/>
      </w:pPr>
      <w:r>
        <w:t>The finance model should be redesigned around real machinery-service businesses. For each priority machine, the model should show purchase price, deposit, operating costs, labor, fuel, repairs, utilization days, seasonal window, expected clients, revenue, net margin, repayment schedule and sensitivity to drought or low utilization. This should be done separately for shellers, basin diggers, peanut/groundnut machines, chopper-grinders, trailers and larger land-preparation equipment.</w:t>
      </w:r>
    </w:p>
    <w:p w14:paraId="222EBB4B" w14:textId="77777777" w:rsidR="00050067" w:rsidRDefault="002D6B61">
      <w:pPr>
        <w:pStyle w:val="Heading2"/>
      </w:pPr>
      <w:r>
        <w:t>4.7 Explore a temporary guarantee or interest-rate support mechanism</w:t>
      </w:r>
    </w:p>
    <w:p w14:paraId="75D3F4EC" w14:textId="77777777" w:rsidR="00050067" w:rsidRDefault="002D6B61">
      <w:pPr>
        <w:spacing w:after="80" w:line="252" w:lineRule="auto"/>
      </w:pPr>
      <w:r>
        <w:t>The coaching discussion raised the possibility of using available resources, including critical capability funds, to de-risk finance or lower interest rates temporarily. This could help create an initial base of machines in the market, demonstrate viability, and attract more commercial finance later. Any guarantee or subsidy should be carefully designed to avoid distorting the market or creating expectations of permanent subsidized finance.</w:t>
      </w:r>
    </w:p>
    <w:p w14:paraId="5F680947" w14:textId="77777777" w:rsidR="00050067" w:rsidRDefault="002D6B61">
      <w:pPr>
        <w:pStyle w:val="Heading2"/>
      </w:pPr>
      <w:r>
        <w:t>4.8 Use groups selectively</w:t>
      </w:r>
    </w:p>
    <w:p w14:paraId="3538D943" w14:textId="77777777" w:rsidR="00050067" w:rsidRDefault="002D6B61">
      <w:pPr>
        <w:spacing w:after="80" w:line="252" w:lineRule="auto"/>
      </w:pPr>
      <w:r>
        <w:t>Cooperatives and women’s groups should be considered where they are strong, trusted and financially disciplined. The project should use clear vetting criteria: years of operation, active membership, governance quality, savings/loan history, business activity, leadership, record keeping, repayment culture, and ability to manage or contract an operator. Group-owned machines may be suitable where individuals cannot afford machines, but weak groups could create repayment and management problems.</w:t>
      </w:r>
    </w:p>
    <w:p w14:paraId="60F3AB77" w14:textId="77777777" w:rsidR="00050067" w:rsidRDefault="002D6B61">
      <w:pPr>
        <w:pStyle w:val="Heading2"/>
      </w:pPr>
      <w:r>
        <w:t>4.9 Increase supplier skin in the game</w:t>
      </w:r>
    </w:p>
    <w:p w14:paraId="7F05E30C" w14:textId="77777777" w:rsidR="00050067" w:rsidRDefault="002D6B61">
      <w:pPr>
        <w:spacing w:after="80" w:line="252" w:lineRule="auto"/>
      </w:pPr>
      <w:r>
        <w:t>Machinery suppliers should be asked to commit more concretely. Possible commitments include providing demonstration machines, attending awareness events, training operators, ensuring spare parts availability, offering payment plans or working with asset financiers, stocking priority machines, and providing after-sales support in target districts. The project should clarify whether suppliers are willing to actively sell and create demand or only respond when buyers come.</w:t>
      </w:r>
    </w:p>
    <w:p w14:paraId="1FE43601" w14:textId="77777777" w:rsidR="00050067" w:rsidRDefault="002D6B61">
      <w:pPr>
        <w:pStyle w:val="Heading2"/>
      </w:pPr>
      <w:r>
        <w:t>4.10 Consider ancillary or year-round equipment</w:t>
      </w:r>
    </w:p>
    <w:p w14:paraId="10F8748C" w14:textId="77777777" w:rsidR="00050067" w:rsidRDefault="002D6B61">
      <w:pPr>
        <w:spacing w:after="80" w:line="252" w:lineRule="auto"/>
      </w:pPr>
      <w:r>
        <w:t>Several machines are highly seasonal. Trailers and transport-related equipment may offer more year-round income, as one farmer example showed. However, trailers often require tractors or larger investments, so they depend on stronger finance. The project should assess whether ancillary equipment can reduce seasonality risk and improve repayment capacity for some MSPs.</w:t>
      </w:r>
    </w:p>
    <w:p w14:paraId="269BCA78" w14:textId="77777777" w:rsidR="00050067" w:rsidRDefault="002D6B61">
      <w:pPr>
        <w:pStyle w:val="Heading1"/>
      </w:pPr>
      <w:r>
        <w:lastRenderedPageBreak/>
        <w:t>5. Richard / S4I coaching analysis and discussion</w:t>
      </w:r>
    </w:p>
    <w:p w14:paraId="41B32C7E" w14:textId="77777777" w:rsidR="00050067" w:rsidRDefault="002D6B61">
      <w:pPr>
        <w:pStyle w:val="Heading2"/>
      </w:pPr>
      <w:r>
        <w:t>5.1 Strengths recognized</w:t>
      </w:r>
    </w:p>
    <w:p w14:paraId="11BEC1E1" w14:textId="77777777" w:rsidR="00050067" w:rsidRDefault="002D6B61">
      <w:pPr>
        <w:spacing w:after="80" w:line="252" w:lineRule="auto"/>
      </w:pPr>
      <w:r>
        <w:t>The coaching analysis recognized that the core value proposition is strong. Mechanization is a serious constraint in Zambia, farmers are willing to pay for services, and potential service providers are willing to provide them. The team was commended for being demand-led rather than imposing machines selected by experts. The strongest immediate business case is maize shelling, with additional potential in peanut/groundnut processing. The basin digger was viewed as worth testing, but not yet proven.</w:t>
      </w:r>
    </w:p>
    <w:p w14:paraId="5E20A1FD" w14:textId="77777777" w:rsidR="00050067" w:rsidRDefault="002D6B61">
      <w:pPr>
        <w:spacing w:after="80" w:line="252" w:lineRule="auto"/>
      </w:pPr>
      <w:r>
        <w:t>The coaching also recognized that the service-provider model is plausible. The machines prioritized are relatively inexpensive, often below 10,000 kwacha, meaning some emerging farmers may be able to buy them in cash. This means the model does not collapse completely if finance is not immediately solved, but scaling will be slower.</w:t>
      </w:r>
    </w:p>
    <w:p w14:paraId="24F34B2B" w14:textId="77777777" w:rsidR="00050067" w:rsidRDefault="002D6B61">
      <w:pPr>
        <w:pStyle w:val="Heading2"/>
      </w:pPr>
      <w:r>
        <w:t>5.2 Weaknesses and implementation risks</w:t>
      </w:r>
    </w:p>
    <w:p w14:paraId="24976573" w14:textId="77777777" w:rsidR="00050067" w:rsidRDefault="002D6B61">
      <w:pPr>
        <w:spacing w:after="80" w:line="252" w:lineRule="auto"/>
      </w:pPr>
      <w:r>
        <w:t>The coaching session was direct that implementation in the first half of 2026 had been seriously problematic and may have put the program at risk. The main weaknesses identified were late funding and budget-code delays, no practical finance model in place, lack of dedicated in-country implementation capacity, insufficient partner resourcing, too few demonstration machines, weak follow-up systems, and inadequate conversion tracking.</w:t>
      </w:r>
    </w:p>
    <w:p w14:paraId="5F1BA26D" w14:textId="77777777" w:rsidR="00050067" w:rsidRDefault="002D6B61">
      <w:pPr>
        <w:spacing w:after="80" w:line="252" w:lineRule="auto"/>
      </w:pPr>
      <w:r>
        <w:t>The finance work was singled out as particularly problematic. The earlier Alliance finance model was viewed as not sufficiently aligned with the current ground reality. The recommendation was not necessarily to discard every element, but to rethink the model around actual machinery-service businesses, actual Zambian financiers, actual loan sizes, and current machine prices.</w:t>
      </w:r>
    </w:p>
    <w:p w14:paraId="42330B89" w14:textId="77777777" w:rsidR="00050067" w:rsidRDefault="002D6B61">
      <w:pPr>
        <w:pStyle w:val="Heading2"/>
      </w:pPr>
      <w:r>
        <w:t>5.3 Seasonality warning</w:t>
      </w:r>
    </w:p>
    <w:p w14:paraId="3B4E5BBD" w14:textId="77777777" w:rsidR="00050067" w:rsidRDefault="002D6B61">
      <w:pPr>
        <w:spacing w:after="80" w:line="252" w:lineRule="auto"/>
      </w:pPr>
      <w:r>
        <w:t>Richard emphasized that 2026 may already be partly lost for some postharvest machines because of seasonality. Maize shelling runs roughly from May to September. If finance applications only move in July or August and loans are approved in September, many potential buyers may rationally delay purchase until the next season. The recommendation was to move immediately on cash buyers and avoid assuming that borrowers will take loans for machines that cannot generate income for several months.</w:t>
      </w:r>
    </w:p>
    <w:p w14:paraId="48223AC0" w14:textId="77777777" w:rsidR="00050067" w:rsidRDefault="002D6B61">
      <w:pPr>
        <w:pStyle w:val="Heading2"/>
      </w:pPr>
      <w:r>
        <w:t>5.4 Conversion tracking and realistic targets</w:t>
      </w:r>
    </w:p>
    <w:p w14:paraId="6434B077" w14:textId="77777777" w:rsidR="00050067" w:rsidRDefault="002D6B61">
      <w:pPr>
        <w:spacing w:after="80" w:line="252" w:lineRule="auto"/>
      </w:pPr>
      <w:r>
        <w:t xml:space="preserve">The coaching discussion emphasized the need to track the full conversion chain. It questioned what “trained” and “operational” mean. Attending a demonstration is not the same as being trained to operate and maintain a machine; buying a machine is not the same as running a viable service business. The team should track each step: demonstration attendance, expression of interest, credible lead, documentation, finance application, approval, purchase, training, service delivery, repeat service delivery, income </w:t>
      </w:r>
      <w:r>
        <w:t>and business survival.</w:t>
      </w:r>
    </w:p>
    <w:p w14:paraId="5462A177" w14:textId="77777777" w:rsidR="00050067" w:rsidRDefault="002D6B61">
      <w:pPr>
        <w:spacing w:after="80" w:line="252" w:lineRule="auto"/>
      </w:pPr>
      <w:r>
        <w:t>The coaching team suggested that if conversion is only 10-20%, the project may need 2,000 or more leads to reach 250 operational service providers. This makes the scale of awareness building and follow-up much larger than current efforts.</w:t>
      </w:r>
    </w:p>
    <w:p w14:paraId="66D94312" w14:textId="77777777" w:rsidR="00050067" w:rsidRDefault="002D6B61">
      <w:pPr>
        <w:pStyle w:val="Heading2"/>
      </w:pPr>
      <w:r>
        <w:t>5.5 Resource allocation and partner funding</w:t>
      </w:r>
    </w:p>
    <w:p w14:paraId="37EEF882" w14:textId="77777777" w:rsidR="00050067" w:rsidRDefault="002D6B61">
      <w:pPr>
        <w:spacing w:after="80" w:line="252" w:lineRule="auto"/>
      </w:pPr>
      <w:r>
        <w:t>A strong point in the coaching session was that too many resources appeared to be held in senior staff or outside-country arrangements, while too little reached implementation partners and field operations. The discussion raised the need to shift resources toward TLC, CFU, Ministry/DACO implementation, finance facilitation, demonstrations, and in-country coordination. Critical capability funds were raised as a potential source to support partnership networks, guarantees or interest-rate support, but this wo</w:t>
      </w:r>
      <w:r>
        <w:t>uld require internal decisions and clarity on allowable use.</w:t>
      </w:r>
    </w:p>
    <w:p w14:paraId="65C06D70" w14:textId="77777777" w:rsidR="00050067" w:rsidRDefault="002D6B61">
      <w:pPr>
        <w:pStyle w:val="Heading2"/>
      </w:pPr>
      <w:r>
        <w:t>5.6 2026 recommendations from coaching</w:t>
      </w:r>
    </w:p>
    <w:p w14:paraId="22335634" w14:textId="77777777" w:rsidR="00050067" w:rsidRDefault="002D6B61">
      <w:pPr>
        <w:pStyle w:val="ListNumber"/>
        <w:spacing w:after="40"/>
      </w:pPr>
      <w:r>
        <w:t>Segment the lead list immediately and identify cash buyers, finance-ready buyers, weak leads, group leads and larger-machine leads.</w:t>
      </w:r>
    </w:p>
    <w:p w14:paraId="267ECDAD" w14:textId="77777777" w:rsidR="00050067" w:rsidRDefault="002D6B61">
      <w:pPr>
        <w:pStyle w:val="ListNumber"/>
        <w:spacing w:after="40"/>
      </w:pPr>
      <w:r>
        <w:t>Follow up cash buyers immediately and connect them to suppliers before the shelling season window closes.</w:t>
      </w:r>
    </w:p>
    <w:p w14:paraId="69A535F2" w14:textId="77777777" w:rsidR="00050067" w:rsidRDefault="002D6B61">
      <w:pPr>
        <w:pStyle w:val="ListNumber"/>
        <w:spacing w:after="40"/>
      </w:pPr>
      <w:r>
        <w:t>Increase the number and quality of demonstrations, especially where there is high likelihood of machine purchase and service demand.</w:t>
      </w:r>
    </w:p>
    <w:p w14:paraId="0213656D" w14:textId="77777777" w:rsidR="00050067" w:rsidRDefault="002D6B61">
      <w:pPr>
        <w:pStyle w:val="ListNumber"/>
        <w:spacing w:after="40"/>
      </w:pPr>
      <w:r>
        <w:t>Complement open demonstrations with targeted recruitment of credible MSP candidates.</w:t>
      </w:r>
    </w:p>
    <w:p w14:paraId="3D26B847" w14:textId="77777777" w:rsidR="00050067" w:rsidRDefault="002D6B61">
      <w:pPr>
        <w:pStyle w:val="ListNumber"/>
        <w:spacing w:after="40"/>
      </w:pPr>
      <w:r>
        <w:t>Put finance and business-support capacity on the ground in Zambia.</w:t>
      </w:r>
    </w:p>
    <w:p w14:paraId="11783FAF" w14:textId="77777777" w:rsidR="00050067" w:rsidRDefault="002D6B61">
      <w:pPr>
        <w:pStyle w:val="ListNumber"/>
        <w:spacing w:after="40"/>
      </w:pPr>
      <w:r>
        <w:t>Rework the finance model using actual machine-specific service cash flows and realistic loan terms.</w:t>
      </w:r>
    </w:p>
    <w:p w14:paraId="4D2FD66B" w14:textId="77777777" w:rsidR="00050067" w:rsidRDefault="002D6B61">
      <w:pPr>
        <w:pStyle w:val="ListNumber"/>
        <w:spacing w:after="40"/>
      </w:pPr>
      <w:r>
        <w:t>Explore a short-term guarantee or interest-rate support mechanism if resources allow.</w:t>
      </w:r>
    </w:p>
    <w:p w14:paraId="3F41A967" w14:textId="77777777" w:rsidR="00050067" w:rsidRDefault="002D6B61">
      <w:pPr>
        <w:pStyle w:val="ListNumber"/>
        <w:spacing w:after="40"/>
      </w:pPr>
      <w:r>
        <w:lastRenderedPageBreak/>
        <w:t>Track conversion rigorously and use the evidence for stage-gating and 2027 planning.</w:t>
      </w:r>
    </w:p>
    <w:p w14:paraId="550CA8C9" w14:textId="77777777" w:rsidR="00050067" w:rsidRDefault="002D6B61">
      <w:pPr>
        <w:pStyle w:val="Heading2"/>
      </w:pPr>
      <w:r>
        <w:t>5.7 2027 recommendations from coaching</w:t>
      </w:r>
    </w:p>
    <w:p w14:paraId="61B41516" w14:textId="77777777" w:rsidR="00050067" w:rsidRDefault="002D6B61">
      <w:pPr>
        <w:pStyle w:val="ListNumber"/>
        <w:spacing w:after="40"/>
      </w:pPr>
      <w:r>
        <w:t>Start much earlier in the season, especially for postharvest machines that need to be sold before or at the beginning of the shelling/processing window.</w:t>
      </w:r>
    </w:p>
    <w:p w14:paraId="5499E6AD" w14:textId="77777777" w:rsidR="00050067" w:rsidRDefault="002D6B61">
      <w:pPr>
        <w:pStyle w:val="ListNumber"/>
        <w:spacing w:after="40"/>
      </w:pPr>
      <w:r>
        <w:t>Develop a clearer machine-by-machine business case and financing strategy.</w:t>
      </w:r>
    </w:p>
    <w:p w14:paraId="2F335417" w14:textId="77777777" w:rsidR="00050067" w:rsidRDefault="002D6B61">
      <w:pPr>
        <w:pStyle w:val="ListNumber"/>
        <w:spacing w:after="40"/>
      </w:pPr>
      <w:r>
        <w:t>Secure stronger supplier commitments before the season starts.</w:t>
      </w:r>
    </w:p>
    <w:p w14:paraId="5F2DB6A4" w14:textId="77777777" w:rsidR="00050067" w:rsidRDefault="002D6B61">
      <w:pPr>
        <w:pStyle w:val="ListNumber"/>
        <w:spacing w:after="40"/>
      </w:pPr>
      <w:r>
        <w:t>Identify high-potential districts and buyers, not only districts where partners already happen to be present.</w:t>
      </w:r>
    </w:p>
    <w:p w14:paraId="77C4ABEF" w14:textId="77777777" w:rsidR="00050067" w:rsidRDefault="002D6B61">
      <w:pPr>
        <w:pStyle w:val="ListNumber"/>
        <w:spacing w:after="40"/>
      </w:pPr>
      <w:r>
        <w:t>Build a stronger in-country implementation team with business, finance and partnership skills.</w:t>
      </w:r>
    </w:p>
    <w:p w14:paraId="4F04E16A" w14:textId="77777777" w:rsidR="00050067" w:rsidRDefault="002D6B61">
      <w:pPr>
        <w:pStyle w:val="ListNumber"/>
        <w:spacing w:after="40"/>
      </w:pPr>
      <w:r>
        <w:t>Use 2026 as a learning year and adjust targets based on actual conversion evidence.</w:t>
      </w:r>
    </w:p>
    <w:p w14:paraId="09488770" w14:textId="77777777" w:rsidR="00050067" w:rsidRDefault="002D6B61">
      <w:pPr>
        <w:pStyle w:val="Heading1"/>
      </w:pPr>
      <w:r>
        <w:t>6. Lessons learned for the scaling solution</w:t>
      </w:r>
    </w:p>
    <w:p w14:paraId="3E8084B1" w14:textId="77777777" w:rsidR="00050067" w:rsidRDefault="002D6B61">
      <w:pPr>
        <w:pStyle w:val="ListNumber"/>
        <w:spacing w:after="40"/>
      </w:pPr>
      <w:r>
        <w:t>Demand-led machine selection is essential. The strongest machines are the ones farmers and potential service providers see as solving an immediate problem and generating income, especially shellers.</w:t>
      </w:r>
    </w:p>
    <w:p w14:paraId="636F4C32" w14:textId="77777777" w:rsidR="00050067" w:rsidRDefault="002D6B61">
      <w:pPr>
        <w:pStyle w:val="ListNumber"/>
        <w:spacing w:after="40"/>
      </w:pPr>
      <w:r>
        <w:t>Low-cost machines create a cash-buyer pathway. Not every scaling model needs to wait for bank finance if machines are affordable enough for emerging farmers.</w:t>
      </w:r>
    </w:p>
    <w:p w14:paraId="3FCB0875" w14:textId="77777777" w:rsidR="00050067" w:rsidRDefault="002D6B61">
      <w:pPr>
        <w:pStyle w:val="ListNumber"/>
        <w:spacing w:after="40"/>
      </w:pPr>
      <w:r>
        <w:t>Finance must fit the machine and the season. A loan product that works for a tractor may not work for a 5,000-10,000 kwacha sheller, and a loan approved after the service season may be useless.</w:t>
      </w:r>
    </w:p>
    <w:p w14:paraId="6B1058BA" w14:textId="77777777" w:rsidR="00050067" w:rsidRDefault="002D6B61">
      <w:pPr>
        <w:pStyle w:val="ListNumber"/>
        <w:spacing w:after="40"/>
      </w:pPr>
      <w:r>
        <w:t>Awareness is only the beginning. Scaling depends on conversion, not attendance.</w:t>
      </w:r>
    </w:p>
    <w:p w14:paraId="6D28CACF" w14:textId="77777777" w:rsidR="00050067" w:rsidRDefault="002D6B61">
      <w:pPr>
        <w:pStyle w:val="ListNumber"/>
        <w:spacing w:after="40"/>
      </w:pPr>
      <w:r>
        <w:t>The service-provider business case depends on utilization. Machines must have enough clients, enough working days, quick repairs and reliable scheduling.</w:t>
      </w:r>
    </w:p>
    <w:p w14:paraId="50F94F20" w14:textId="77777777" w:rsidR="00050067" w:rsidRDefault="002D6B61">
      <w:pPr>
        <w:pStyle w:val="ListNumber"/>
        <w:spacing w:after="40"/>
      </w:pPr>
      <w:r>
        <w:t>Groups can support inclusion but need due diligence. Strong groups may own or manage machinery; weak groups can become a repayment and governance risk.</w:t>
      </w:r>
    </w:p>
    <w:p w14:paraId="075D5612" w14:textId="77777777" w:rsidR="00050067" w:rsidRDefault="002D6B61">
      <w:pPr>
        <w:pStyle w:val="ListNumber"/>
        <w:spacing w:after="40"/>
      </w:pPr>
      <w:r>
        <w:t>Women’s participation should be based on actual preferences and business models, not assumptions about “women’s machines.”</w:t>
      </w:r>
    </w:p>
    <w:p w14:paraId="22BBA30B" w14:textId="77777777" w:rsidR="00050067" w:rsidRDefault="002D6B61">
      <w:pPr>
        <w:pStyle w:val="ListNumber"/>
        <w:spacing w:after="40"/>
      </w:pPr>
      <w:r>
        <w:t>Suppliers are part of the scaling system. Without spare parts, repairs, training, branches and active sales, machinery adoption can stall.</w:t>
      </w:r>
    </w:p>
    <w:p w14:paraId="136AA0CF" w14:textId="77777777" w:rsidR="00050067" w:rsidRDefault="002D6B61">
      <w:pPr>
        <w:pStyle w:val="ListNumber"/>
        <w:spacing w:after="40"/>
      </w:pPr>
      <w:r>
        <w:t>In-country implementation capacity is not optional. Follow-up, finance facilitation and problem solving require people on the ground.</w:t>
      </w:r>
    </w:p>
    <w:p w14:paraId="7CA7E76F" w14:textId="77777777" w:rsidR="00050067" w:rsidRDefault="002D6B61">
      <w:pPr>
        <w:pStyle w:val="Heading1"/>
      </w:pPr>
      <w:r>
        <w:t>7. Primary risks and concerns</w:t>
      </w:r>
    </w:p>
    <w:p w14:paraId="50667D0B" w14:textId="77777777" w:rsidR="00050067" w:rsidRDefault="002D6B61">
      <w:pPr>
        <w:pStyle w:val="ListNumber"/>
        <w:spacing w:after="40"/>
      </w:pPr>
      <w:r>
        <w:t>The project may over-count awareness or training as adoption if it does not define and track operational MSPs clearly.</w:t>
      </w:r>
    </w:p>
    <w:p w14:paraId="06D7E23F" w14:textId="77777777" w:rsidR="00050067" w:rsidRDefault="002D6B61">
      <w:pPr>
        <w:pStyle w:val="ListNumber"/>
        <w:spacing w:after="40"/>
      </w:pPr>
      <w:r>
        <w:t>Interest lists may have low conversion because many attendees are curious rather than ready to buy machinery.</w:t>
      </w:r>
    </w:p>
    <w:p w14:paraId="230F36CC" w14:textId="77777777" w:rsidR="00050067" w:rsidRDefault="002D6B61">
      <w:pPr>
        <w:pStyle w:val="ListNumber"/>
        <w:spacing w:after="40"/>
      </w:pPr>
      <w:r>
        <w:t>The finance model may remain too abstract or too tied to off-taker logic rather than service-provider cash flows.</w:t>
      </w:r>
    </w:p>
    <w:p w14:paraId="19B5F486" w14:textId="77777777" w:rsidR="00050067" w:rsidRDefault="002D6B61">
      <w:pPr>
        <w:pStyle w:val="ListNumber"/>
        <w:spacing w:after="40"/>
      </w:pPr>
      <w:r>
        <w:t>Commercial banks may not serve the low-cost machinery segment because of loan-size transaction costs.</w:t>
      </w:r>
    </w:p>
    <w:p w14:paraId="747265EF" w14:textId="77777777" w:rsidR="00050067" w:rsidRDefault="002D6B61">
      <w:pPr>
        <w:pStyle w:val="ListNumber"/>
        <w:spacing w:after="40"/>
      </w:pPr>
      <w:r>
        <w:t>MFIs may serve smaller loans but at interest rates that are too high for seasonal machines.</w:t>
      </w:r>
    </w:p>
    <w:p w14:paraId="63BD76EF" w14:textId="77777777" w:rsidR="00050067" w:rsidRDefault="002D6B61">
      <w:pPr>
        <w:pStyle w:val="ListNumber"/>
        <w:spacing w:after="40"/>
      </w:pPr>
      <w:r>
        <w:t>CEEC or government finance may be attractive but uncertain if funds are not available or processing is slow.</w:t>
      </w:r>
    </w:p>
    <w:p w14:paraId="7688AB6D" w14:textId="77777777" w:rsidR="00050067" w:rsidRDefault="002D6B61">
      <w:pPr>
        <w:pStyle w:val="ListNumber"/>
        <w:spacing w:after="40"/>
      </w:pPr>
      <w:r>
        <w:t>Seasonality may cause 2026 adoption to be lower than expected, especially for shellers and peanut-processing machines.</w:t>
      </w:r>
    </w:p>
    <w:p w14:paraId="7425776B" w14:textId="77777777" w:rsidR="00050067" w:rsidRDefault="002D6B61">
      <w:pPr>
        <w:pStyle w:val="ListNumber"/>
        <w:spacing w:after="40"/>
      </w:pPr>
      <w:r>
        <w:t>Basin diggers may not scale unless the service business case is proven, even if the labor-saving benefit is clear.</w:t>
      </w:r>
    </w:p>
    <w:p w14:paraId="5C6349C4" w14:textId="77777777" w:rsidR="00050067" w:rsidRDefault="002D6B61">
      <w:pPr>
        <w:pStyle w:val="ListNumber"/>
        <w:spacing w:after="40"/>
      </w:pPr>
      <w:r>
        <w:t>Weak cooperative governance could undermine group-owned machinery or group finance.</w:t>
      </w:r>
    </w:p>
    <w:p w14:paraId="6811D4D1" w14:textId="77777777" w:rsidR="00050067" w:rsidRDefault="002D6B61">
      <w:pPr>
        <w:pStyle w:val="ListNumber"/>
        <w:spacing w:after="40"/>
      </w:pPr>
      <w:r>
        <w:t>Insufficient demonstration machines and insufficient partner funding may slow demand creation.</w:t>
      </w:r>
    </w:p>
    <w:p w14:paraId="0F1E565B" w14:textId="77777777" w:rsidR="00050067" w:rsidRDefault="002D6B61">
      <w:pPr>
        <w:pStyle w:val="ListNumber"/>
        <w:spacing w:after="40"/>
      </w:pPr>
      <w:r>
        <w:t>Spare-part and repair delays could undermine MSP profitability and trust.</w:t>
      </w:r>
    </w:p>
    <w:p w14:paraId="19E3A146" w14:textId="77777777" w:rsidR="00050067" w:rsidRDefault="002D6B61">
      <w:pPr>
        <w:pStyle w:val="ListNumber"/>
        <w:spacing w:after="40"/>
      </w:pPr>
      <w:r>
        <w:t>Drought or climate shocks may divert service-provider income away from reinvestment into machinery and toward farm inputs or household needs.</w:t>
      </w:r>
    </w:p>
    <w:p w14:paraId="4CAEC775" w14:textId="77777777" w:rsidR="00050067" w:rsidRDefault="002D6B61">
      <w:pPr>
        <w:pStyle w:val="Heading1"/>
      </w:pPr>
      <w:r>
        <w:lastRenderedPageBreak/>
        <w:t>8. What to continue, improve, and stop</w:t>
      </w:r>
    </w:p>
    <w:p w14:paraId="6826A2DA" w14:textId="77777777" w:rsidR="00050067" w:rsidRDefault="002D6B61">
      <w:pPr>
        <w:pStyle w:val="Heading2"/>
      </w:pPr>
      <w:r>
        <w:t>Continue</w:t>
      </w:r>
    </w:p>
    <w:p w14:paraId="2D426CBF" w14:textId="77777777" w:rsidR="00050067" w:rsidRDefault="002D6B61">
      <w:pPr>
        <w:pStyle w:val="ListBullet"/>
        <w:spacing w:after="40"/>
        <w:ind w:left="288" w:hanging="173"/>
      </w:pPr>
      <w:r>
        <w:t>Continue demand-led prioritization of machines rather than pushing a pre-designed package.</w:t>
      </w:r>
    </w:p>
    <w:p w14:paraId="6852B646" w14:textId="77777777" w:rsidR="00050067" w:rsidRDefault="002D6B61">
      <w:pPr>
        <w:pStyle w:val="ListBullet"/>
        <w:spacing w:after="40"/>
        <w:ind w:left="288" w:hanging="173"/>
      </w:pPr>
      <w:r>
        <w:t>Continue working through TLC, CFU, Ministry/DACO structures, lead farmers, cooperatives and women groups, but with clearer role definition and resourcing.</w:t>
      </w:r>
    </w:p>
    <w:p w14:paraId="482781EE" w14:textId="77777777" w:rsidR="00050067" w:rsidRDefault="002D6B61">
      <w:pPr>
        <w:pStyle w:val="ListBullet"/>
        <w:spacing w:after="40"/>
        <w:ind w:left="288" w:hanging="173"/>
      </w:pPr>
      <w:r>
        <w:t>Continue demonstrating the business case to farmers using simple numbers: machine cost, service charge, daily output, operating cost and possible margin.</w:t>
      </w:r>
    </w:p>
    <w:p w14:paraId="2EB073E2" w14:textId="77777777" w:rsidR="00050067" w:rsidRDefault="002D6B61">
      <w:pPr>
        <w:pStyle w:val="ListBullet"/>
        <w:spacing w:after="40"/>
        <w:ind w:left="288" w:hanging="173"/>
      </w:pPr>
      <w:r>
        <w:t>Continue testing basin diggers, but treat them as a learning experiment until there is evidence of paid service demand.</w:t>
      </w:r>
    </w:p>
    <w:p w14:paraId="425A7892" w14:textId="77777777" w:rsidR="00050067" w:rsidRDefault="002D6B61">
      <w:pPr>
        <w:pStyle w:val="ListBullet"/>
        <w:spacing w:after="40"/>
        <w:ind w:left="288" w:hanging="173"/>
      </w:pPr>
      <w:r>
        <w:t>Continue engaging suppliers, especially those with branches, spare parts and after-sales capacity.</w:t>
      </w:r>
    </w:p>
    <w:p w14:paraId="23D06038" w14:textId="77777777" w:rsidR="00050067" w:rsidRDefault="002D6B61">
      <w:pPr>
        <w:pStyle w:val="Heading2"/>
      </w:pPr>
      <w:r>
        <w:t>Improve</w:t>
      </w:r>
    </w:p>
    <w:p w14:paraId="0C07FC65" w14:textId="77777777" w:rsidR="00050067" w:rsidRDefault="002D6B61">
      <w:pPr>
        <w:pStyle w:val="ListBullet"/>
        <w:spacing w:after="40"/>
        <w:ind w:left="288" w:hanging="173"/>
      </w:pPr>
      <w:r>
        <w:t>Improve the lead list by adding bankability and business-readiness information.</w:t>
      </w:r>
    </w:p>
    <w:p w14:paraId="296A5D13" w14:textId="77777777" w:rsidR="00050067" w:rsidRDefault="002D6B61">
      <w:pPr>
        <w:pStyle w:val="ListBullet"/>
        <w:spacing w:after="40"/>
        <w:ind w:left="288" w:hanging="173"/>
      </w:pPr>
      <w:r>
        <w:t>Improve conversion tracking from awareness to viable MSP business.</w:t>
      </w:r>
    </w:p>
    <w:p w14:paraId="70816616" w14:textId="77777777" w:rsidR="00050067" w:rsidRDefault="002D6B61">
      <w:pPr>
        <w:pStyle w:val="ListBullet"/>
        <w:spacing w:after="40"/>
        <w:ind w:left="288" w:hanging="173"/>
      </w:pPr>
      <w:r>
        <w:t>Improve finance alignment by separating cash buyers, small asset finance, group finance and larger commercial finance.</w:t>
      </w:r>
    </w:p>
    <w:p w14:paraId="2F363F12" w14:textId="77777777" w:rsidR="00050067" w:rsidRDefault="002D6B61">
      <w:pPr>
        <w:pStyle w:val="ListBullet"/>
        <w:spacing w:after="40"/>
        <w:ind w:left="288" w:hanging="173"/>
      </w:pPr>
      <w:r>
        <w:t>Improve in-country coordination through dedicated business/finance implementation capacity.</w:t>
      </w:r>
    </w:p>
    <w:p w14:paraId="4F1E70BA" w14:textId="77777777" w:rsidR="00050067" w:rsidRDefault="002D6B61">
      <w:pPr>
        <w:pStyle w:val="ListBullet"/>
        <w:spacing w:after="40"/>
        <w:ind w:left="288" w:hanging="173"/>
      </w:pPr>
      <w:r>
        <w:t>Improve partner funding so TLC, CFU and Ministry/DACO structures can do more demonstrations and follow-up.</w:t>
      </w:r>
    </w:p>
    <w:p w14:paraId="5DD76B95" w14:textId="77777777" w:rsidR="00050067" w:rsidRDefault="002D6B61">
      <w:pPr>
        <w:pStyle w:val="ListBullet"/>
        <w:spacing w:after="40"/>
        <w:ind w:left="288" w:hanging="173"/>
      </w:pPr>
      <w:r>
        <w:t>Improve GESI integration by linking women’s groups and women entrepreneurs to the main machine, finance and business-support pathway.</w:t>
      </w:r>
    </w:p>
    <w:p w14:paraId="2C470F11" w14:textId="77777777" w:rsidR="00050067" w:rsidRDefault="002D6B61">
      <w:pPr>
        <w:pStyle w:val="ListBullet"/>
        <w:spacing w:after="40"/>
        <w:ind w:left="288" w:hanging="173"/>
      </w:pPr>
      <w:r>
        <w:t>Improve supplier commitment by negotiating concrete roles in demonstrations, training, spare parts, stock and finance.</w:t>
      </w:r>
    </w:p>
    <w:p w14:paraId="3D19D425" w14:textId="77777777" w:rsidR="00050067" w:rsidRDefault="002D6B61">
      <w:pPr>
        <w:pStyle w:val="Heading2"/>
      </w:pPr>
      <w:r>
        <w:t>Stop or avoid</w:t>
      </w:r>
    </w:p>
    <w:p w14:paraId="22EC6889" w14:textId="77777777" w:rsidR="00050067" w:rsidRDefault="002D6B61">
      <w:pPr>
        <w:pStyle w:val="ListBullet"/>
        <w:spacing w:after="40"/>
        <w:ind w:left="288" w:hanging="173"/>
      </w:pPr>
      <w:r>
        <w:t>Avoid treating attendance, awareness or expression of interest as adoption.</w:t>
      </w:r>
    </w:p>
    <w:p w14:paraId="6273021F" w14:textId="77777777" w:rsidR="00050067" w:rsidRDefault="002D6B61">
      <w:pPr>
        <w:pStyle w:val="ListBullet"/>
        <w:spacing w:after="40"/>
        <w:ind w:left="288" w:hanging="173"/>
      </w:pPr>
      <w:r>
        <w:t>Avoid assuming the Zimbabwe finance model can be transferred directly to Zambia without redesign.</w:t>
      </w:r>
    </w:p>
    <w:p w14:paraId="71253B7F" w14:textId="77777777" w:rsidR="00050067" w:rsidRDefault="002D6B61">
      <w:pPr>
        <w:pStyle w:val="ListBullet"/>
        <w:spacing w:after="40"/>
        <w:ind w:left="288" w:hanging="173"/>
      </w:pPr>
      <w:r>
        <w:t>Avoid relying on an off-taker repayment logic where the actual business is cash-based service provision.</w:t>
      </w:r>
    </w:p>
    <w:p w14:paraId="3C6867FB" w14:textId="77777777" w:rsidR="00050067" w:rsidRDefault="002D6B61">
      <w:pPr>
        <w:pStyle w:val="ListBullet"/>
        <w:spacing w:after="40"/>
        <w:ind w:left="288" w:hanging="173"/>
      </w:pPr>
      <w:r>
        <w:t>Avoid late-season lending for postharvest machines unless repayment terms include grace periods or the machine has off-season uses.</w:t>
      </w:r>
    </w:p>
    <w:p w14:paraId="0C69D0F1" w14:textId="77777777" w:rsidR="00050067" w:rsidRDefault="002D6B61">
      <w:pPr>
        <w:pStyle w:val="ListBullet"/>
        <w:spacing w:after="40"/>
        <w:ind w:left="288" w:hanging="173"/>
      </w:pPr>
      <w:r>
        <w:t>Avoid spreading limited resources across too many geographies if the objective is to convert leads into operational MSPs quickly.</w:t>
      </w:r>
    </w:p>
    <w:p w14:paraId="52816F56" w14:textId="77777777" w:rsidR="00050067" w:rsidRDefault="002D6B61">
      <w:pPr>
        <w:pStyle w:val="ListBullet"/>
        <w:spacing w:after="40"/>
        <w:ind w:left="288" w:hanging="173"/>
      </w:pPr>
      <w:r>
        <w:t>Avoid creating a GESI strategy that is separate from the core business model.</w:t>
      </w:r>
    </w:p>
    <w:sectPr w:rsidR="0005006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69D47" w14:textId="77777777" w:rsidR="002D6B61" w:rsidRDefault="002D6B61">
      <w:pPr>
        <w:spacing w:after="0" w:line="240" w:lineRule="auto"/>
      </w:pPr>
      <w:r>
        <w:separator/>
      </w:r>
    </w:p>
  </w:endnote>
  <w:endnote w:type="continuationSeparator" w:id="0">
    <w:p w14:paraId="5F980F0F" w14:textId="77777777" w:rsidR="002D6B61" w:rsidRDefault="002D6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B699" w14:textId="77777777" w:rsidR="00050067" w:rsidRDefault="002D6B61">
    <w:pPr>
      <w:pStyle w:val="Footer"/>
      <w:jc w:val="center"/>
    </w:pPr>
    <w:r>
      <w:t xml:space="preserve">Zambia mechanization coaching notes | Page </w:t>
    </w:r>
    <w:r>
      <w:fldChar w:fldCharType="begin"/>
    </w:r>
    <w:r>
      <w:instrText>PAGE</w:instrText>
    </w:r>
    <w:r>
      <w:fldChar w:fldCharType="separate"/>
    </w:r>
    <w:r w:rsidR="00BD2F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623B3" w14:textId="77777777" w:rsidR="002D6B61" w:rsidRDefault="002D6B61">
      <w:pPr>
        <w:spacing w:after="0" w:line="240" w:lineRule="auto"/>
      </w:pPr>
      <w:r>
        <w:separator/>
      </w:r>
    </w:p>
  </w:footnote>
  <w:footnote w:type="continuationSeparator" w:id="0">
    <w:p w14:paraId="05DAE2CB" w14:textId="77777777" w:rsidR="002D6B61" w:rsidRDefault="002D6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433761">
    <w:abstractNumId w:val="8"/>
  </w:num>
  <w:num w:numId="2" w16cid:durableId="1015377521">
    <w:abstractNumId w:val="6"/>
  </w:num>
  <w:num w:numId="3" w16cid:durableId="1795828957">
    <w:abstractNumId w:val="5"/>
  </w:num>
  <w:num w:numId="4" w16cid:durableId="303967808">
    <w:abstractNumId w:val="4"/>
  </w:num>
  <w:num w:numId="5" w16cid:durableId="745809555">
    <w:abstractNumId w:val="7"/>
  </w:num>
  <w:num w:numId="6" w16cid:durableId="1455445228">
    <w:abstractNumId w:val="3"/>
  </w:num>
  <w:num w:numId="7" w16cid:durableId="1051538755">
    <w:abstractNumId w:val="2"/>
  </w:num>
  <w:num w:numId="8" w16cid:durableId="757824999">
    <w:abstractNumId w:val="1"/>
  </w:num>
  <w:num w:numId="9" w16cid:durableId="158213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67"/>
    <w:rsid w:val="0006063C"/>
    <w:rsid w:val="000D4C4C"/>
    <w:rsid w:val="0015074B"/>
    <w:rsid w:val="0029639D"/>
    <w:rsid w:val="002D6B61"/>
    <w:rsid w:val="00326F90"/>
    <w:rsid w:val="0079468B"/>
    <w:rsid w:val="00AA1D8D"/>
    <w:rsid w:val="00B47730"/>
    <w:rsid w:val="00BD2FDC"/>
    <w:rsid w:val="00CB0664"/>
    <w:rsid w:val="00D6249D"/>
    <w:rsid w:val="00E81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C204B"/>
  <w14:defaultImageDpi w14:val="300"/>
  <w15:docId w15:val="{42D7615A-5997-4B40-A527-733C754F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7253</Words>
  <Characters>41348</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Otieno, Felix Owino (Alliance Bioversity-CIAT)</cp:lastModifiedBy>
  <cp:revision>3</cp:revision>
  <dcterms:created xsi:type="dcterms:W3CDTF">2013-12-23T23:15:00Z</dcterms:created>
  <dcterms:modified xsi:type="dcterms:W3CDTF">2026-07-06T22:04:00Z</dcterms:modified>
  <cp:category/>
</cp:coreProperties>
</file>