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40"/>
        <w:jc w:val="center"/>
      </w:pPr>
      <w:r>
        <w:rPr>
          <w:rFonts w:ascii="Aptos Display" w:hAnsi="Aptos Display"/>
          <w:b/>
          <w:color w:val="1F374E"/>
          <w:sz w:val="48"/>
        </w:rPr>
        <w:t>PUBLIC-PRIVATE PARTNERSHIP FOR RICE</w:t>
        <w:br/>
        <w:t>NIGERIA</w:t>
      </w:r>
    </w:p>
    <w:p>
      <w:pPr>
        <w:widowControl/>
        <w:jc w:val="center"/>
      </w:pPr>
      <w:r>
        <w:rPr>
          <w:rFonts w:ascii="Aptos Display" w:hAnsi="Aptos Display"/>
          <w:b/>
          <w:color w:val="266F76"/>
          <w:sz w:val="32"/>
        </w:rPr>
        <w:t>Comprehensive Coaching Session Notes</w:t>
      </w:r>
    </w:p>
    <w:p>
      <w:pPr>
        <w:widowControl/>
        <w:spacing w:before="440"/>
        <w:jc w:val="center"/>
      </w:pPr>
      <w:r>
        <w:rPr>
          <w:rFonts w:ascii="Aptos" w:hAnsi="Aptos"/>
          <w:color w:val="646464"/>
          <w:sz w:val="22"/>
        </w:rPr>
        <w:t>Session date: 20 July 2026</w:t>
        <w:br/>
        <w:t>Recording length: 2 hours 53 minutes</w:t>
        <w:br/>
        <w:t>Focus: the AfricaRice public-private partnership model for scaling integrated rice innovations in Nigeria</w:t>
      </w:r>
    </w:p>
    <w:p>
      <w:pPr>
        <w:widowControl/>
        <w:spacing w:before="560"/>
        <w:jc w:val="center"/>
      </w:pPr>
      <w:r>
        <w:rPr>
          <w:i/>
          <w:color w:val="646464"/>
          <w:sz w:val="19"/>
        </w:rPr>
        <w:t>Prepared as a complete thematic record of the Nigeria evidence-gathering session, including progress, partner perspectives, coaching-oriented observations, recommendations, commitments and unresolved issues.</w:t>
      </w:r>
    </w:p>
    <w:p>
      <w:pPr>
        <w:widowControl/>
        <w:spacing w:before="400"/>
        <w:jc w:val="center"/>
      </w:pPr>
      <w:r>
        <w:rPr>
          <w:color w:val="646464"/>
          <w:sz w:val="18"/>
        </w:rPr>
        <w:t>Interpretation note: the recording contains several transcription and connectivity errors. Names, figures and institutional labels that could not be confirmed from context are presented cautiously and marked for verification.</w:t>
      </w:r>
    </w:p>
    <w:p>
      <w:pPr>
        <w:widowControl/>
      </w:pPr>
      <w:r>
        <w:br w:type="page"/>
      </w:r>
    </w:p>
    <w:p>
      <w:pPr>
        <w:pStyle w:val="Heading1"/>
        <w:keepNext/>
        <w:widowControl/>
      </w:pPr>
      <w:r>
        <w:t>Contents</w:t>
      </w:r>
    </w:p>
    <w:p>
      <w:pPr>
        <w:widowControl/>
        <w:spacing w:after="30"/>
      </w:pPr>
      <w:r>
        <w:t>1. Executive synthesis</w:t>
      </w:r>
    </w:p>
    <w:p>
      <w:pPr>
        <w:widowControl/>
        <w:spacing w:after="30"/>
      </w:pPr>
      <w:r>
        <w:t>2. Session purpose, format and participants</w:t>
      </w:r>
    </w:p>
    <w:p>
      <w:pPr>
        <w:widowControl/>
        <w:spacing w:after="30"/>
      </w:pPr>
      <w:r>
        <w:t>3. Solution concept and state-level PPP model</w:t>
      </w:r>
    </w:p>
    <w:p>
      <w:pPr>
        <w:widowControl/>
        <w:spacing w:after="30"/>
      </w:pPr>
      <w:r>
        <w:t>4. What is being scaled: the integrated rice innovation package</w:t>
      </w:r>
    </w:p>
    <w:p>
      <w:pPr>
        <w:widowControl/>
        <w:spacing w:after="30"/>
      </w:pPr>
      <w:r>
        <w:t>5. Geographic scope, ambitions and reported progress</w:t>
      </w:r>
    </w:p>
    <w:p>
      <w:pPr>
        <w:widowControl/>
        <w:spacing w:after="30"/>
      </w:pPr>
      <w:r>
        <w:t>6. Seed-system pathway</w:t>
      </w:r>
    </w:p>
    <w:p>
      <w:pPr>
        <w:widowControl/>
        <w:spacing w:after="30"/>
      </w:pPr>
      <w:r>
        <w:t>7. Adoption evidence, data quality and varietal identity</w:t>
      </w:r>
    </w:p>
    <w:p>
      <w:pPr>
        <w:widowControl/>
        <w:spacing w:after="30"/>
      </w:pPr>
      <w:r>
        <w:t>8. Digital pathway: eProd, RiceAdvice and AgriSuite</w:t>
      </w:r>
    </w:p>
    <w:p>
      <w:pPr>
        <w:widowControl/>
        <w:spacing w:after="30"/>
      </w:pPr>
      <w:r>
        <w:t>9. Aggregation, milling, offtake and market pull</w:t>
      </w:r>
    </w:p>
    <w:p>
      <w:pPr>
        <w:widowControl/>
        <w:spacing w:after="30"/>
      </w:pPr>
      <w:r>
        <w:t>10. Mechanization-as-a-service pathway</w:t>
      </w:r>
    </w:p>
    <w:p>
      <w:pPr>
        <w:widowControl/>
        <w:spacing w:after="30"/>
      </w:pPr>
      <w:r>
        <w:t>11. Smart Valley and infrastructure-investment pathway</w:t>
      </w:r>
    </w:p>
    <w:p>
      <w:pPr>
        <w:widowControl/>
        <w:spacing w:after="30"/>
      </w:pPr>
      <w:r>
        <w:t>12. Partner ecosystem, nested networks and governance</w:t>
      </w:r>
    </w:p>
    <w:p>
      <w:pPr>
        <w:widowControl/>
        <w:spacing w:after="30"/>
      </w:pPr>
      <w:r>
        <w:t>13. Business models and long-term sustainability</w:t>
      </w:r>
    </w:p>
    <w:p>
      <w:pPr>
        <w:widowControl/>
        <w:spacing w:after="30"/>
      </w:pPr>
      <w:r>
        <w:t>14. Responsible scaling, inclusion and nutrition-sensitive elements</w:t>
      </w:r>
    </w:p>
    <w:p>
      <w:pPr>
        <w:widowControl/>
        <w:spacing w:after="30"/>
      </w:pPr>
      <w:r>
        <w:t>15. Monitoring, evaluation, traceability and learning</w:t>
      </w:r>
    </w:p>
    <w:p>
      <w:pPr>
        <w:widowControl/>
        <w:spacing w:after="30"/>
      </w:pPr>
      <w:r>
        <w:t>16. Realism of the track-level ambitions</w:t>
      </w:r>
    </w:p>
    <w:p>
      <w:pPr>
        <w:widowControl/>
        <w:spacing w:after="30"/>
      </w:pPr>
      <w:r>
        <w:t>17. Consolidated coaching recommendations</w:t>
      </w:r>
    </w:p>
    <w:p>
      <w:pPr>
        <w:widowControl/>
        <w:spacing w:after="30"/>
      </w:pPr>
      <w:r>
        <w:t>18. Follow-up actions and commitments</w:t>
      </w:r>
    </w:p>
    <w:p>
      <w:pPr>
        <w:widowControl/>
        <w:spacing w:after="30"/>
      </w:pPr>
      <w:r>
        <w:t>19. Outstanding questions and evidence gaps</w:t>
      </w:r>
    </w:p>
    <w:p>
      <w:pPr>
        <w:widowControl/>
        <w:spacing w:after="30"/>
      </w:pPr>
      <w:r>
        <w:t>20. Overall assessment of the solution track</w:t>
      </w:r>
    </w:p>
    <w:p>
      <w:pPr>
        <w:widowControl/>
        <w:spacing w:after="30"/>
      </w:pPr>
      <w:r>
        <w:t>Annex A. Key figures mentioned in the session</w:t>
      </w:r>
    </w:p>
    <w:p>
      <w:pPr>
        <w:widowControl/>
        <w:spacing w:after="30"/>
      </w:pPr>
      <w:r>
        <w:t>Annex B. Selected quotations and coaching messages</w:t>
      </w:r>
    </w:p>
    <w:p>
      <w:pPr>
        <w:widowControl/>
      </w:pPr>
      <w:r>
        <w:br w:type="page"/>
      </w:r>
    </w:p>
    <w:p>
      <w:pPr>
        <w:pStyle w:val="Heading1"/>
        <w:keepNext/>
        <w:widowControl/>
      </w:pPr>
      <w:r>
        <w:t>1. Executive synthesis</w:t>
      </w:r>
    </w:p>
    <w:p>
      <w:pPr>
        <w:pStyle w:val="ExecutiveSummary"/>
        <w:widowControl/>
        <w:spacing w:after="100"/>
      </w:pPr>
      <w:r>
        <w:rPr>
          <w:i w:val="0"/>
        </w:rPr>
        <w:t>The Nigeria component of the AfricaRice public-private partnership track is designed as a system-level scaling model rather than a conventional technology dissemination project. Its central proposition is that rice productivity, commercialization and competitiveness cannot be transformed through isolated interventions. Improved varieties, quality seed, agronomy, mechanization, digital services, aggregation, processing, finance and public coordination must be connected through state-level partnerships and commercially motivated actors.</w:t>
      </w:r>
    </w:p>
    <w:p>
      <w:pPr>
        <w:pStyle w:val="ExecutiveSummary"/>
        <w:widowControl/>
        <w:spacing w:after="100"/>
      </w:pPr>
      <w:r>
        <w:rPr>
          <w:i w:val="0"/>
        </w:rPr>
        <w:t>The session was not the final external coaching session. It was a Nigeria-focused evidence-gathering and clarification meeting intended to complement the Cote d'Ivoire discussion and provide the external coach with a complete view of the two-country track. Nevertheless, the questioning was strongly coaching-oriented: it tested which components are genuinely scaling, who pays, what evidence proves adoption, how the nested partnerships function, which activities require S4I support and whether the stated ambitions are realistic.</w:t>
      </w:r>
    </w:p>
    <w:p>
      <w:pPr>
        <w:pStyle w:val="ExecutiveSummary"/>
        <w:widowControl/>
        <w:spacing w:after="100"/>
      </w:pPr>
      <w:r>
        <w:rPr>
          <w:i w:val="0"/>
        </w:rPr>
        <w:t>The strongest strategic insight emerging from the discussion was the need to distinguish the broad integrated package from the small number of pathways that should receive catalytic attention. The team ultimately identified three interconnected priorities: a reliable and demand-responsive seed system; miller- or aggregator-anchored production clusters that create market pull for quality paddy; and a digital backbone that registers actors, supports advisory delivery, records transactions and makes outcomes traceable. Mechanization, Smart Valley development, extension and finance remain important, but should be positioned as enabling services around those three core pathways rather than presented as equally weighted stand-alone components.</w:t>
      </w:r>
    </w:p>
    <w:p>
      <w:pPr>
        <w:pStyle w:val="ExecutiveSummary"/>
        <w:widowControl/>
        <w:spacing w:after="100"/>
      </w:pPr>
      <w:r>
        <w:rPr>
          <w:i w:val="0"/>
        </w:rPr>
        <w:t>The seed pathway has real commercial activity and strong partner interest, but the evidence presented during the meeting was inconsistent. A seed company initially appeared to report one million tonnes of certified seed, later corrected to one million kilograms, or 1,000 tonnes. The National Agricultural Seeds Council representative cautioned that production and adoption figures should be verified against certification records. The discussion also exposed widespread seed recycling, varietal misidentification, adulteration and uncertainty over whether farmers are planting certified seed, recycled seed or grain sold as seed. These weaknesses are not merely MEL gaps; they are central constraints to seed-market credibility and scaling.</w:t>
      </w:r>
    </w:p>
    <w:p>
      <w:pPr>
        <w:pStyle w:val="ExecutiveSummary"/>
        <w:widowControl/>
        <w:spacing w:after="100"/>
      </w:pPr>
      <w:r>
        <w:rPr>
          <w:i w:val="0"/>
        </w:rPr>
        <w:t>The digital pathway has a plausible enterprise model. eProd is intended to be licensed by seed companies, millers, aggregators and other enterprises because it improves farmer management, input delivery, payments, traceability and links to finance. RiceAdvice supplies plot-specific nutrient and agronomic recommendations, while AgriSuite is already used by Niger State. However, the present system is fragmented. The eProd-RiceAdvice integration was reported as temporarily non-functional, some companies have experienced upload and server-access problems, and the two states are not using the same digital architecture. A common results data model is therefore more important than forcing all partners onto one platform.</w:t>
      </w:r>
    </w:p>
    <w:p>
      <w:pPr>
        <w:pStyle w:val="ExecutiveSummary"/>
        <w:widowControl/>
        <w:spacing w:after="100"/>
      </w:pPr>
      <w:r>
        <w:rPr>
          <w:i w:val="0"/>
        </w:rPr>
        <w:t>The aggregation and milling pathway provides the clearest market pull. Millers and processors reported strong demand for quality paddy and difficulty obtaining sufficient volumes. Side-selling occurs when market prices move beyond contracted prices, while poor varietal purity and weak post-harvest practices reduce local rice quality relative to imports. The strategic opportunity is to use millers and aggregators as anchors that coordinate seed demand, farmer production, mechanization, quality standards, advisory services and buy-back arrangements. The risk is that the track has not yet quantified the bindingness of these relationships, the actual volumes aggregated, the share produced with promoted varieties or the profitability of the participating actors.</w:t>
      </w:r>
    </w:p>
    <w:p>
      <w:pPr>
        <w:pStyle w:val="ExecutiveSummary"/>
        <w:widowControl/>
        <w:spacing w:after="100"/>
      </w:pPr>
      <w:r>
        <w:rPr>
          <w:i w:val="0"/>
        </w:rPr>
        <w:t>Mechanization is a critical bottleneck and an area of substantial state investment. Niger State was reported to have acquired a large tractor fleet, while Jigawa State reported 300 tractors, 150 multi-purpose planters, 60 combine harvesters and 60 mechanization centres. The key scaling question is no longer only whether machinery exists, but whether the assets are accessible, appropriately sized, efficiently scheduled, maintained, commercially priced and fully utilized. Participants highlighted long queues, inadequate combine harvester coverage, high manual-harvest losses and the need for smaller equipment that can operate in fragmented and difficult rural fields.</w:t>
      </w:r>
    </w:p>
    <w:p>
      <w:pPr>
        <w:pStyle w:val="ExecutiveSummary"/>
        <w:widowControl/>
        <w:spacing w:after="100"/>
      </w:pPr>
      <w:r>
        <w:rPr>
          <w:i w:val="0"/>
        </w:rPr>
        <w:t>The Smart Valley pathway remains earlier-stage. The team is mapping suitable inland valleys, assessing business cases and seeking community, government and development-finance investment. This should be described as an investment-development and institutionalization pathway, not yet as a scaled outcome. Evidence must show which sites are ready, what infrastructure is required, who contributes labor or capital, who owns and maintains the works, and what incremental production and resilience are expected.</w:t>
      </w:r>
    </w:p>
    <w:p>
      <w:pPr>
        <w:pStyle w:val="ExecutiveSummary"/>
        <w:widowControl/>
        <w:spacing w:after="100"/>
      </w:pPr>
      <w:r>
        <w:rPr>
          <w:i w:val="0"/>
        </w:rPr>
        <w:t>The track has considerable convening strength. AfricaRice has brought together state governments, research bodies, seed regulators, seed companies, digital providers, millers, aggregators, mechanization actors, farmer organizations and development-finance institutions. The open question is whether this coordination is sufficiently institutionalized to continue without S4I funding. The 2027 proposition should therefore specify which coordination functions are temporary, which will be absorbed by state or industry institutions, and which high-value catalytic functions still require CGIAR support.</w:t>
      </w: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Central coaching conclusion</w:t>
            </w:r>
          </w:p>
          <w:p>
            <w:pPr>
              <w:spacing w:after="0" w:line="252" w:lineRule="auto"/>
            </w:pPr>
            <w:r>
              <w:rPr>
                <w:rFonts w:ascii="Aptos" w:hAnsi="Aptos"/>
                <w:color w:val="282828"/>
                <w:sz w:val="19"/>
              </w:rPr>
              <w:t>The track has a credible systems logic, but it is currently wider than the available evidence and funding can support. The strongest position is to prioritize three mutually reinforcing scaling pathways - quality seed, miller/aggregator-anchored clusters and digital traceability/advisory - and use mechanization, Smart Valleys, finance, extension and policy action selectively to remove the binding constraints around those pathways.</w:t>
            </w:r>
          </w:p>
        </w:tc>
      </w:tr>
    </w:tbl>
    <w:p>
      <w:pPr>
        <w:widowControl/>
      </w:pP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37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Area</w:t>
            </w:r>
          </w:p>
        </w:tc>
        <w:tc>
          <w:tcPr>
            <w:tcW w:type="dxa" w:w="820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Coaching judgment</w:t>
            </w:r>
          </w:p>
        </w:tc>
      </w:tr>
      <w:tr>
        <w:trPr>
          <w:cantSplit/>
        </w:trPr>
        <w:tc>
          <w:tcPr>
            <w:tcW w:type="dxa" w:w="2376"/>
            <w:vAlign w:val="center"/>
            <w:tcMar>
              <w:top w:w="90" w:type="dxa"/>
              <w:start w:w="110" w:type="dxa"/>
              <w:bottom w:w="90" w:type="dxa"/>
              <w:end w:w="110" w:type="dxa"/>
            </w:tcMar>
            <w:shd w:fill="FFFFFF"/>
          </w:tcPr>
          <w:p>
            <w:pPr>
              <w:spacing w:after="0" w:before="0" w:line="240" w:lineRule="auto"/>
            </w:pPr>
            <w:r/>
            <w:r>
              <w:rPr>
                <w:rFonts w:ascii="Aptos" w:hAnsi="Aptos"/>
                <w:b w:val="0"/>
                <w:sz w:val="18"/>
              </w:rPr>
              <w:t>Strategic logic</w:t>
            </w:r>
          </w:p>
        </w:tc>
        <w:tc>
          <w:tcPr>
            <w:tcW w:type="dxa" w:w="8208"/>
            <w:vAlign w:val="center"/>
            <w:tcMar>
              <w:top w:w="90" w:type="dxa"/>
              <w:start w:w="110" w:type="dxa"/>
              <w:bottom w:w="90" w:type="dxa"/>
              <w:end w:w="110" w:type="dxa"/>
            </w:tcMar>
            <w:shd w:fill="FFFFFF"/>
          </w:tcPr>
          <w:p>
            <w:pPr>
              <w:spacing w:after="0" w:before="0" w:line="240" w:lineRule="auto"/>
            </w:pPr>
            <w:r/>
            <w:r>
              <w:rPr>
                <w:rFonts w:ascii="Aptos" w:hAnsi="Aptos"/>
                <w:b w:val="0"/>
                <w:sz w:val="18"/>
              </w:rPr>
              <w:t>Strong. The track correctly recognizes that rice scaling requires connected seed, production, service, market and institutional systems.</w:t>
            </w:r>
          </w:p>
        </w:tc>
      </w:tr>
      <w:tr>
        <w:trPr>
          <w:cantSplit/>
        </w:trPr>
        <w:tc>
          <w:tcPr>
            <w:tcW w:type="dxa" w:w="2376"/>
            <w:vAlign w:val="center"/>
            <w:tcMar>
              <w:top w:w="90" w:type="dxa"/>
              <w:start w:w="110" w:type="dxa"/>
              <w:bottom w:w="90" w:type="dxa"/>
              <w:end w:w="110" w:type="dxa"/>
            </w:tcMar>
            <w:shd w:fill="EAF0F5"/>
          </w:tcPr>
          <w:p>
            <w:pPr>
              <w:spacing w:after="0" w:before="0" w:line="240" w:lineRule="auto"/>
            </w:pPr>
            <w:r/>
            <w:r>
              <w:rPr>
                <w:rFonts w:ascii="Aptos" w:hAnsi="Aptos"/>
                <w:b w:val="0"/>
                <w:sz w:val="18"/>
              </w:rPr>
              <w:t>Government ownership</w:t>
            </w:r>
          </w:p>
        </w:tc>
        <w:tc>
          <w:tcPr>
            <w:tcW w:type="dxa" w:w="8208"/>
            <w:vAlign w:val="center"/>
            <w:tcMar>
              <w:top w:w="90" w:type="dxa"/>
              <w:start w:w="110" w:type="dxa"/>
              <w:bottom w:w="90" w:type="dxa"/>
              <w:end w:w="110" w:type="dxa"/>
            </w:tcMar>
            <w:shd w:fill="EAF0F5"/>
          </w:tcPr>
          <w:p>
            <w:pPr>
              <w:spacing w:after="0" w:before="0" w:line="240" w:lineRule="auto"/>
            </w:pPr>
            <w:r/>
            <w:r>
              <w:rPr>
                <w:rFonts w:ascii="Aptos" w:hAnsi="Aptos"/>
                <w:b w:val="0"/>
                <w:sz w:val="18"/>
              </w:rPr>
              <w:t>Promising. Niger and Jigawa states are actively involved and have developed transformation frameworks, targets and investment plans, but the legal and budgetary commitments behind them require confirmation.</w:t>
            </w:r>
          </w:p>
        </w:tc>
      </w:tr>
      <w:tr>
        <w:trPr>
          <w:cantSplit/>
        </w:trPr>
        <w:tc>
          <w:tcPr>
            <w:tcW w:type="dxa" w:w="2376"/>
            <w:vAlign w:val="center"/>
            <w:tcMar>
              <w:top w:w="90" w:type="dxa"/>
              <w:start w:w="110" w:type="dxa"/>
              <w:bottom w:w="90" w:type="dxa"/>
              <w:end w:w="110" w:type="dxa"/>
            </w:tcMar>
            <w:shd w:fill="FFFFFF"/>
          </w:tcPr>
          <w:p>
            <w:pPr>
              <w:spacing w:after="0" w:before="0" w:line="240" w:lineRule="auto"/>
            </w:pPr>
            <w:r/>
            <w:r>
              <w:rPr>
                <w:rFonts w:ascii="Aptos" w:hAnsi="Aptos"/>
                <w:b w:val="0"/>
                <w:sz w:val="18"/>
              </w:rPr>
              <w:t>Private-sector engagement</w:t>
            </w:r>
          </w:p>
        </w:tc>
        <w:tc>
          <w:tcPr>
            <w:tcW w:type="dxa" w:w="8208"/>
            <w:vAlign w:val="center"/>
            <w:tcMar>
              <w:top w:w="90" w:type="dxa"/>
              <w:start w:w="110" w:type="dxa"/>
              <w:bottom w:w="90" w:type="dxa"/>
              <w:end w:w="110" w:type="dxa"/>
            </w:tcMar>
            <w:shd w:fill="FFFFFF"/>
          </w:tcPr>
          <w:p>
            <w:pPr>
              <w:spacing w:after="0" w:before="0" w:line="240" w:lineRule="auto"/>
            </w:pPr>
            <w:r/>
            <w:r>
              <w:rPr>
                <w:rFonts w:ascii="Aptos" w:hAnsi="Aptos"/>
                <w:b w:val="0"/>
                <w:sz w:val="18"/>
              </w:rPr>
              <w:t>Strong in breadth. Seed companies, millers, digital providers, machinery actors and aggregators are present; the depth, contractual commitment and investment additionality vary considerably.</w:t>
            </w:r>
          </w:p>
        </w:tc>
      </w:tr>
      <w:tr>
        <w:trPr>
          <w:cantSplit/>
        </w:trPr>
        <w:tc>
          <w:tcPr>
            <w:tcW w:type="dxa" w:w="2376"/>
            <w:vAlign w:val="center"/>
            <w:tcMar>
              <w:top w:w="90" w:type="dxa"/>
              <w:start w:w="110" w:type="dxa"/>
              <w:bottom w:w="90" w:type="dxa"/>
              <w:end w:w="110" w:type="dxa"/>
            </w:tcMar>
            <w:shd w:fill="EAF0F5"/>
          </w:tcPr>
          <w:p>
            <w:pPr>
              <w:spacing w:after="0" w:before="0" w:line="240" w:lineRule="auto"/>
            </w:pPr>
            <w:r/>
            <w:r>
              <w:rPr>
                <w:rFonts w:ascii="Aptos" w:hAnsi="Aptos"/>
                <w:b w:val="0"/>
                <w:sz w:val="18"/>
              </w:rPr>
              <w:t>Seed pathway</w:t>
            </w:r>
          </w:p>
        </w:tc>
        <w:tc>
          <w:tcPr>
            <w:tcW w:type="dxa" w:w="8208"/>
            <w:vAlign w:val="center"/>
            <w:tcMar>
              <w:top w:w="90" w:type="dxa"/>
              <w:start w:w="110" w:type="dxa"/>
              <w:bottom w:w="90" w:type="dxa"/>
              <w:end w:w="110" w:type="dxa"/>
            </w:tcMar>
            <w:shd w:fill="EAF0F5"/>
          </w:tcPr>
          <w:p>
            <w:pPr>
              <w:spacing w:after="0" w:before="0" w:line="240" w:lineRule="auto"/>
            </w:pPr>
            <w:r/>
            <w:r>
              <w:rPr>
                <w:rFonts w:ascii="Aptos" w:hAnsi="Aptos"/>
                <w:b w:val="0"/>
                <w:sz w:val="18"/>
              </w:rPr>
              <w:t>Commercially active but evidence-sensitive. Early-generation seed access, certification, purity, recycled seed and varietal identity are major issues.</w:t>
            </w:r>
          </w:p>
        </w:tc>
      </w:tr>
      <w:tr>
        <w:trPr>
          <w:cantSplit/>
        </w:trPr>
        <w:tc>
          <w:tcPr>
            <w:tcW w:type="dxa" w:w="2376"/>
            <w:vAlign w:val="center"/>
            <w:tcMar>
              <w:top w:w="90" w:type="dxa"/>
              <w:start w:w="110" w:type="dxa"/>
              <w:bottom w:w="90" w:type="dxa"/>
              <w:end w:w="110" w:type="dxa"/>
            </w:tcMar>
            <w:shd w:fill="FFFFFF"/>
          </w:tcPr>
          <w:p>
            <w:pPr>
              <w:spacing w:after="0" w:before="0" w:line="240" w:lineRule="auto"/>
            </w:pPr>
            <w:r/>
            <w:r>
              <w:rPr>
                <w:rFonts w:ascii="Aptos" w:hAnsi="Aptos"/>
                <w:b w:val="0"/>
                <w:sz w:val="18"/>
              </w:rPr>
              <w:t>Digital pathway</w:t>
            </w:r>
          </w:p>
        </w:tc>
        <w:tc>
          <w:tcPr>
            <w:tcW w:type="dxa" w:w="8208"/>
            <w:vAlign w:val="center"/>
            <w:tcMar>
              <w:top w:w="90" w:type="dxa"/>
              <w:start w:w="110" w:type="dxa"/>
              <w:bottom w:w="90" w:type="dxa"/>
              <w:end w:w="110" w:type="dxa"/>
            </w:tcMar>
            <w:shd w:fill="FFFFFF"/>
          </w:tcPr>
          <w:p>
            <w:pPr>
              <w:spacing w:after="0" w:before="0" w:line="240" w:lineRule="auto"/>
            </w:pPr>
            <w:r/>
            <w:r>
              <w:rPr>
                <w:rFonts w:ascii="Aptos" w:hAnsi="Aptos"/>
                <w:b w:val="0"/>
                <w:sz w:val="18"/>
              </w:rPr>
              <w:t>Promising business model, but current integration, data quality and platform harmonization problems must be resolved.</w:t>
            </w:r>
          </w:p>
        </w:tc>
      </w:tr>
      <w:tr>
        <w:trPr>
          <w:cantSplit/>
        </w:trPr>
        <w:tc>
          <w:tcPr>
            <w:tcW w:type="dxa" w:w="2376"/>
            <w:vAlign w:val="center"/>
            <w:tcMar>
              <w:top w:w="90" w:type="dxa"/>
              <w:start w:w="110" w:type="dxa"/>
              <w:bottom w:w="90" w:type="dxa"/>
              <w:end w:w="110" w:type="dxa"/>
            </w:tcMar>
            <w:shd w:fill="EAF0F5"/>
          </w:tcPr>
          <w:p>
            <w:pPr>
              <w:spacing w:after="0" w:before="0" w:line="240" w:lineRule="auto"/>
            </w:pPr>
            <w:r/>
            <w:r>
              <w:rPr>
                <w:rFonts w:ascii="Aptos" w:hAnsi="Aptos"/>
                <w:b w:val="0"/>
                <w:sz w:val="18"/>
              </w:rPr>
              <w:t>Aggregation and milling</w:t>
            </w:r>
          </w:p>
        </w:tc>
        <w:tc>
          <w:tcPr>
            <w:tcW w:type="dxa" w:w="8208"/>
            <w:vAlign w:val="center"/>
            <w:tcMar>
              <w:top w:w="90" w:type="dxa"/>
              <w:start w:w="110" w:type="dxa"/>
              <w:bottom w:w="90" w:type="dxa"/>
              <w:end w:w="110" w:type="dxa"/>
            </w:tcMar>
            <w:shd w:fill="EAF0F5"/>
          </w:tcPr>
          <w:p>
            <w:pPr>
              <w:spacing w:after="0" w:before="0" w:line="240" w:lineRule="auto"/>
            </w:pPr>
            <w:r/>
            <w:r>
              <w:rPr>
                <w:rFonts w:ascii="Aptos" w:hAnsi="Aptos"/>
                <w:b w:val="0"/>
                <w:sz w:val="18"/>
              </w:rPr>
              <w:t>Potentially the strongest pull pathway. Demand for paddy exists, but volumes, quality, prices, side-selling and contract performance need systematic evidence.</w:t>
            </w:r>
          </w:p>
        </w:tc>
      </w:tr>
      <w:tr>
        <w:trPr>
          <w:cantSplit/>
        </w:trPr>
        <w:tc>
          <w:tcPr>
            <w:tcW w:type="dxa" w:w="2376"/>
            <w:vAlign w:val="center"/>
            <w:tcMar>
              <w:top w:w="90" w:type="dxa"/>
              <w:start w:w="110" w:type="dxa"/>
              <w:bottom w:w="90" w:type="dxa"/>
              <w:end w:w="110" w:type="dxa"/>
            </w:tcMar>
            <w:shd w:fill="FFFFFF"/>
          </w:tcPr>
          <w:p>
            <w:pPr>
              <w:spacing w:after="0" w:before="0" w:line="240" w:lineRule="auto"/>
            </w:pPr>
            <w:r/>
            <w:r>
              <w:rPr>
                <w:rFonts w:ascii="Aptos" w:hAnsi="Aptos"/>
                <w:b w:val="0"/>
                <w:sz w:val="18"/>
              </w:rPr>
              <w:t>Mechanization</w:t>
            </w:r>
          </w:p>
        </w:tc>
        <w:tc>
          <w:tcPr>
            <w:tcW w:type="dxa" w:w="8208"/>
            <w:vAlign w:val="center"/>
            <w:tcMar>
              <w:top w:w="90" w:type="dxa"/>
              <w:start w:w="110" w:type="dxa"/>
              <w:bottom w:w="90" w:type="dxa"/>
              <w:end w:w="110" w:type="dxa"/>
            </w:tcMar>
            <w:shd w:fill="FFFFFF"/>
          </w:tcPr>
          <w:p>
            <w:pPr>
              <w:spacing w:after="0" w:before="0" w:line="240" w:lineRule="auto"/>
            </w:pPr>
            <w:r/>
            <w:r>
              <w:rPr>
                <w:rFonts w:ascii="Aptos" w:hAnsi="Aptos"/>
                <w:b w:val="0"/>
                <w:sz w:val="18"/>
              </w:rPr>
              <w:t>Large public investments and high demand are evident. The unresolved questions are utilization, access, service economics, maintenance and suitability for small farms.</w:t>
            </w:r>
          </w:p>
        </w:tc>
      </w:tr>
      <w:tr>
        <w:trPr>
          <w:cantSplit/>
        </w:trPr>
        <w:tc>
          <w:tcPr>
            <w:tcW w:type="dxa" w:w="2376"/>
            <w:vAlign w:val="center"/>
            <w:tcMar>
              <w:top w:w="90" w:type="dxa"/>
              <w:start w:w="110" w:type="dxa"/>
              <w:bottom w:w="90" w:type="dxa"/>
              <w:end w:w="110" w:type="dxa"/>
            </w:tcMar>
            <w:shd w:fill="EAF0F5"/>
          </w:tcPr>
          <w:p>
            <w:pPr>
              <w:spacing w:after="0" w:before="0" w:line="240" w:lineRule="auto"/>
            </w:pPr>
            <w:r/>
            <w:r>
              <w:rPr>
                <w:rFonts w:ascii="Aptos" w:hAnsi="Aptos"/>
                <w:b w:val="0"/>
                <w:sz w:val="18"/>
              </w:rPr>
              <w:t>Smart Valley</w:t>
            </w:r>
          </w:p>
        </w:tc>
        <w:tc>
          <w:tcPr>
            <w:tcW w:type="dxa" w:w="8208"/>
            <w:vAlign w:val="center"/>
            <w:tcMar>
              <w:top w:w="90" w:type="dxa"/>
              <w:start w:w="110" w:type="dxa"/>
              <w:bottom w:w="90" w:type="dxa"/>
              <w:end w:w="110" w:type="dxa"/>
            </w:tcMar>
            <w:shd w:fill="EAF0F5"/>
          </w:tcPr>
          <w:p>
            <w:pPr>
              <w:spacing w:after="0" w:before="0" w:line="240" w:lineRule="auto"/>
            </w:pPr>
            <w:r/>
            <w:r>
              <w:rPr>
                <w:rFonts w:ascii="Aptos" w:hAnsi="Aptos"/>
                <w:b w:val="0"/>
                <w:sz w:val="18"/>
              </w:rPr>
              <w:t>Strategically relevant but still in investment preparation and site development rather than scaled delivery.</w:t>
            </w:r>
          </w:p>
        </w:tc>
      </w:tr>
      <w:tr>
        <w:trPr>
          <w:cantSplit/>
        </w:trPr>
        <w:tc>
          <w:tcPr>
            <w:tcW w:type="dxa" w:w="2376"/>
            <w:vAlign w:val="center"/>
            <w:tcMar>
              <w:top w:w="90" w:type="dxa"/>
              <w:start w:w="110" w:type="dxa"/>
              <w:bottom w:w="90" w:type="dxa"/>
              <w:end w:w="110" w:type="dxa"/>
            </w:tcMar>
            <w:shd w:fill="FFFFFF"/>
          </w:tcPr>
          <w:p>
            <w:pPr>
              <w:spacing w:after="0" w:before="0" w:line="240" w:lineRule="auto"/>
            </w:pPr>
            <w:r/>
            <w:r>
              <w:rPr>
                <w:rFonts w:ascii="Aptos" w:hAnsi="Aptos"/>
                <w:b w:val="0"/>
                <w:sz w:val="18"/>
              </w:rPr>
              <w:t>Outcome evidence</w:t>
            </w:r>
          </w:p>
        </w:tc>
        <w:tc>
          <w:tcPr>
            <w:tcW w:type="dxa" w:w="8208"/>
            <w:vAlign w:val="center"/>
            <w:tcMar>
              <w:top w:w="90" w:type="dxa"/>
              <w:start w:w="110" w:type="dxa"/>
              <w:bottom w:w="90" w:type="dxa"/>
              <w:end w:w="110" w:type="dxa"/>
            </w:tcMar>
            <w:shd w:fill="FFFFFF"/>
          </w:tcPr>
          <w:p>
            <w:pPr>
              <w:spacing w:after="0" w:before="0" w:line="240" w:lineRule="auto"/>
            </w:pPr>
            <w:r/>
            <w:r>
              <w:rPr>
                <w:rFonts w:ascii="Aptos" w:hAnsi="Aptos"/>
                <w:b w:val="0"/>
                <w:sz w:val="18"/>
              </w:rPr>
              <w:t>Weak to moderate. Numerous outputs and commitments were reported, but adopter, practice-use, sales, aggregation and income evidence are not yet consistently verified.</w:t>
            </w:r>
          </w:p>
        </w:tc>
      </w:tr>
      <w:tr>
        <w:trPr>
          <w:cantSplit/>
        </w:trPr>
        <w:tc>
          <w:tcPr>
            <w:tcW w:type="dxa" w:w="2376"/>
            <w:vAlign w:val="center"/>
            <w:tcMar>
              <w:top w:w="90" w:type="dxa"/>
              <w:start w:w="110" w:type="dxa"/>
              <w:bottom w:w="90" w:type="dxa"/>
              <w:end w:w="110" w:type="dxa"/>
            </w:tcMar>
            <w:shd w:fill="EAF0F5"/>
          </w:tcPr>
          <w:p>
            <w:pPr>
              <w:spacing w:after="0" w:before="0" w:line="240" w:lineRule="auto"/>
            </w:pPr>
            <w:r/>
            <w:r>
              <w:rPr>
                <w:rFonts w:ascii="Aptos" w:hAnsi="Aptos"/>
                <w:b w:val="0"/>
                <w:sz w:val="18"/>
              </w:rPr>
              <w:t>Track ambition</w:t>
            </w:r>
          </w:p>
        </w:tc>
        <w:tc>
          <w:tcPr>
            <w:tcW w:type="dxa" w:w="8208"/>
            <w:vAlign w:val="center"/>
            <w:tcMar>
              <w:top w:w="90" w:type="dxa"/>
              <w:start w:w="110" w:type="dxa"/>
              <w:bottom w:w="90" w:type="dxa"/>
              <w:end w:w="110" w:type="dxa"/>
            </w:tcMar>
            <w:shd w:fill="EAF0F5"/>
          </w:tcPr>
          <w:p>
            <w:pPr>
              <w:spacing w:after="0" w:before="0" w:line="240" w:lineRule="auto"/>
            </w:pPr>
            <w:r/>
            <w:r>
              <w:rPr>
                <w:rFonts w:ascii="Aptos" w:hAnsi="Aptos"/>
                <w:b w:val="0"/>
                <w:sz w:val="18"/>
              </w:rPr>
              <w:t>Possible only if targets are disaggregated by country, pathway and partner contribution. Current headline targets mix scopes and should not be reported without clear denominators and verification.</w:t>
            </w:r>
          </w:p>
        </w:tc>
      </w:tr>
      <w:tr>
        <w:trPr>
          <w:cantSplit/>
        </w:trPr>
        <w:tc>
          <w:tcPr>
            <w:tcW w:type="dxa" w:w="2376"/>
            <w:vAlign w:val="center"/>
            <w:tcMar>
              <w:top w:w="90" w:type="dxa"/>
              <w:start w:w="110" w:type="dxa"/>
              <w:bottom w:w="90" w:type="dxa"/>
              <w:end w:w="110" w:type="dxa"/>
            </w:tcMar>
            <w:shd w:fill="FFFFFF"/>
          </w:tcPr>
          <w:p>
            <w:pPr>
              <w:spacing w:after="0" w:before="0" w:line="240" w:lineRule="auto"/>
            </w:pPr>
            <w:r/>
            <w:r>
              <w:rPr>
                <w:rFonts w:ascii="Aptos" w:hAnsi="Aptos"/>
                <w:b w:val="0"/>
                <w:sz w:val="18"/>
              </w:rPr>
              <w:t>Responsible scaling</w:t>
            </w:r>
          </w:p>
        </w:tc>
        <w:tc>
          <w:tcPr>
            <w:tcW w:type="dxa" w:w="8208"/>
            <w:vAlign w:val="center"/>
            <w:tcMar>
              <w:top w:w="90" w:type="dxa"/>
              <w:start w:w="110" w:type="dxa"/>
              <w:bottom w:w="90" w:type="dxa"/>
              <w:end w:w="110" w:type="dxa"/>
            </w:tcMar>
            <w:shd w:fill="FFFFFF"/>
          </w:tcPr>
          <w:p>
            <w:pPr>
              <w:spacing w:after="0" w:before="0" w:line="240" w:lineRule="auto"/>
            </w:pPr>
            <w:r/>
            <w:r>
              <w:rPr>
                <w:rFonts w:ascii="Aptos" w:hAnsi="Aptos"/>
                <w:b w:val="0"/>
                <w:sz w:val="18"/>
              </w:rPr>
              <w:t>Mentioned, particularly women-friendly processing and women in seed production, but not yet sufficiently integrated into partner incentives, indicators or risk management.</w:t>
            </w:r>
          </w:p>
        </w:tc>
      </w:tr>
    </w:tbl>
    <w:p>
      <w:pPr>
        <w:widowControl/>
        <w:spacing w:after="0"/>
      </w:pPr>
    </w:p>
    <w:p>
      <w:pPr>
        <w:pStyle w:val="Heading1"/>
        <w:keepNext/>
        <w:widowControl/>
      </w:pPr>
      <w:r>
        <w:t>2. Session purpose, format and participants</w:t>
      </w:r>
    </w:p>
    <w:p>
      <w:pPr>
        <w:widowControl/>
        <w:spacing w:after="100"/>
      </w:pPr>
      <w:r>
        <w:rPr>
          <w:i w:val="0"/>
        </w:rPr>
        <w:t>The 20 July meeting focused specifically on Nigeria within a two-country track covering Nigeria and Cote d'Ivoire. Rica Flor clarified that the purpose was to collect additional evidence and partner perspectives for the external coach. Formal coaching advice was expected after the separate Cote d'Ivoire discussion later that week. The Nigeria session included an AfricaRice presentation, detailed questioning of seed, digital, aggregation, mechanization and Smart Valley pathways, and interventions from public and private partners assembled in Nigeria.</w:t>
      </w:r>
    </w:p>
    <w:p>
      <w:pPr>
        <w:widowControl/>
        <w:spacing w:after="100"/>
      </w:pPr>
      <w:r>
        <w:rPr>
          <w:i w:val="0"/>
        </w:rPr>
        <w:t>The meeting was affected by substantial audio and internet problems. Several statements from participants in the room were partially captured, and some organization and individual names were mistranscribed. The notes therefore emphasize confirmed themes and explicitly qualify uncertain figures rather than treating every transcript statement as verified fact.</w:t>
      </w:r>
    </w:p>
    <w:p>
      <w:pPr>
        <w:pStyle w:val="Heading2"/>
        <w:keepNext/>
        <w:widowControl/>
      </w:pPr>
      <w:r>
        <w:t>Main participants and perspectives represented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16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Participant or group</w:t>
            </w:r>
          </w:p>
        </w:tc>
        <w:tc>
          <w:tcPr>
            <w:tcW w:type="dxa" w:w="741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Role in the discussion</w:t>
            </w:r>
          </w:p>
        </w:tc>
      </w:tr>
      <w:tr>
        <w:trPr>
          <w:cantSplit/>
        </w:trPr>
        <w:tc>
          <w:tcPr>
            <w:tcW w:type="dxa" w:w="3168"/>
            <w:vAlign w:val="center"/>
            <w:tcMar>
              <w:top w:w="90" w:type="dxa"/>
              <w:start w:w="110" w:type="dxa"/>
              <w:bottom w:w="90" w:type="dxa"/>
              <w:end w:w="110" w:type="dxa"/>
            </w:tcMar>
            <w:shd w:fill="FFFFFF"/>
          </w:tcPr>
          <w:p>
            <w:pPr>
              <w:spacing w:after="0" w:before="0" w:line="240" w:lineRule="auto"/>
            </w:pPr>
            <w:r/>
            <w:r>
              <w:rPr>
                <w:rFonts w:ascii="Aptos" w:hAnsi="Aptos"/>
                <w:b w:val="0"/>
                <w:sz w:val="18"/>
              </w:rPr>
              <w:t>Sali Atanga, AfricaRice</w:t>
            </w:r>
          </w:p>
        </w:tc>
        <w:tc>
          <w:tcPr>
            <w:tcW w:type="dxa" w:w="7416"/>
            <w:vAlign w:val="center"/>
            <w:tcMar>
              <w:top w:w="90" w:type="dxa"/>
              <w:start w:w="110" w:type="dxa"/>
              <w:bottom w:w="90" w:type="dxa"/>
              <w:end w:w="110" w:type="dxa"/>
            </w:tcMar>
            <w:shd w:fill="FFFFFF"/>
          </w:tcPr>
          <w:p>
            <w:pPr>
              <w:spacing w:after="0" w:before="0" w:line="240" w:lineRule="auto"/>
            </w:pPr>
            <w:r/>
            <w:r>
              <w:rPr>
                <w:rFonts w:ascii="Aptos" w:hAnsi="Aptos"/>
                <w:b w:val="0"/>
                <w:sz w:val="18"/>
              </w:rPr>
              <w:t>Presented the Nigeria PPP model, objectives, reported progress, challenges, strategic priorities and the case for continued catalytic support.</w:t>
            </w:r>
          </w:p>
        </w:tc>
      </w:tr>
      <w:tr>
        <w:trPr>
          <w:cantSplit/>
        </w:trPr>
        <w:tc>
          <w:tcPr>
            <w:tcW w:type="dxa" w:w="3168"/>
            <w:vAlign w:val="center"/>
            <w:tcMar>
              <w:top w:w="90" w:type="dxa"/>
              <w:start w:w="110" w:type="dxa"/>
              <w:bottom w:w="90" w:type="dxa"/>
              <w:end w:w="110" w:type="dxa"/>
            </w:tcMar>
            <w:shd w:fill="EAF0F5"/>
          </w:tcPr>
          <w:p>
            <w:pPr>
              <w:spacing w:after="0" w:before="0" w:line="240" w:lineRule="auto"/>
            </w:pPr>
            <w:r/>
            <w:r>
              <w:rPr>
                <w:rFonts w:ascii="Aptos" w:hAnsi="Aptos"/>
                <w:b w:val="0"/>
                <w:sz w:val="18"/>
              </w:rPr>
              <w:t>Rica Flor, S4I Area of Work 2 co-lead</w:t>
            </w:r>
          </w:p>
        </w:tc>
        <w:tc>
          <w:tcPr>
            <w:tcW w:type="dxa" w:w="7416"/>
            <w:vAlign w:val="center"/>
            <w:tcMar>
              <w:top w:w="90" w:type="dxa"/>
              <w:start w:w="110" w:type="dxa"/>
              <w:bottom w:w="90" w:type="dxa"/>
              <w:end w:w="110" w:type="dxa"/>
            </w:tcMar>
            <w:shd w:fill="EAF0F5"/>
          </w:tcPr>
          <w:p>
            <w:pPr>
              <w:spacing w:after="0" w:before="0" w:line="240" w:lineRule="auto"/>
            </w:pPr>
            <w:r/>
            <w:r>
              <w:rPr>
                <w:rFonts w:ascii="Aptos" w:hAnsi="Aptos"/>
                <w:b w:val="0"/>
                <w:sz w:val="18"/>
              </w:rPr>
              <w:t>Chaired the session and tested component prioritization, adoption evidence, partner business models, sustainability and target realism.</w:t>
            </w:r>
          </w:p>
        </w:tc>
      </w:tr>
      <w:tr>
        <w:trPr>
          <w:cantSplit/>
        </w:trPr>
        <w:tc>
          <w:tcPr>
            <w:tcW w:type="dxa" w:w="3168"/>
            <w:vAlign w:val="center"/>
            <w:tcMar>
              <w:top w:w="90" w:type="dxa"/>
              <w:start w:w="110" w:type="dxa"/>
              <w:bottom w:w="90" w:type="dxa"/>
              <w:end w:w="110" w:type="dxa"/>
            </w:tcMar>
            <w:shd w:fill="FFFFFF"/>
          </w:tcPr>
          <w:p>
            <w:pPr>
              <w:spacing w:after="0" w:before="0" w:line="240" w:lineRule="auto"/>
            </w:pPr>
            <w:r/>
            <w:r>
              <w:rPr>
                <w:rFonts w:ascii="Aptos" w:hAnsi="Aptos"/>
                <w:b w:val="0"/>
                <w:sz w:val="18"/>
              </w:rPr>
              <w:t>Felix Otieno, S4I program management support</w:t>
            </w:r>
          </w:p>
        </w:tc>
        <w:tc>
          <w:tcPr>
            <w:tcW w:type="dxa" w:w="7416"/>
            <w:vAlign w:val="center"/>
            <w:tcMar>
              <w:top w:w="90" w:type="dxa"/>
              <w:start w:w="110" w:type="dxa"/>
              <w:bottom w:w="90" w:type="dxa"/>
              <w:end w:w="110" w:type="dxa"/>
            </w:tcMar>
            <w:shd w:fill="FFFFFF"/>
          </w:tcPr>
          <w:p>
            <w:pPr>
              <w:spacing w:after="0" w:before="0" w:line="240" w:lineRule="auto"/>
            </w:pPr>
            <w:r/>
            <w:r>
              <w:rPr>
                <w:rFonts w:ascii="Aptos" w:hAnsi="Aptos"/>
                <w:b w:val="0"/>
                <w:sz w:val="18"/>
              </w:rPr>
              <w:t>Questioned digital-platform harmonization, side-selling, aggregation and mechanization-as-a-service arrangements.</w:t>
            </w:r>
          </w:p>
        </w:tc>
      </w:tr>
      <w:tr>
        <w:trPr>
          <w:cantSplit/>
        </w:trPr>
        <w:tc>
          <w:tcPr>
            <w:tcW w:type="dxa" w:w="3168"/>
            <w:vAlign w:val="center"/>
            <w:tcMar>
              <w:top w:w="90" w:type="dxa"/>
              <w:start w:w="110" w:type="dxa"/>
              <w:bottom w:w="90" w:type="dxa"/>
              <w:end w:w="110" w:type="dxa"/>
            </w:tcMar>
            <w:shd w:fill="EAF0F5"/>
          </w:tcPr>
          <w:p>
            <w:pPr>
              <w:spacing w:after="0" w:before="0" w:line="240" w:lineRule="auto"/>
            </w:pPr>
            <w:r/>
            <w:r>
              <w:rPr>
                <w:rFonts w:ascii="Aptos" w:hAnsi="Aptos"/>
                <w:b w:val="0"/>
                <w:sz w:val="18"/>
              </w:rPr>
              <w:t>Tim Krupnik, S4I Program Director</w:t>
            </w:r>
          </w:p>
        </w:tc>
        <w:tc>
          <w:tcPr>
            <w:tcW w:type="dxa" w:w="7416"/>
            <w:vAlign w:val="center"/>
            <w:tcMar>
              <w:top w:w="90" w:type="dxa"/>
              <w:start w:w="110" w:type="dxa"/>
              <w:bottom w:w="90" w:type="dxa"/>
              <w:end w:w="110" w:type="dxa"/>
            </w:tcMar>
            <w:shd w:fill="EAF0F5"/>
          </w:tcPr>
          <w:p>
            <w:pPr>
              <w:spacing w:after="0" w:before="0" w:line="240" w:lineRule="auto"/>
            </w:pPr>
            <w:r/>
            <w:r>
              <w:rPr>
                <w:rFonts w:ascii="Aptos" w:hAnsi="Aptos"/>
                <w:b w:val="0"/>
                <w:sz w:val="18"/>
              </w:rPr>
              <w:t>Joined part of the session and asked Rica to explore the team's concerns and suggestions.</w:t>
            </w:r>
          </w:p>
        </w:tc>
      </w:tr>
      <w:tr>
        <w:trPr>
          <w:cantSplit/>
        </w:trPr>
        <w:tc>
          <w:tcPr>
            <w:tcW w:type="dxa" w:w="3168"/>
            <w:vAlign w:val="center"/>
            <w:tcMar>
              <w:top w:w="90" w:type="dxa"/>
              <w:start w:w="110" w:type="dxa"/>
              <w:bottom w:w="90" w:type="dxa"/>
              <w:end w:w="110" w:type="dxa"/>
            </w:tcMar>
            <w:shd w:fill="FFFFFF"/>
          </w:tcPr>
          <w:p>
            <w:pPr>
              <w:spacing w:after="0" w:before="0" w:line="240" w:lineRule="auto"/>
            </w:pPr>
            <w:r/>
            <w:r>
              <w:rPr>
                <w:rFonts w:ascii="Aptos" w:hAnsi="Aptos"/>
                <w:b w:val="0"/>
                <w:sz w:val="18"/>
              </w:rPr>
              <w:t>Edwin Kangethe, S4I/IPSR support</w:t>
            </w:r>
          </w:p>
        </w:tc>
        <w:tc>
          <w:tcPr>
            <w:tcW w:type="dxa" w:w="7416"/>
            <w:vAlign w:val="center"/>
            <w:tcMar>
              <w:top w:w="90" w:type="dxa"/>
              <w:start w:w="110" w:type="dxa"/>
              <w:bottom w:w="90" w:type="dxa"/>
              <w:end w:w="110" w:type="dxa"/>
            </w:tcMar>
            <w:shd w:fill="FFFFFF"/>
          </w:tcPr>
          <w:p>
            <w:pPr>
              <w:spacing w:after="0" w:before="0" w:line="240" w:lineRule="auto"/>
            </w:pPr>
            <w:r/>
            <w:r>
              <w:rPr>
                <w:rFonts w:ascii="Aptos" w:hAnsi="Aptos"/>
                <w:b w:val="0"/>
                <w:sz w:val="18"/>
              </w:rPr>
              <w:t>Represented innovation and scaling support, including IPSR implementation.</w:t>
            </w:r>
          </w:p>
        </w:tc>
      </w:tr>
      <w:tr>
        <w:trPr>
          <w:cantSplit/>
        </w:trPr>
        <w:tc>
          <w:tcPr>
            <w:tcW w:type="dxa" w:w="3168"/>
            <w:vAlign w:val="center"/>
            <w:tcMar>
              <w:top w:w="90" w:type="dxa"/>
              <w:start w:w="110" w:type="dxa"/>
              <w:bottom w:w="90" w:type="dxa"/>
              <w:end w:w="110" w:type="dxa"/>
            </w:tcMar>
            <w:shd w:fill="EAF0F5"/>
          </w:tcPr>
          <w:p>
            <w:pPr>
              <w:spacing w:after="0" w:before="0" w:line="240" w:lineRule="auto"/>
            </w:pPr>
            <w:r/>
            <w:r>
              <w:rPr>
                <w:rFonts w:ascii="Aptos" w:hAnsi="Aptos"/>
                <w:b w:val="0"/>
                <w:sz w:val="18"/>
              </w:rPr>
              <w:t>Francis Nwilene and Thomas Awio, AfricaRice Nigeria</w:t>
            </w:r>
          </w:p>
        </w:tc>
        <w:tc>
          <w:tcPr>
            <w:tcW w:type="dxa" w:w="7416"/>
            <w:vAlign w:val="center"/>
            <w:tcMar>
              <w:top w:w="90" w:type="dxa"/>
              <w:start w:w="110" w:type="dxa"/>
              <w:bottom w:w="90" w:type="dxa"/>
              <w:end w:w="110" w:type="dxa"/>
            </w:tcMar>
            <w:shd w:fill="EAF0F5"/>
          </w:tcPr>
          <w:p>
            <w:pPr>
              <w:spacing w:after="0" w:before="0" w:line="240" w:lineRule="auto"/>
            </w:pPr>
            <w:r/>
            <w:r>
              <w:rPr>
                <w:rFonts w:ascii="Aptos" w:hAnsi="Aptos"/>
                <w:b w:val="0"/>
                <w:sz w:val="18"/>
              </w:rPr>
              <w:t>Convened the in-person partners and contributed technical and operational clarification.</w:t>
            </w:r>
          </w:p>
        </w:tc>
      </w:tr>
      <w:tr>
        <w:trPr>
          <w:cantSplit/>
        </w:trPr>
        <w:tc>
          <w:tcPr>
            <w:tcW w:type="dxa" w:w="3168"/>
            <w:vAlign w:val="center"/>
            <w:tcMar>
              <w:top w:w="90" w:type="dxa"/>
              <w:start w:w="110" w:type="dxa"/>
              <w:bottom w:w="90" w:type="dxa"/>
              <w:end w:w="110" w:type="dxa"/>
            </w:tcMar>
            <w:shd w:fill="FFFFFF"/>
          </w:tcPr>
          <w:p>
            <w:pPr>
              <w:spacing w:after="0" w:before="0" w:line="240" w:lineRule="auto"/>
            </w:pPr>
            <w:r/>
            <w:r>
              <w:rPr>
                <w:rFonts w:ascii="Aptos" w:hAnsi="Aptos"/>
                <w:b w:val="0"/>
                <w:sz w:val="18"/>
              </w:rPr>
              <w:t>National Agricultural Seeds Council representative</w:t>
            </w:r>
          </w:p>
        </w:tc>
        <w:tc>
          <w:tcPr>
            <w:tcW w:type="dxa" w:w="7416"/>
            <w:vAlign w:val="center"/>
            <w:tcMar>
              <w:top w:w="90" w:type="dxa"/>
              <w:start w:w="110" w:type="dxa"/>
              <w:bottom w:w="90" w:type="dxa"/>
              <w:end w:w="110" w:type="dxa"/>
            </w:tcMar>
            <w:shd w:fill="FFFFFF"/>
          </w:tcPr>
          <w:p>
            <w:pPr>
              <w:spacing w:after="0" w:before="0" w:line="240" w:lineRule="auto"/>
            </w:pPr>
            <w:r/>
            <w:r>
              <w:rPr>
                <w:rFonts w:ascii="Aptos" w:hAnsi="Aptos"/>
                <w:b w:val="0"/>
                <w:sz w:val="18"/>
              </w:rPr>
              <w:t>Challenged unsupported seed figures, raised certification and quality-control concerns, and described genotyping-based varietal adoption work.</w:t>
            </w:r>
          </w:p>
        </w:tc>
      </w:tr>
      <w:tr>
        <w:trPr>
          <w:cantSplit/>
        </w:trPr>
        <w:tc>
          <w:tcPr>
            <w:tcW w:type="dxa" w:w="3168"/>
            <w:vAlign w:val="center"/>
            <w:tcMar>
              <w:top w:w="90" w:type="dxa"/>
              <w:start w:w="110" w:type="dxa"/>
              <w:bottom w:w="90" w:type="dxa"/>
              <w:end w:w="110" w:type="dxa"/>
            </w:tcMar>
            <w:shd w:fill="EAF0F5"/>
          </w:tcPr>
          <w:p>
            <w:pPr>
              <w:spacing w:after="0" w:before="0" w:line="240" w:lineRule="auto"/>
            </w:pPr>
            <w:r/>
            <w:r>
              <w:rPr>
                <w:rFonts w:ascii="Aptos" w:hAnsi="Aptos"/>
                <w:b w:val="0"/>
                <w:sz w:val="18"/>
              </w:rPr>
              <w:t>Seed companies and seed producers</w:t>
            </w:r>
          </w:p>
        </w:tc>
        <w:tc>
          <w:tcPr>
            <w:tcW w:type="dxa" w:w="7416"/>
            <w:vAlign w:val="center"/>
            <w:tcMar>
              <w:top w:w="90" w:type="dxa"/>
              <w:start w:w="110" w:type="dxa"/>
              <w:bottom w:w="90" w:type="dxa"/>
              <w:end w:w="110" w:type="dxa"/>
            </w:tcMar>
            <w:shd w:fill="EAF0F5"/>
          </w:tcPr>
          <w:p>
            <w:pPr>
              <w:spacing w:after="0" w:before="0" w:line="240" w:lineRule="auto"/>
            </w:pPr>
            <w:r/>
            <w:r>
              <w:rPr>
                <w:rFonts w:ascii="Aptos" w:hAnsi="Aptos"/>
                <w:b w:val="0"/>
                <w:sz w:val="18"/>
              </w:rPr>
              <w:t>Discussed early-generation seed supply, certified seed production, sales, outgrower arrangements, yields and profitability.</w:t>
            </w:r>
          </w:p>
        </w:tc>
      </w:tr>
      <w:tr>
        <w:trPr>
          <w:cantSplit/>
        </w:trPr>
        <w:tc>
          <w:tcPr>
            <w:tcW w:type="dxa" w:w="3168"/>
            <w:vAlign w:val="center"/>
            <w:tcMar>
              <w:top w:w="90" w:type="dxa"/>
              <w:start w:w="110" w:type="dxa"/>
              <w:bottom w:w="90" w:type="dxa"/>
              <w:end w:w="110" w:type="dxa"/>
            </w:tcMar>
            <w:shd w:fill="FFFFFF"/>
          </w:tcPr>
          <w:p>
            <w:pPr>
              <w:spacing w:after="0" w:before="0" w:line="240" w:lineRule="auto"/>
            </w:pPr>
            <w:r/>
            <w:r>
              <w:rPr>
                <w:rFonts w:ascii="Aptos" w:hAnsi="Aptos"/>
                <w:b w:val="0"/>
                <w:sz w:val="18"/>
              </w:rPr>
              <w:t>eProd representatives</w:t>
            </w:r>
          </w:p>
        </w:tc>
        <w:tc>
          <w:tcPr>
            <w:tcW w:type="dxa" w:w="7416"/>
            <w:vAlign w:val="center"/>
            <w:tcMar>
              <w:top w:w="90" w:type="dxa"/>
              <w:start w:w="110" w:type="dxa"/>
              <w:bottom w:w="90" w:type="dxa"/>
              <w:end w:w="110" w:type="dxa"/>
            </w:tcMar>
            <w:shd w:fill="FFFFFF"/>
          </w:tcPr>
          <w:p>
            <w:pPr>
              <w:spacing w:after="0" w:before="0" w:line="240" w:lineRule="auto"/>
            </w:pPr>
            <w:r/>
            <w:r>
              <w:rPr>
                <w:rFonts w:ascii="Aptos" w:hAnsi="Aptos"/>
                <w:b w:val="0"/>
                <w:sz w:val="18"/>
              </w:rPr>
              <w:t>Explained the platform, company-license business model, RiceAdvice integration and current technical issues.</w:t>
            </w:r>
          </w:p>
        </w:tc>
      </w:tr>
      <w:tr>
        <w:trPr>
          <w:cantSplit/>
        </w:trPr>
        <w:tc>
          <w:tcPr>
            <w:tcW w:type="dxa" w:w="3168"/>
            <w:vAlign w:val="center"/>
            <w:tcMar>
              <w:top w:w="90" w:type="dxa"/>
              <w:start w:w="110" w:type="dxa"/>
              <w:bottom w:w="90" w:type="dxa"/>
              <w:end w:w="110" w:type="dxa"/>
            </w:tcMar>
            <w:shd w:fill="EAF0F5"/>
          </w:tcPr>
          <w:p>
            <w:pPr>
              <w:spacing w:after="0" w:before="0" w:line="240" w:lineRule="auto"/>
            </w:pPr>
            <w:r/>
            <w:r>
              <w:rPr>
                <w:rFonts w:ascii="Aptos" w:hAnsi="Aptos"/>
                <w:b w:val="0"/>
                <w:sz w:val="18"/>
              </w:rPr>
              <w:t>State-government and agency representatives</w:t>
            </w:r>
          </w:p>
        </w:tc>
        <w:tc>
          <w:tcPr>
            <w:tcW w:type="dxa" w:w="7416"/>
            <w:vAlign w:val="center"/>
            <w:tcMar>
              <w:top w:w="90" w:type="dxa"/>
              <w:start w:w="110" w:type="dxa"/>
              <w:bottom w:w="90" w:type="dxa"/>
              <w:end w:w="110" w:type="dxa"/>
            </w:tcMar>
            <w:shd w:fill="EAF0F5"/>
          </w:tcPr>
          <w:p>
            <w:pPr>
              <w:spacing w:after="0" w:before="0" w:line="240" w:lineRule="auto"/>
            </w:pPr>
            <w:r/>
            <w:r>
              <w:rPr>
                <w:rFonts w:ascii="Aptos" w:hAnsi="Aptos"/>
                <w:b w:val="0"/>
                <w:sz w:val="18"/>
              </w:rPr>
              <w:t>Described Niger and Jigawa plans, mechanization investments, service centres and state-level implementation arrangements.</w:t>
            </w:r>
          </w:p>
        </w:tc>
      </w:tr>
      <w:tr>
        <w:trPr>
          <w:cantSplit/>
        </w:trPr>
        <w:tc>
          <w:tcPr>
            <w:tcW w:type="dxa" w:w="3168"/>
            <w:vAlign w:val="center"/>
            <w:tcMar>
              <w:top w:w="90" w:type="dxa"/>
              <w:start w:w="110" w:type="dxa"/>
              <w:bottom w:w="90" w:type="dxa"/>
              <w:end w:w="110" w:type="dxa"/>
            </w:tcMar>
            <w:shd w:fill="FFFFFF"/>
          </w:tcPr>
          <w:p>
            <w:pPr>
              <w:spacing w:after="0" w:before="0" w:line="240" w:lineRule="auto"/>
            </w:pPr>
            <w:r/>
            <w:r>
              <w:rPr>
                <w:rFonts w:ascii="Aptos" w:hAnsi="Aptos"/>
                <w:b w:val="0"/>
                <w:sz w:val="18"/>
              </w:rPr>
              <w:t>Millers, processors, aggregators and farmer-hub actors</w:t>
            </w:r>
          </w:p>
        </w:tc>
        <w:tc>
          <w:tcPr>
            <w:tcW w:type="dxa" w:w="7416"/>
            <w:vAlign w:val="center"/>
            <w:tcMar>
              <w:top w:w="90" w:type="dxa"/>
              <w:start w:w="110" w:type="dxa"/>
              <w:bottom w:w="90" w:type="dxa"/>
              <w:end w:w="110" w:type="dxa"/>
            </w:tcMar>
            <w:shd w:fill="FFFFFF"/>
          </w:tcPr>
          <w:p>
            <w:pPr>
              <w:spacing w:after="0" w:before="0" w:line="240" w:lineRule="auto"/>
            </w:pPr>
            <w:r/>
            <w:r>
              <w:rPr>
                <w:rFonts w:ascii="Aptos" w:hAnsi="Aptos"/>
                <w:b w:val="0"/>
                <w:sz w:val="18"/>
              </w:rPr>
              <w:t>Discussed paddy demand, farmer networks, aggregation, local-market linkages, side-selling and quality constraints.</w:t>
            </w:r>
          </w:p>
        </w:tc>
      </w:tr>
      <w:tr>
        <w:trPr>
          <w:cantSplit/>
        </w:trPr>
        <w:tc>
          <w:tcPr>
            <w:tcW w:type="dxa" w:w="3168"/>
            <w:vAlign w:val="center"/>
            <w:tcMar>
              <w:top w:w="90" w:type="dxa"/>
              <w:start w:w="110" w:type="dxa"/>
              <w:bottom w:w="90" w:type="dxa"/>
              <w:end w:w="110" w:type="dxa"/>
            </w:tcMar>
            <w:shd w:fill="EAF0F5"/>
          </w:tcPr>
          <w:p>
            <w:pPr>
              <w:spacing w:after="0" w:before="0" w:line="240" w:lineRule="auto"/>
            </w:pPr>
            <w:r/>
            <w:r>
              <w:rPr>
                <w:rFonts w:ascii="Aptos" w:hAnsi="Aptos"/>
                <w:b w:val="0"/>
                <w:sz w:val="18"/>
              </w:rPr>
              <w:t>Research, extension, gender and processing specialists</w:t>
            </w:r>
          </w:p>
        </w:tc>
        <w:tc>
          <w:tcPr>
            <w:tcW w:type="dxa" w:w="7416"/>
            <w:vAlign w:val="center"/>
            <w:tcMar>
              <w:top w:w="90" w:type="dxa"/>
              <w:start w:w="110" w:type="dxa"/>
              <w:bottom w:w="90" w:type="dxa"/>
              <w:end w:w="110" w:type="dxa"/>
            </w:tcMar>
            <w:shd w:fill="EAF0F5"/>
          </w:tcPr>
          <w:p>
            <w:pPr>
              <w:spacing w:after="0" w:before="0" w:line="240" w:lineRule="auto"/>
            </w:pPr>
            <w:r/>
            <w:r>
              <w:rPr>
                <w:rFonts w:ascii="Aptos" w:hAnsi="Aptos"/>
                <w:b w:val="0"/>
                <w:sz w:val="18"/>
              </w:rPr>
              <w:t>Contributed on agronomy, varietal adoption, women-friendly innovations, processing and responsible scaling.</w:t>
            </w:r>
          </w:p>
        </w:tc>
      </w:tr>
    </w:tbl>
    <w:p>
      <w:pPr>
        <w:widowControl/>
        <w:spacing w:after="0"/>
      </w:pPr>
    </w:p>
    <w:p>
      <w:pPr>
        <w:pStyle w:val="Heading1"/>
        <w:keepNext/>
        <w:widowControl/>
      </w:pPr>
      <w:r>
        <w:t>3. Solution concept and state-level PPP model</w:t>
      </w:r>
    </w:p>
    <w:p>
      <w:pPr>
        <w:widowControl/>
        <w:spacing w:after="100"/>
      </w:pPr>
      <w:r>
        <w:rPr>
          <w:i w:val="0"/>
        </w:rPr>
        <w:t>The AfricaRice model was presented as an integrated implementation framework for scaling proven rice innovations through coordinated action by public institutions, research organizations, private enterprises, financial institutions, development partners and farmer organizations. It is broader than a conventional public-private partnership because it can include public-public, public-private and private-private relationships. Its intended outcome is a more productive, competitive, resilient and inclusive rice value chain.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952"/>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Model component</w:t>
            </w:r>
          </w:p>
        </w:tc>
        <w:tc>
          <w:tcPr>
            <w:tcW w:type="dxa" w:w="7632"/>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Intended function</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Integrated technology packages</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Combine improved varieties, certified seed, climate-smart agronomy, Smart Valleys, mechanization, post-harvest technologies, digital tools and nutrition-sensitive innovations.</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Formal partnerships and coordination</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Clarify roles, coordinate implementation, use comparative advantage and improve value-chain governance.</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Enterprise development and market linkages</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Strengthen seed companies, machinery-service providers, processors, input suppliers, aggregators and other commercial actors.</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Digital agriculture and knowledge management</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Support farmer registration, advisory delivery, enterprise management, traceability, market information, monitoring and evidence-based decisions.</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Investment facilitation</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Mobilize public resources, private capital and blended finance while reducing investment risk and supporting enterprise growth.</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Policy support, learning and institutionalization</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Use implementation evidence and policy dialogue to embed successful approaches in state and national programs and support replication.</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Important framing distinction</w:t>
            </w:r>
          </w:p>
          <w:p>
            <w:pPr>
              <w:spacing w:after="0" w:line="252" w:lineRule="auto"/>
            </w:pPr>
            <w:r>
              <w:rPr>
                <w:rFonts w:ascii="Aptos" w:hAnsi="Aptos"/>
                <w:color w:val="282828"/>
                <w:sz w:val="19"/>
              </w:rPr>
              <w:t>The PPP model is the coordination and delivery architecture; it is not itself a single innovation that a farmer adopts. Outcome reporting should therefore distinguish adoption of promoted technologies and practices, commercial performance of enterprises, institutional behavior change, and the effectiveness of the partnership platform.</w:t>
            </w:r>
          </w:p>
        </w:tc>
      </w:tr>
    </w:tbl>
    <w:p>
      <w:pPr>
        <w:widowControl/>
      </w:pPr>
    </w:p>
    <w:p>
      <w:pPr>
        <w:pStyle w:val="Heading1"/>
        <w:keepNext/>
        <w:widowControl/>
      </w:pPr>
      <w:r>
        <w:t>4. What is being scaled: the integrated rice innovation package</w:t>
      </w:r>
    </w:p>
    <w:p>
      <w:pPr>
        <w:widowControl/>
        <w:spacing w:after="100"/>
      </w:pPr>
      <w:r>
        <w:rPr>
          <w:i w:val="0"/>
        </w:rPr>
        <w:t>The discussion showed that the track contains several innovation and service components at different stages of maturity. Presenting all of them as equally central risks obscuring which pathway creates the outcome and which activity merely enables it. The team should therefore define a minimum viable package for each state and farmer segment, and explain which components are mandatory, optional or sequenced later.</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0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Component</w:t>
            </w:r>
          </w:p>
        </w:tc>
        <w:tc>
          <w:tcPr>
            <w:tcW w:type="dxa" w:w="777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Current role and key scaling question</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Improved rice varieties</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AfricaRice and national partners supply or facilitate access to early-generation seed and demonstrations. Which varieties are demanded, pure, profitable and appropriate for each production ecology?</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Certified seed systems</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Seed companies multiply and sell seed, sometimes through outgrower and buy-back arrangements. Can certified seed be supplied at reliable quality and volume, and can sales be linked to actual adoption?</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RiceAdvice and good agronomic practices</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Provides nutrient and plot-management advice through trained extension agents and digital channels. Do farmers receive, understand and use the recommendations?</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eProd and enterprise digitalization</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Registers farmers and transactions, manages inputs, services, payments and traceability. Are companies willing to pay the recurring license after the pilot?</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AgriSuite</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Existing Niger State platform. Can its data be harmonized with eProd and the common results framework without duplicating systems?</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Aggregation and milling</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Creates demand for quality paddy, links farmers to markets and may recover input costs through buy-back. Are the relationships contractual, profitable and resilient to side-selling?</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Mechanization services</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Supports land preparation, levelling, planting, harvesting and milling. Are assets available when needed, suitable for small farms and operated through viable service businesses?</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Smart Valley development</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Improves inland-valley water management and land development. Which sites and investment models can move from planning to bankable implementation?</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Post-harvest and nutrition-sensitive processing</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Includes improved processing, parboiling and value addition, with potential benefits for women and consumers. Which enterprises and consumer markets will sustain them?</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Finance and insurance</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Part of the integrated ambition but not discussed with equivalent operational detail in the Nigeria session. Which actors, products and risk-sharing mechanisms are ready?</w:t>
            </w:r>
          </w:p>
        </w:tc>
      </w:tr>
    </w:tbl>
    <w:p>
      <w:pPr>
        <w:widowControl/>
        <w:spacing w:after="0"/>
      </w:pPr>
    </w:p>
    <w:p>
      <w:pPr>
        <w:pStyle w:val="Heading1"/>
        <w:keepNext/>
        <w:widowControl/>
      </w:pPr>
      <w:r>
        <w:t>5. Geographic scope, ambitions and reported progress</w:t>
      </w:r>
    </w:p>
    <w:p>
      <w:pPr>
        <w:widowControl/>
        <w:spacing w:after="100"/>
      </w:pPr>
      <w:r>
        <w:rPr>
          <w:i w:val="0"/>
        </w:rPr>
        <w:t>The Nigeria implementation currently centres on Niger and Jigawa states. A third state was reported as interested but not yet formalized. The team stated that state rice-transformation frameworks, logical frameworks and implementation plans had been developed through consultations. The presentation also referenced long-term state production ambitions, investment frameworks, variety demonstrations, digital registration and advisory targets, Smart Valley planning and development-finance engagement.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Reported item</w:t>
            </w:r>
          </w:p>
        </w:tc>
        <w:tc>
          <w:tcPr>
            <w:tcW w:type="dxa" w:w="770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Status and qualification</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Niger and Jigawa state frameworks</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Reported as developed, with memoranda of understanding and implementation partners in place. The signed instruments, responsibilities and budget commitments should be summarized in one evidence file.</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State production targets</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The session referenced 10 million tonnes for Niger and 5 million tonnes for Jigawa by 2030. These very large figures require confirmation, baselines, commodity definitions and attribution boundaries.</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Variety demonstrations</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The presentation referred to 14 varieties under demonstration and later to 68 demonstration plots with 11 improved varieties. The exact numbers and locations should be reconciled.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Digital registration</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A conservative initial target of 2,000 farmers was mentioned, alongside a broader track target of 500,000 farmers. The country and time scope of each target must be stated.</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RiceAdvice coverage</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Approximately 6,000 farmers and 25 extension agents were mentioned as planned. Actual training, advisory delivery and use should be reported separately.</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Niger investment framework</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A figure of 1.8 billion was cited without a clearly audible currency. It should not be reported externally until the currency, source and commitment status are confirmed.</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Smart Valley investment</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An initial pipeline or target of about US$20 million was cited. This appears to be investment need or ambition rather than money already mobilized.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Jigawa Investment Forum</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More than US$40 million in commitments was reported. The team should distinguish expressions of interest, signed commitments, approved budgets and actual disbursements.</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Development-finance engagement</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AfDB, IFAD, World Bank, Islamic Development Bank and private investors were mentioned as engaged or potential sources. Engagement is not equivalent to financing secured.</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Progress-stage judgment</w:t>
            </w:r>
          </w:p>
          <w:p>
            <w:pPr>
              <w:spacing w:after="0" w:line="252" w:lineRule="auto"/>
            </w:pPr>
            <w:r>
              <w:rPr>
                <w:rFonts w:ascii="Aptos" w:hAnsi="Aptos"/>
                <w:color w:val="282828"/>
                <w:sz w:val="19"/>
              </w:rPr>
              <w:t>The Nigeria component has moved from design and stakeholder mobilization into early implementation. Most current evidence concerns frameworks, partnerships, demonstrations, onboarding, asset acquisition and investment pipelines. The transition-to-scale case will become credible when these outputs are connected to verified farmer use, enterprise transactions, aggregated paddy, service utilization and improved returns.</w:t>
            </w:r>
          </w:p>
        </w:tc>
      </w:tr>
    </w:tbl>
    <w:p>
      <w:pPr>
        <w:widowControl/>
      </w:pPr>
    </w:p>
    <w:p>
      <w:pPr>
        <w:pStyle w:val="Heading1"/>
        <w:keepNext/>
        <w:widowControl/>
      </w:pPr>
      <w:r>
        <w:t>6. Seed-system pathway</w:t>
      </w:r>
    </w:p>
    <w:p>
      <w:pPr>
        <w:widowControl/>
        <w:spacing w:after="100"/>
      </w:pPr>
      <w:r>
        <w:rPr>
          <w:i w:val="0"/>
        </w:rPr>
        <w:t>The seed system emerged as one of the most active and strategically important components. AfricaRice was described as an important source of high-quality early-generation seed and new varieties, while licensed private companies multiply foundation and certified seed, distribute it through their networks, and sometimes recover seed costs through paddy buy-back arrangements. Some seed companies are also millers or aggregators, allowing a more integrated seed-to-market model.</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73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Issue</w:t>
            </w:r>
          </w:p>
        </w:tc>
        <w:tc>
          <w:tcPr>
            <w:tcW w:type="dxa" w:w="784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Session evidence and implication</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Early-generation seed</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A company reported capacity of approximately 50-60 tonnes per year of early-generation or foundation seed. The exact seed class and audited production records should be confirmed.</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Certified seed volume</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A reported one million tonnes was corrected to one million kilograms, or 1,000 tonnes. The correction is essential and the figure still requires reconciliation with regulator records.</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Variety mix</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The company estimated about 45 percent FARO 44 and 25 percent FARO 60, with the balance across UPR varieties, FARO 59 and others. These shares were provided verbally and should be supported by sales records.</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Sales</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Approximately 85 percent of the previous production was said to have been sold. Buyers, channels, farmer numbers, geographies and planting outcomes were not available.</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FARO 59 purity and scarcity</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Partners expressed strong demand for clean early-generation seed because circulating material was reportedly scarce or contaminated.</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Outgrower and buy-back model</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Companies may supply seed to farmer networks, purchase the resulting paddy and deduct input costs. Contract terms, repayment rates, side-selling and quality incentives require documentation.</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Profitability</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A partner suggested seed production becomes profitable at roughly 2-2.5 tonnes per hectare and cited yields of 6.9-7.1 tonnes per hectare under good conditions. These are enterprise claims, not independently verified averages.</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Market dependence</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Seed sales improve when government or development projects stimulate demand. This raises a sustainability question: how much seed demand is commercial and how much is intervention-driven?</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Quality and certification</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The regulator highlighted possible discrepancies between company declarations and actual production, adulteration, mislabelling and uncertified volumes.</w:t>
            </w:r>
          </w:p>
        </w:tc>
      </w:tr>
    </w:tbl>
    <w:p>
      <w:pPr>
        <w:widowControl/>
        <w:spacing w:after="0"/>
      </w:pPr>
    </w:p>
    <w:p>
      <w:pPr>
        <w:pStyle w:val="Heading2"/>
        <w:keepNext/>
        <w:widowControl/>
      </w:pPr>
      <w:r>
        <w:t>Seed-system coaching interpretation</w:t>
      </w:r>
    </w:p>
    <w:p>
      <w:pPr>
        <w:pStyle w:val="ListBullet"/>
        <w:widowControl/>
        <w:spacing w:after="40"/>
      </w:pPr>
      <w:r>
        <w:t>Do not equate seed produced, seed sold and seed adopted. Each is a different result level.</w:t>
      </w:r>
    </w:p>
    <w:p>
      <w:pPr>
        <w:pStyle w:val="ListBullet"/>
        <w:widowControl/>
        <w:spacing w:after="40"/>
      </w:pPr>
      <w:r>
        <w:t>Use regulator-certified production and sales records as the primary evidence base, supplemented by company transaction data.</w:t>
      </w:r>
    </w:p>
    <w:p>
      <w:pPr>
        <w:pStyle w:val="ListBullet"/>
        <w:widowControl/>
        <w:spacing w:after="40"/>
      </w:pPr>
      <w:r>
        <w:t>Define the commercially relevant varieties by ecology, farmer demand, miller preference, profitability and seed-system feasibility.</w:t>
      </w:r>
    </w:p>
    <w:p>
      <w:pPr>
        <w:pStyle w:val="ListBullet"/>
        <w:widowControl/>
        <w:spacing w:after="40"/>
      </w:pPr>
      <w:r>
        <w:t>Treat varietal purity and early-generation seed availability as explicit scaling bottlenecks, not only technical research issues.</w:t>
      </w:r>
    </w:p>
    <w:p>
      <w:pPr>
        <w:pStyle w:val="ListBullet"/>
        <w:widowControl/>
        <w:spacing w:after="40"/>
      </w:pPr>
      <w:r>
        <w:t>Calculate the amount of certified seed required for the stated farmer and area ambitions, then test whether breeder, foundation, certification and commercial multiplication capacity can meet that requirement.</w:t>
      </w:r>
    </w:p>
    <w:p>
      <w:pPr>
        <w:pStyle w:val="ListBullet"/>
        <w:widowControl/>
        <w:spacing w:after="40"/>
      </w:pPr>
      <w:r>
        <w:t>Separate project-induced seed sales from repeat purchases and market-led demand.</w:t>
      </w:r>
    </w:p>
    <w:p>
      <w:pPr>
        <w:pStyle w:val="Heading1"/>
        <w:keepNext/>
        <w:widowControl/>
      </w:pPr>
      <w:r>
        <w:t>7. Adoption evidence, data quality and varietal identity</w:t>
      </w:r>
    </w:p>
    <w:p>
      <w:pPr>
        <w:widowControl/>
        <w:spacing w:after="100"/>
      </w:pPr>
      <w:r>
        <w:rPr>
          <w:i w:val="0"/>
        </w:rPr>
        <w:t>The most important evidence challenge in the session was the lack of reliable adoption data. Participants could cite seed production and sales estimates, but could not state how many farmers planted the promoted varieties, on what area, for how many seasons, or with what results. This problem was compounded by seed recycling, informal exchange, varietal mislabelling and farmer uncertainty about what variety they are actually growing.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73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Evidence issue</w:t>
            </w:r>
          </w:p>
        </w:tc>
        <w:tc>
          <w:tcPr>
            <w:tcW w:type="dxa" w:w="784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Why it matters</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Inconsistent seed figures</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The one-million-tonne versus one-million-kilogram correction illustrates the reputational risk of using unsupported numbers. All headline figures should be checked before reporting or proposal submission.</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Seed sold versus planted</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Company sales do not prove that the seed was planted, planted in the intended season, or used on the expected area.</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Farmer numbers unavailable</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Companies did not readily provide the number of distinct farmers purchasing promoted seed, limiting conversion of sales volume into adopter estimates.</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Seed recycling</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Farmers frequently save and replant seed. This extends varietal use beyond annual certified-seed sales but may reduce purity and makes annual adoption measurement more complex.</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Varietal misidentification</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Genotyping work reportedly found cases where farmers believed they were growing FARO 44 or another improved variety, but samples matched a different variety or landrace.</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National adoption estimates</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Participants mentioned approximately 11-16 percent improved-rice-seed adoption nationally and more than 25 percent in some intervention or irrigated areas. These estimates use different definitions and should not be combined.</w:t>
            </w:r>
          </w:p>
        </w:tc>
      </w:tr>
      <w:tr>
        <w:trPr>
          <w:cantSplit/>
        </w:trPr>
        <w:tc>
          <w:tcPr>
            <w:tcW w:type="dxa" w:w="2736"/>
            <w:vAlign w:val="center"/>
            <w:tcMar>
              <w:top w:w="90" w:type="dxa"/>
              <w:start w:w="110" w:type="dxa"/>
              <w:bottom w:w="90" w:type="dxa"/>
              <w:end w:w="110" w:type="dxa"/>
            </w:tcMar>
            <w:shd w:fill="FFFFFF"/>
          </w:tcPr>
          <w:p>
            <w:pPr>
              <w:spacing w:after="0" w:before="0" w:line="240" w:lineRule="auto"/>
            </w:pPr>
            <w:r/>
            <w:r>
              <w:rPr>
                <w:rFonts w:ascii="Aptos" w:hAnsi="Aptos"/>
                <w:b w:val="0"/>
                <w:sz w:val="18"/>
              </w:rPr>
              <w:t>Quality assurance gap</w:t>
            </w:r>
          </w:p>
        </w:tc>
        <w:tc>
          <w:tcPr>
            <w:tcW w:type="dxa" w:w="7848"/>
            <w:vAlign w:val="center"/>
            <w:tcMar>
              <w:top w:w="90" w:type="dxa"/>
              <w:start w:w="110" w:type="dxa"/>
              <w:bottom w:w="90" w:type="dxa"/>
              <w:end w:w="110" w:type="dxa"/>
            </w:tcMar>
            <w:shd w:fill="FFFFFF"/>
          </w:tcPr>
          <w:p>
            <w:pPr>
              <w:spacing w:after="0" w:before="0" w:line="240" w:lineRule="auto"/>
            </w:pPr>
            <w:r/>
            <w:r>
              <w:rPr>
                <w:rFonts w:ascii="Aptos" w:hAnsi="Aptos"/>
                <w:b w:val="0"/>
                <w:sz w:val="18"/>
              </w:rPr>
              <w:t>Adulteration and uncertified seed undermine farmer trust, yield performance and the credibility of the scaling claim.</w:t>
            </w:r>
          </w:p>
        </w:tc>
      </w:tr>
      <w:tr>
        <w:trPr>
          <w:cantSplit/>
        </w:trPr>
        <w:tc>
          <w:tcPr>
            <w:tcW w:type="dxa" w:w="2736"/>
            <w:vAlign w:val="center"/>
            <w:tcMar>
              <w:top w:w="90" w:type="dxa"/>
              <w:start w:w="110" w:type="dxa"/>
              <w:bottom w:w="90" w:type="dxa"/>
              <w:end w:w="110" w:type="dxa"/>
            </w:tcMar>
            <w:shd w:fill="EAF0F5"/>
          </w:tcPr>
          <w:p>
            <w:pPr>
              <w:spacing w:after="0" w:before="0" w:line="240" w:lineRule="auto"/>
            </w:pPr>
            <w:r/>
            <w:r>
              <w:rPr>
                <w:rFonts w:ascii="Aptos" w:hAnsi="Aptos"/>
                <w:b w:val="0"/>
                <w:sz w:val="18"/>
              </w:rPr>
              <w:t>Reference library opportunity</w:t>
            </w:r>
          </w:p>
        </w:tc>
        <w:tc>
          <w:tcPr>
            <w:tcW w:type="dxa" w:w="7848"/>
            <w:vAlign w:val="center"/>
            <w:tcMar>
              <w:top w:w="90" w:type="dxa"/>
              <w:start w:w="110" w:type="dxa"/>
              <w:bottom w:w="90" w:type="dxa"/>
              <w:end w:w="110" w:type="dxa"/>
            </w:tcMar>
            <w:shd w:fill="EAF0F5"/>
          </w:tcPr>
          <w:p>
            <w:pPr>
              <w:spacing w:after="0" w:before="0" w:line="240" w:lineRule="auto"/>
            </w:pPr>
            <w:r/>
            <w:r>
              <w:rPr>
                <w:rFonts w:ascii="Aptos" w:hAnsi="Aptos"/>
                <w:b w:val="0"/>
                <w:sz w:val="18"/>
              </w:rPr>
              <w:t>A national and regional genetic reference library could validate varietal identity and complement digital transaction and farmer-registration data.</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Minimum adoption definition</w:t>
            </w:r>
          </w:p>
          <w:p>
            <w:pPr>
              <w:spacing w:after="0" w:line="252" w:lineRule="auto"/>
            </w:pPr>
            <w:r>
              <w:rPr>
                <w:rFonts w:ascii="Aptos" w:hAnsi="Aptos"/>
                <w:color w:val="282828"/>
                <w:sz w:val="19"/>
              </w:rPr>
              <w:t>For each promoted variety, report at least: certified seed sold by verified channel; estimated unique purchasing farmers; estimated planted area; verified varietal identity for a sample; repeat use in a subsequent season; and yield, profitability or market-quality evidence. Where farmers use recycled seed, record this as continued varietal use but distinguish it from annual certified-seed purchase.</w:t>
            </w:r>
          </w:p>
        </w:tc>
      </w:tr>
    </w:tbl>
    <w:p>
      <w:pPr>
        <w:widowControl/>
      </w:pPr>
    </w:p>
    <w:p>
      <w:pPr>
        <w:pStyle w:val="Heading1"/>
        <w:keepNext/>
        <w:widowControl/>
      </w:pPr>
      <w:r>
        <w:t>8. Digital pathway: eProd, RiceAdvice and AgriSuite</w:t>
      </w:r>
    </w:p>
    <w:p>
      <w:pPr>
        <w:widowControl/>
        <w:spacing w:after="100"/>
      </w:pPr>
      <w:r>
        <w:rPr>
          <w:i w:val="0"/>
        </w:rPr>
        <w:t>Digitalization is intended to serve two related purposes: improve enterprise operations and create a traceable evidence system for scaling. eProd provides farmer and supply-chain management; RiceAdvice generates plot-specific nutrient and agronomic recommendations; and Niger State already operates AgriSuite. The discussion showed that each tool has potential, but the architecture, ownership and results logic are not yet fully harmonized.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Digital element</w:t>
            </w:r>
          </w:p>
        </w:tc>
        <w:tc>
          <w:tcPr>
            <w:tcW w:type="dxa" w:w="770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Current position and unresolved question</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eProd</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Enterprises manage their own farmer and transaction data. AfricaRice currently supports implementation, after which companies are expected to pay an annual license.</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eProd business model</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The company license is the principal revenue source; an indicative cost equivalent to about US$0.50 per farmer was mentioned. The actual pricing and willingness-to-pay in Nigeria should be documented.</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RiceAdvice</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AfricaRice trains extension agents who generate advice for farmers. Recommendations can be delivered through extension or pushed by SMS when integrated with eProd.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eProd-RiceAdvice integration</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Previously functional but currently requiring reintegration after RiceAdvice changes. At the time of the meeting, the integration was not fully operational.</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Upload and server problems</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 partner reported polygon and data-upload difficulties. An eProd support visit was expected in August to resolve technical and device issues.</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AgriSuite in Niger State</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Niger opted to continue with its existing platform rather than duplicate systems. The track needs common data standards and interoperability, not necessarily a single software product.</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Farmer onboarding</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 provisional figure of roughly 15,000 farmers was mentioned, while one company reportedly added more than 8,000 after training. These figures require a dated, de-duplicated dashboard.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500,000-farmer target</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The target was repeatedly cited but its country scope, time horizon, active-user definition and contribution from Nigeria versus Cote d'Ivoire were unclear.</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Advisory adoption</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Participants could describe message delivery but did not provide Nigeria-specific evidence that farmers implemented the advice or changed fertilizer practices.</w:t>
            </w:r>
          </w:p>
        </w:tc>
      </w:tr>
    </w:tbl>
    <w:p>
      <w:pPr>
        <w:widowControl/>
        <w:spacing w:after="0"/>
      </w:pPr>
    </w:p>
    <w:p>
      <w:pPr>
        <w:pStyle w:val="Heading2"/>
        <w:keepNext/>
        <w:widowControl/>
      </w:pPr>
      <w:r>
        <w:t>Digital coaching priorities</w:t>
      </w:r>
    </w:p>
    <w:p>
      <w:pPr>
        <w:pStyle w:val="ListBullet"/>
        <w:widowControl/>
        <w:spacing w:after="40"/>
      </w:pPr>
      <w:r>
        <w:t>Define one common minimum dataset across eProd, AgriSuite and any partner platform: farmer identifier, gender and age, location, plot area, variety, seed class, agronomic practices, advisory receipt, service use, production, sales, buyer and price.</w:t>
      </w:r>
    </w:p>
    <w:p>
      <w:pPr>
        <w:pStyle w:val="ListBullet"/>
        <w:widowControl/>
        <w:spacing w:after="40"/>
      </w:pPr>
      <w:r>
        <w:t>Separate registered farmers, active farmers, advised farmers, farmers using the advice and farmers completing a transaction.</w:t>
      </w:r>
    </w:p>
    <w:p>
      <w:pPr>
        <w:pStyle w:val="ListBullet"/>
        <w:widowControl/>
        <w:spacing w:after="40"/>
      </w:pPr>
      <w:r>
        <w:t>Resolve the eProd-RiceAdvice integration and upload issues before making digital adoption claims.</w:t>
      </w:r>
    </w:p>
    <w:p>
      <w:pPr>
        <w:pStyle w:val="ListBullet"/>
        <w:widowControl/>
        <w:spacing w:after="40"/>
      </w:pPr>
      <w:r>
        <w:t>Demonstrate the enterprise value proposition using time saved, repayment management, reduced leakage, increased recovery, lower transaction cost or higher sales - not only the number of farmers entered into the system.</w:t>
      </w:r>
    </w:p>
    <w:p>
      <w:pPr>
        <w:pStyle w:val="ListBullet"/>
        <w:widowControl/>
        <w:spacing w:after="40"/>
      </w:pPr>
      <w:r>
        <w:t>Agree data ownership, consent, access, cybersecurity, portability and exit arrangements for farmers and partner companies.</w:t>
      </w:r>
    </w:p>
    <w:p>
      <w:pPr>
        <w:pStyle w:val="ListBullet"/>
        <w:widowControl/>
        <w:spacing w:after="40"/>
      </w:pPr>
      <w:r>
        <w:t>Create a Nigeria-specific license transition plan showing which companies will pay, when they begin paying, and what happens if they decline.</w:t>
      </w:r>
    </w:p>
    <w:p>
      <w:pPr>
        <w:pStyle w:val="Heading1"/>
        <w:keepNext/>
        <w:widowControl/>
      </w:pPr>
      <w:r>
        <w:t>9. Aggregation, milling, offtake and market pull</w:t>
      </w:r>
    </w:p>
    <w:p>
      <w:pPr>
        <w:widowControl/>
        <w:spacing w:after="100"/>
      </w:pPr>
      <w:r>
        <w:rPr>
          <w:i w:val="0"/>
        </w:rPr>
        <w:t>The market-pull pathway is essential to the integrated model. The track assumes that millers and aggregators will demand quality paddy, stimulate seed and service use, support input recovery and provide farmers with a reliable market. The session provided strong qualitative evidence of demand but limited verified quantitative evidence on actual procurement volumes, contract performance and farmer returns.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0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Element</w:t>
            </w:r>
          </w:p>
        </w:tc>
        <w:tc>
          <w:tcPr>
            <w:tcW w:type="dxa" w:w="777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Discussion and implications</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Miller and processor demand</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A processor reported capacity or demand of about 50,000 tonnes per month, although the exact statement was affected by poor audio. The broader message was that paddy demand exceeds reliable supply.</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Quality paddy shortage</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The key constraint was described as insufficient high-quality paddy rather than absence of a market. Seed purity, production practices, harvesting and post-harvest handling all affect quality.</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Farmer networks</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One miller or aggregator was said to work with roughly 2,000 farmers. Another foundation-operated hub network reported approximately 130,000 farmers across 18 states. These networks need verified active-rice-farmer counts.</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Aggregation volume</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A partner referred to approximately 50,000 tonnes across different areas, but the audio was unclear. The figure should be treated as unverified until supported by transaction records.</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Large buyers</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TGI and Olam were named among market actors. Their precise role, procurement commitment and relationship to the track should be documented.</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Side-selling</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Partners acknowledged side-selling when market prices exceed the contracted price. Flexible and transparent price formulas, trust and timely payment are therefore central to the business model.</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Input recovery</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Seed and other input costs may be deducted when paddy is purchased. This can improve access but requires clear contracts, farmer consent and fair quality and price assessment.</w:t>
            </w:r>
          </w:p>
        </w:tc>
      </w:tr>
      <w:tr>
        <w:trPr>
          <w:cantSplit/>
        </w:trPr>
        <w:tc>
          <w:tcPr>
            <w:tcW w:type="dxa" w:w="2808"/>
            <w:vAlign w:val="center"/>
            <w:tcMar>
              <w:top w:w="90" w:type="dxa"/>
              <w:start w:w="110" w:type="dxa"/>
              <w:bottom w:w="90" w:type="dxa"/>
              <w:end w:w="110" w:type="dxa"/>
            </w:tcMar>
            <w:shd w:fill="EAF0F5"/>
          </w:tcPr>
          <w:p>
            <w:pPr>
              <w:spacing w:after="0" w:before="0" w:line="240" w:lineRule="auto"/>
            </w:pPr>
            <w:r/>
            <w:r>
              <w:rPr>
                <w:rFonts w:ascii="Aptos" w:hAnsi="Aptos"/>
                <w:b w:val="0"/>
                <w:sz w:val="18"/>
              </w:rPr>
              <w:t>Competition with imports</w:t>
            </w:r>
          </w:p>
        </w:tc>
        <w:tc>
          <w:tcPr>
            <w:tcW w:type="dxa" w:w="7776"/>
            <w:vAlign w:val="center"/>
            <w:tcMar>
              <w:top w:w="90" w:type="dxa"/>
              <w:start w:w="110" w:type="dxa"/>
              <w:bottom w:w="90" w:type="dxa"/>
              <w:end w:w="110" w:type="dxa"/>
            </w:tcMar>
            <w:shd w:fill="EAF0F5"/>
          </w:tcPr>
          <w:p>
            <w:pPr>
              <w:spacing w:after="0" w:before="0" w:line="240" w:lineRule="auto"/>
            </w:pPr>
            <w:r/>
            <w:r>
              <w:rPr>
                <w:rFonts w:ascii="Aptos" w:hAnsi="Aptos"/>
                <w:b w:val="0"/>
                <w:sz w:val="18"/>
              </w:rPr>
              <w:t>Local rice must compete on grain quality, cleanliness, consistency, price and availability. The package should be designed around the specifications of actual buyers.</w:t>
            </w:r>
          </w:p>
        </w:tc>
      </w:tr>
      <w:tr>
        <w:trPr>
          <w:cantSplit/>
        </w:trPr>
        <w:tc>
          <w:tcPr>
            <w:tcW w:type="dxa" w:w="2808"/>
            <w:vAlign w:val="center"/>
            <w:tcMar>
              <w:top w:w="90" w:type="dxa"/>
              <w:start w:w="110" w:type="dxa"/>
              <w:bottom w:w="90" w:type="dxa"/>
              <w:end w:w="110" w:type="dxa"/>
            </w:tcMar>
            <w:shd w:fill="FFFFFF"/>
          </w:tcPr>
          <w:p>
            <w:pPr>
              <w:spacing w:after="0" w:before="0" w:line="240" w:lineRule="auto"/>
            </w:pPr>
            <w:r/>
            <w:r>
              <w:rPr>
                <w:rFonts w:ascii="Aptos" w:hAnsi="Aptos"/>
                <w:b w:val="0"/>
                <w:sz w:val="18"/>
              </w:rPr>
              <w:t>One-million-tonne aggregation target</w:t>
            </w:r>
          </w:p>
        </w:tc>
        <w:tc>
          <w:tcPr>
            <w:tcW w:type="dxa" w:w="7776"/>
            <w:vAlign w:val="center"/>
            <w:tcMar>
              <w:top w:w="90" w:type="dxa"/>
              <w:start w:w="110" w:type="dxa"/>
              <w:bottom w:w="90" w:type="dxa"/>
              <w:end w:w="110" w:type="dxa"/>
            </w:tcMar>
            <w:shd w:fill="FFFFFF"/>
          </w:tcPr>
          <w:p>
            <w:pPr>
              <w:spacing w:after="0" w:before="0" w:line="240" w:lineRule="auto"/>
            </w:pPr>
            <w:r/>
            <w:r>
              <w:rPr>
                <w:rFonts w:ascii="Aptos" w:hAnsi="Aptos"/>
                <w:b w:val="0"/>
                <w:sz w:val="18"/>
              </w:rPr>
              <w:t>The target was described as applying across Nigeria and Cote d'Ivoire, and possibly inherited from a wider multi-country framing. Its scope and baseline must be corrected before use.</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Market-anchor principle</w:t>
            </w:r>
          </w:p>
          <w:p>
            <w:pPr>
              <w:spacing w:after="0" w:line="252" w:lineRule="auto"/>
            </w:pPr>
            <w:r>
              <w:rPr>
                <w:rFonts w:ascii="Aptos" w:hAnsi="Aptos"/>
                <w:color w:val="282828"/>
                <w:sz w:val="19"/>
              </w:rPr>
              <w:t>The most credible scaling unit is not a loose network of partners but a functioning production-to-market cluster: defined farmer group, promoted varieties, input and service package, extension or digital support, quality standard, identified buyer, pricing mechanism, transaction records and a clear distribution of risks and returns.</w:t>
            </w:r>
          </w:p>
        </w:tc>
      </w:tr>
    </w:tbl>
    <w:p>
      <w:pPr>
        <w:widowControl/>
      </w:pPr>
    </w:p>
    <w:p>
      <w:pPr>
        <w:pStyle w:val="Heading1"/>
        <w:keepNext/>
        <w:widowControl/>
      </w:pPr>
      <w:r>
        <w:t>10. Mechanization-as-a-service pathway</w:t>
      </w:r>
    </w:p>
    <w:p>
      <w:pPr>
        <w:widowControl/>
        <w:spacing w:after="100"/>
      </w:pPr>
      <w:r>
        <w:rPr>
          <w:i w:val="0"/>
        </w:rPr>
        <w:t>Mechanization was presented as both a binding production constraint and a major public investment opportunity. Demand exists for land preparation, levelling, planting, harvesting and milling. However, the session did not yet provide the operating data needed to show that public fleets and service centres are functioning as sustainable businesses or reaching the intended farmer segments.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Reported asset or issue</w:t>
            </w:r>
          </w:p>
        </w:tc>
        <w:tc>
          <w:tcPr>
            <w:tcW w:type="dxa" w:w="770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Implication</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Niger State fleet</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Approximately 400 tractors were mentioned as already purchased. The ownership, location, operational status and service records should be confirmed.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Jigawa State tractors</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A state representative reported 300 tractors with implements.</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Jigawa planters and harvesters</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The state reportedly procured 150 multi-purpose planters and 60 combine harvesters.</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Mechanization centres</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Sixty centres were reported across Jigawa, using a government-private partnership arrangement and involving private managers such as Hello Tractor.</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Training and maintenance</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Technicians and drivers were reportedly trained in India and China. Maintenance systems, spare-parts supply, downtime and cost recovery remain critical indicators.</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Service demand</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Land preparation and harvesting appeared to have the strongest demand. Timeliness is vital because farmers queue for scarce equipment.</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Small machinery gap</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Participants emphasized the need for power tillers and smaller, maneuverable equipment for fragmented or difficult rural fields.</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Harvest loss</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Manual harvesting and threshing were claimed to cause 30-40 percent loss in some situations. This figure should be verified, but the qualitative loss problem is credible.</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Commercial model</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Services were described as commercial rather than free, but no service prices, utilization rates, revenue, operating costs or break-even analysis were presented.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Bird damage</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A Jigawa representative highlighted migratory quelea bird damage as an additional production risk. This is important but should be treated separately from mechanization.</w:t>
            </w:r>
          </w:p>
        </w:tc>
      </w:tr>
    </w:tbl>
    <w:p>
      <w:pPr>
        <w:widowControl/>
        <w:spacing w:after="0"/>
      </w:pPr>
    </w:p>
    <w:p>
      <w:pPr>
        <w:pStyle w:val="Heading2"/>
        <w:keepNext/>
        <w:widowControl/>
      </w:pPr>
      <w:r>
        <w:t>Mechanization coaching questions</w:t>
      </w:r>
    </w:p>
    <w:p>
      <w:pPr>
        <w:pStyle w:val="ListBullet"/>
        <w:widowControl/>
        <w:spacing w:after="40"/>
      </w:pPr>
      <w:r>
        <w:t>Who owns each asset, who operates it, who sets the price and who bears maintenance and replacement costs?</w:t>
      </w:r>
    </w:p>
    <w:p>
      <w:pPr>
        <w:pStyle w:val="ListBullet"/>
        <w:widowControl/>
        <w:spacing w:after="40"/>
      </w:pPr>
      <w:r>
        <w:t>What proportion of the fleet is operational, and how many hectares or farmers does each machine serve per season?</w:t>
      </w:r>
    </w:p>
    <w:p>
      <w:pPr>
        <w:pStyle w:val="ListBullet"/>
        <w:widowControl/>
        <w:spacing w:after="40"/>
      </w:pPr>
      <w:r>
        <w:t>What is the average wait time, travel radius, service price, fuel cost, downtime and payment recovery?</w:t>
      </w:r>
    </w:p>
    <w:p>
      <w:pPr>
        <w:pStyle w:val="ListBullet"/>
        <w:widowControl/>
        <w:spacing w:after="40"/>
      </w:pPr>
      <w:r>
        <w:t>Which services are commercially viable and which require public support because of high fixed costs or public-good benefits?</w:t>
      </w:r>
    </w:p>
    <w:p>
      <w:pPr>
        <w:pStyle w:val="ListBullet"/>
        <w:widowControl/>
        <w:spacing w:after="40"/>
      </w:pPr>
      <w:r>
        <w:t>Do women, youth and smallholders have equal access to booking, credit and service timing?</w:t>
      </w:r>
    </w:p>
    <w:p>
      <w:pPr>
        <w:pStyle w:val="ListBullet"/>
        <w:widowControl/>
        <w:spacing w:after="40"/>
      </w:pPr>
      <w:r>
        <w:t>Would targeted support for smaller equipment or independent service entrepreneurs deliver greater coverage than additional large public fleets?</w:t>
      </w:r>
    </w:p>
    <w:p>
      <w:pPr>
        <w:pStyle w:val="Heading1"/>
        <w:keepNext/>
        <w:widowControl/>
      </w:pPr>
      <w:r>
        <w:t>11. Smart Valley and infrastructure-investment pathway</w:t>
      </w:r>
    </w:p>
    <w:p>
      <w:pPr>
        <w:widowControl/>
        <w:spacing w:after="100"/>
      </w:pPr>
      <w:r>
        <w:rPr>
          <w:i w:val="0"/>
        </w:rPr>
        <w:t>Smart Valley development was described as participatory improvement of inland valleys for water control and rice production. The team is identifying and mapping sites, characterizing business opportunities and exploring two investment routes: community or partner investment in smaller sites, and government-led mass land development for larger areas. Farmers would then undertake bunding, canal construction and field-level works with technical guidance.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Pathway</w:t>
            </w:r>
          </w:p>
        </w:tc>
        <w:tc>
          <w:tcPr>
            <w:tcW w:type="dxa" w:w="770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Key design considerations</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Community-led development</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Requires clear community agreement, labor contribution, land and water rights, local maintenance institutions, conflict management and evidence that expected returns justify participation.</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Private or partner investment</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Requires bankable production and market assumptions, defined ownership, cost recovery and risk allocation.</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Government mass land development</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May unlock larger areas, but should avoid infrastructure without users, maintenance budgets or market connections.</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Living-lab approach</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Can test technical design, governance, production packages and investment economics before replication.</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US$20 million pipeline</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Should be presented as estimated investment need or pipeline until projects are approved, financed and disbursed.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Current stage</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Predominantly mapping, business assessment, community engagement and investment planning rather than scaled infrastructure and adoption.</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Smart Valley evidence threshold</w:t>
            </w:r>
          </w:p>
          <w:p>
            <w:pPr>
              <w:spacing w:after="0" w:line="252" w:lineRule="auto"/>
            </w:pPr>
            <w:r>
              <w:rPr>
                <w:rFonts w:ascii="Aptos" w:hAnsi="Aptos"/>
                <w:color w:val="282828"/>
                <w:sz w:val="19"/>
              </w:rPr>
              <w:t>A credible scaling claim requires more than mapped hectares. Report sites with agreed governance, completed works, farmers actively cultivating, area under improved water management, production and income changes, maintenance performance and replication financed by state, community or private actors.</w:t>
            </w:r>
          </w:p>
        </w:tc>
      </w:tr>
    </w:tbl>
    <w:p>
      <w:pPr>
        <w:widowControl/>
      </w:pPr>
    </w:p>
    <w:p>
      <w:pPr>
        <w:pStyle w:val="Heading1"/>
        <w:keepNext/>
        <w:widowControl/>
      </w:pPr>
      <w:r>
        <w:t>12. Partner ecosystem, nested networks and governance</w:t>
      </w:r>
    </w:p>
    <w:p>
      <w:pPr>
        <w:widowControl/>
        <w:spacing w:after="100"/>
      </w:pPr>
      <w:r>
        <w:rPr>
          <w:i w:val="0"/>
        </w:rPr>
        <w:t>Rica characterized the model as a set of nested networks. AfricaRice and S4I convene the overall PPP, while each component has its own sub-network: research and regulators around varieties and seed; enterprises and eProd around digitalization; millers and farmers around aggregation; state agencies and private operators around mechanization; and communities and government around Smart Valleys. This is an accurate description, but it creates a demanding governance task.</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952"/>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Actor</w:t>
            </w:r>
          </w:p>
        </w:tc>
        <w:tc>
          <w:tcPr>
            <w:tcW w:type="dxa" w:w="7632"/>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Role discussed</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AfricaRice</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Research, early-generation seed, technical training, innovation integration, evidence generation, convening and catalytic coordination.</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Niger and Jigawa state governments</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State transformation targets, implementation platforms, public investment, mechanization assets, infrastructure planning and institutional ownership.</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National Agricultural Seeds Council</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Seed certification, regulation, quality assurance, production verification and varietal adoption evidence.</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National Cereals Research Institute and other research bodies</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Variety development, agronomy, processing, extension materials and technical support.</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Seed companies</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Foundation and certified seed multiplication, distribution, outgrower management, sales and sometimes aggregation or milling.</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Millers and processors</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Create paddy demand, set quality specifications, aggregate and process rice, and potentially anchor production clusters.</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eProd Solutions</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Enterprise digital platform, farmer registration, transaction management, traceability, advice integration and license-based service.</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Extension agents and advisory partners</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Translate RiceAdvice and other recommendations into farmer-facing support and follow-up.</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Mechanization agencies, private managers and Hello Tractor</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Manage fleets, bookings, service delivery, maintenance and potentially payment systems.</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Farmer organizations and hub networks</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Organize demand, distribute inputs, provide training points, aggregate produce and connect rural farmers to markets.</w:t>
            </w:r>
          </w:p>
        </w:tc>
      </w:tr>
      <w:tr>
        <w:trPr>
          <w:cantSplit/>
        </w:trPr>
        <w:tc>
          <w:tcPr>
            <w:tcW w:type="dxa" w:w="2952"/>
            <w:vAlign w:val="center"/>
            <w:tcMar>
              <w:top w:w="90" w:type="dxa"/>
              <w:start w:w="110" w:type="dxa"/>
              <w:bottom w:w="90" w:type="dxa"/>
              <w:end w:w="110" w:type="dxa"/>
            </w:tcMar>
            <w:shd w:fill="FFFFFF"/>
          </w:tcPr>
          <w:p>
            <w:pPr>
              <w:spacing w:after="0" w:before="0" w:line="240" w:lineRule="auto"/>
            </w:pPr>
            <w:r/>
            <w:r>
              <w:rPr>
                <w:rFonts w:ascii="Aptos" w:hAnsi="Aptos"/>
                <w:b w:val="0"/>
                <w:sz w:val="18"/>
              </w:rPr>
              <w:t>Development-finance institutions</w:t>
            </w:r>
          </w:p>
        </w:tc>
        <w:tc>
          <w:tcPr>
            <w:tcW w:type="dxa" w:w="7632"/>
            <w:vAlign w:val="center"/>
            <w:tcMar>
              <w:top w:w="90" w:type="dxa"/>
              <w:start w:w="110" w:type="dxa"/>
              <w:bottom w:w="90" w:type="dxa"/>
              <w:end w:w="110" w:type="dxa"/>
            </w:tcMar>
            <w:shd w:fill="FFFFFF"/>
          </w:tcPr>
          <w:p>
            <w:pPr>
              <w:spacing w:after="0" w:before="0" w:line="240" w:lineRule="auto"/>
            </w:pPr>
            <w:r/>
            <w:r>
              <w:rPr>
                <w:rFonts w:ascii="Aptos" w:hAnsi="Aptos"/>
                <w:b w:val="0"/>
                <w:sz w:val="18"/>
              </w:rPr>
              <w:t>Potential financing for infrastructure, enterprise investment, blended finance and state programs.</w:t>
            </w:r>
          </w:p>
        </w:tc>
      </w:tr>
      <w:tr>
        <w:trPr>
          <w:cantSplit/>
        </w:trPr>
        <w:tc>
          <w:tcPr>
            <w:tcW w:type="dxa" w:w="2952"/>
            <w:vAlign w:val="center"/>
            <w:tcMar>
              <w:top w:w="90" w:type="dxa"/>
              <w:start w:w="110" w:type="dxa"/>
              <w:bottom w:w="90" w:type="dxa"/>
              <w:end w:w="110" w:type="dxa"/>
            </w:tcMar>
            <w:shd w:fill="EAF0F5"/>
          </w:tcPr>
          <w:p>
            <w:pPr>
              <w:spacing w:after="0" w:before="0" w:line="240" w:lineRule="auto"/>
            </w:pPr>
            <w:r/>
            <w:r>
              <w:rPr>
                <w:rFonts w:ascii="Aptos" w:hAnsi="Aptos"/>
                <w:b w:val="0"/>
                <w:sz w:val="18"/>
              </w:rPr>
              <w:t>S4I</w:t>
            </w:r>
          </w:p>
        </w:tc>
        <w:tc>
          <w:tcPr>
            <w:tcW w:type="dxa" w:w="7632"/>
            <w:vAlign w:val="center"/>
            <w:tcMar>
              <w:top w:w="90" w:type="dxa"/>
              <w:start w:w="110" w:type="dxa"/>
              <w:bottom w:w="90" w:type="dxa"/>
              <w:end w:w="110" w:type="dxa"/>
            </w:tcMar>
            <w:shd w:fill="EAF0F5"/>
          </w:tcPr>
          <w:p>
            <w:pPr>
              <w:spacing w:after="0" w:before="0" w:line="240" w:lineRule="auto"/>
            </w:pPr>
            <w:r/>
            <w:r>
              <w:rPr>
                <w:rFonts w:ascii="Aptos" w:hAnsi="Aptos"/>
                <w:b w:val="0"/>
                <w:sz w:val="18"/>
              </w:rPr>
              <w:t>Catalytic financing, coordination, strategic coaching, learning and focus on scaling pathways.</w:t>
            </w:r>
          </w:p>
        </w:tc>
      </w:tr>
    </w:tbl>
    <w:p>
      <w:pPr>
        <w:widowControl/>
        <w:spacing w:after="0"/>
      </w:pPr>
    </w:p>
    <w:p>
      <w:pPr>
        <w:pStyle w:val="Heading2"/>
        <w:keepNext/>
        <w:widowControl/>
      </w:pPr>
      <w:r>
        <w:t>Governance risks</w:t>
      </w:r>
    </w:p>
    <w:p>
      <w:pPr>
        <w:pStyle w:val="ListBullet"/>
        <w:widowControl/>
        <w:spacing w:after="40"/>
      </w:pPr>
      <w:r>
        <w:t>The broad platform may become meeting-heavy without clear authority, decisions, commitments and accountability.</w:t>
      </w:r>
    </w:p>
    <w:p>
      <w:pPr>
        <w:pStyle w:val="ListBullet"/>
        <w:widowControl/>
        <w:spacing w:after="40"/>
      </w:pPr>
      <w:r>
        <w:t>Partners may participate because AfricaRice or S4I funds convening, but not invest or change behavior after the project.</w:t>
      </w:r>
    </w:p>
    <w:p>
      <w:pPr>
        <w:pStyle w:val="ListBullet"/>
        <w:widowControl/>
        <w:spacing w:after="40"/>
      </w:pPr>
      <w:r>
        <w:t>State priorities and digital systems may diverge, reducing comparability across the track.</w:t>
      </w:r>
    </w:p>
    <w:p>
      <w:pPr>
        <w:pStyle w:val="ListBullet"/>
        <w:widowControl/>
        <w:spacing w:after="40"/>
      </w:pPr>
      <w:r>
        <w:t>Commercial actors may protect proprietary data, making portfolio-level outcome reporting difficult.</w:t>
      </w:r>
    </w:p>
    <w:p>
      <w:pPr>
        <w:pStyle w:val="ListBullet"/>
        <w:widowControl/>
        <w:spacing w:after="40"/>
      </w:pPr>
      <w:r>
        <w:t>Coordination can remain person-dependent rather than institutionalized in state or industry structures.</w:t>
      </w:r>
    </w:p>
    <w:p>
      <w:pPr>
        <w:pStyle w:val="ListBullet"/>
        <w:widowControl/>
        <w:spacing w:after="40"/>
      </w:pPr>
      <w:r>
        <w:t>The track may claim outcomes produced by partners without documenting the specific contribution of AfricaRice and S4I.</w:t>
      </w:r>
    </w:p>
    <w:p>
      <w:pPr>
        <w:pStyle w:val="Heading1"/>
        <w:keepNext/>
        <w:widowControl/>
      </w:pPr>
      <w:r>
        <w:t>13. Business models and long-term sustainability</w:t>
      </w:r>
    </w:p>
    <w:p>
      <w:pPr>
        <w:widowControl/>
        <w:spacing w:after="100"/>
      </w:pPr>
      <w:r>
        <w:rPr>
          <w:i w:val="0"/>
        </w:rPr>
        <w:t>The session repeatedly tested who pays and whether each component can continue without grant funding. The strongest commercial logic was visible in seed production, milling and eProd licensing. Mechanization and Smart Valley development combine commercial and public-investment functions. Coordination itself remains the least clearly financed function.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Pathway</w:t>
            </w:r>
          </w:p>
        </w:tc>
        <w:tc>
          <w:tcPr>
            <w:tcW w:type="dxa" w:w="432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Payer and value proposition</w:t>
            </w:r>
          </w:p>
        </w:tc>
        <w:tc>
          <w:tcPr>
            <w:tcW w:type="dxa" w:w="446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Sustainability concern</w:t>
            </w:r>
          </w:p>
        </w:tc>
      </w:tr>
      <w:tr>
        <w:trPr>
          <w:cantSplit/>
        </w:trPr>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7"/>
              </w:rPr>
              <w:t>Seed</w:t>
            </w:r>
          </w:p>
        </w:tc>
        <w:tc>
          <w:tcPr>
            <w:tcW w:type="dxa" w:w="4320"/>
            <w:vAlign w:val="center"/>
            <w:tcMar>
              <w:top w:w="90" w:type="dxa"/>
              <w:start w:w="110" w:type="dxa"/>
              <w:bottom w:w="90" w:type="dxa"/>
              <w:end w:w="110" w:type="dxa"/>
            </w:tcMar>
            <w:shd w:fill="FFFFFF"/>
          </w:tcPr>
          <w:p>
            <w:pPr>
              <w:spacing w:after="0" w:before="0" w:line="240" w:lineRule="auto"/>
            </w:pPr>
            <w:r/>
            <w:r>
              <w:rPr>
                <w:rFonts w:ascii="Aptos" w:hAnsi="Aptos"/>
                <w:b w:val="0"/>
                <w:sz w:val="17"/>
              </w:rPr>
              <w:t>Farmers, outgrower schemes, millers or projects pay for seed; companies profit through multiplication and sales.</w:t>
            </w:r>
          </w:p>
        </w:tc>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Demand may depend on projects; quality failures, recycling and uncertain farmer purchasing reduce repeat sales.</w:t>
            </w:r>
          </w:p>
        </w:tc>
      </w:tr>
      <w:tr>
        <w:trPr>
          <w:cantSplit/>
        </w:trPr>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7"/>
              </w:rPr>
              <w:t>eProd</w:t>
            </w:r>
          </w:p>
        </w:tc>
        <w:tc>
          <w:tcPr>
            <w:tcW w:type="dxa" w:w="4320"/>
            <w:vAlign w:val="center"/>
            <w:tcMar>
              <w:top w:w="90" w:type="dxa"/>
              <w:start w:w="110" w:type="dxa"/>
              <w:bottom w:w="90" w:type="dxa"/>
              <w:end w:w="110" w:type="dxa"/>
            </w:tcMar>
            <w:shd w:fill="EAF0F5"/>
          </w:tcPr>
          <w:p>
            <w:pPr>
              <w:spacing w:after="0" w:before="0" w:line="240" w:lineRule="auto"/>
            </w:pPr>
            <w:r/>
            <w:r>
              <w:rPr>
                <w:rFonts w:ascii="Aptos" w:hAnsi="Aptos"/>
                <w:b w:val="0"/>
                <w:sz w:val="17"/>
              </w:rPr>
              <w:t>Companies pay a recurring license because the platform improves farmer management, input recovery, payments, traceability and access to finance.</w:t>
            </w:r>
          </w:p>
        </w:tc>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Nigeria-specific paying clients, price acceptance and the transition date from AfricaRice support were not confirmed.</w:t>
            </w:r>
          </w:p>
        </w:tc>
      </w:tr>
      <w:tr>
        <w:trPr>
          <w:cantSplit/>
        </w:trPr>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7"/>
              </w:rPr>
              <w:t>RiceAdvice</w:t>
            </w:r>
          </w:p>
        </w:tc>
        <w:tc>
          <w:tcPr>
            <w:tcW w:type="dxa" w:w="4320"/>
            <w:vAlign w:val="center"/>
            <w:tcMar>
              <w:top w:w="90" w:type="dxa"/>
              <w:start w:w="110" w:type="dxa"/>
              <w:bottom w:w="90" w:type="dxa"/>
              <w:end w:w="110" w:type="dxa"/>
            </w:tcMar>
            <w:shd w:fill="FFFFFF"/>
          </w:tcPr>
          <w:p>
            <w:pPr>
              <w:spacing w:after="0" w:before="0" w:line="240" w:lineRule="auto"/>
            </w:pPr>
            <w:r/>
            <w:r>
              <w:rPr>
                <w:rFonts w:ascii="Aptos" w:hAnsi="Aptos"/>
                <w:b w:val="0"/>
                <w:sz w:val="17"/>
              </w:rPr>
              <w:t>Value may be captured by farmers, companies, extension systems or input providers through better nutrient use and yields.</w:t>
            </w:r>
          </w:p>
        </w:tc>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No clear Nigeria-specific payer was established, and the eProd integration was not currently functioning.</w:t>
            </w:r>
          </w:p>
        </w:tc>
      </w:tr>
      <w:tr>
        <w:trPr>
          <w:cantSplit/>
        </w:trPr>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7"/>
              </w:rPr>
              <w:t>Aggregation/milling</w:t>
            </w:r>
          </w:p>
        </w:tc>
        <w:tc>
          <w:tcPr>
            <w:tcW w:type="dxa" w:w="4320"/>
            <w:vAlign w:val="center"/>
            <w:tcMar>
              <w:top w:w="90" w:type="dxa"/>
              <w:start w:w="110" w:type="dxa"/>
              <w:bottom w:w="90" w:type="dxa"/>
              <w:end w:w="110" w:type="dxa"/>
            </w:tcMar>
            <w:shd w:fill="EAF0F5"/>
          </w:tcPr>
          <w:p>
            <w:pPr>
              <w:spacing w:after="0" w:before="0" w:line="240" w:lineRule="auto"/>
            </w:pPr>
            <w:r/>
            <w:r>
              <w:rPr>
                <w:rFonts w:ascii="Aptos" w:hAnsi="Aptos"/>
                <w:b w:val="0"/>
                <w:sz w:val="17"/>
              </w:rPr>
              <w:t>Millers earn processing margins and secure supply; farmers gain market access; input costs may be recovered through buy-back.</w:t>
            </w:r>
          </w:p>
        </w:tc>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Side-selling, variable prices, quality rejection and delayed payment can weaken contracts.</w:t>
            </w:r>
          </w:p>
        </w:tc>
      </w:tr>
      <w:tr>
        <w:trPr>
          <w:cantSplit/>
        </w:trPr>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7"/>
              </w:rPr>
              <w:t>Mechanization</w:t>
            </w:r>
          </w:p>
        </w:tc>
        <w:tc>
          <w:tcPr>
            <w:tcW w:type="dxa" w:w="4320"/>
            <w:vAlign w:val="center"/>
            <w:tcMar>
              <w:top w:w="90" w:type="dxa"/>
              <w:start w:w="110" w:type="dxa"/>
              <w:bottom w:w="90" w:type="dxa"/>
              <w:end w:w="110" w:type="dxa"/>
            </w:tcMar>
            <w:shd w:fill="FFFFFF"/>
          </w:tcPr>
          <w:p>
            <w:pPr>
              <w:spacing w:after="0" w:before="0" w:line="240" w:lineRule="auto"/>
            </w:pPr>
            <w:r/>
            <w:r>
              <w:rPr>
                <w:rFonts w:ascii="Aptos" w:hAnsi="Aptos"/>
                <w:b w:val="0"/>
                <w:sz w:val="17"/>
              </w:rPr>
              <w:t>Farmers pay commercial service fees; state and private operators recover fuel, labor, maintenance and capital costs.</w:t>
            </w:r>
          </w:p>
        </w:tc>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Public assets may be underpriced, underutilized or poorly maintained; actual business data were not presented.</w:t>
            </w:r>
          </w:p>
        </w:tc>
      </w:tr>
      <w:tr>
        <w:trPr>
          <w:cantSplit/>
        </w:trPr>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7"/>
              </w:rPr>
              <w:t>Smart Valley</w:t>
            </w:r>
          </w:p>
        </w:tc>
        <w:tc>
          <w:tcPr>
            <w:tcW w:type="dxa" w:w="4320"/>
            <w:vAlign w:val="center"/>
            <w:tcMar>
              <w:top w:w="90" w:type="dxa"/>
              <w:start w:w="110" w:type="dxa"/>
              <w:bottom w:w="90" w:type="dxa"/>
              <w:end w:w="110" w:type="dxa"/>
            </w:tcMar>
            <w:shd w:fill="EAF0F5"/>
          </w:tcPr>
          <w:p>
            <w:pPr>
              <w:spacing w:after="0" w:before="0" w:line="240" w:lineRule="auto"/>
            </w:pPr>
            <w:r/>
            <w:r>
              <w:rPr>
                <w:rFonts w:ascii="Aptos" w:hAnsi="Aptos"/>
                <w:b w:val="0"/>
                <w:sz w:val="17"/>
              </w:rPr>
              <w:t>Communities, government and investors finance land and water improvements to increase production and resilience.</w:t>
            </w:r>
          </w:p>
        </w:tc>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Public-good infrastructure may not generate direct cash flow sufficient for private repayment; governance and maintenance are critical.</w:t>
            </w:r>
          </w:p>
        </w:tc>
      </w:tr>
      <w:tr>
        <w:trPr>
          <w:cantSplit/>
        </w:trPr>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7"/>
              </w:rPr>
              <w:t>PPP coordination</w:t>
            </w:r>
          </w:p>
        </w:tc>
        <w:tc>
          <w:tcPr>
            <w:tcW w:type="dxa" w:w="4320"/>
            <w:vAlign w:val="center"/>
            <w:tcMar>
              <w:top w:w="90" w:type="dxa"/>
              <w:start w:w="110" w:type="dxa"/>
              <w:bottom w:w="90" w:type="dxa"/>
              <w:end w:w="110" w:type="dxa"/>
            </w:tcMar>
            <w:shd w:fill="FFFFFF"/>
          </w:tcPr>
          <w:p>
            <w:pPr>
              <w:spacing w:after="0" w:before="0" w:line="240" w:lineRule="auto"/>
            </w:pPr>
            <w:r/>
            <w:r>
              <w:rPr>
                <w:rFonts w:ascii="Aptos" w:hAnsi="Aptos"/>
                <w:b w:val="0"/>
                <w:sz w:val="17"/>
              </w:rPr>
              <w:t>Creates system alignment, investment cases, partner accountability and learning.</w:t>
            </w:r>
          </w:p>
        </w:tc>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No durable financing or institutional host beyond S4I was identified.</w:t>
            </w:r>
          </w:p>
        </w:tc>
      </w:tr>
    </w:tbl>
    <w:p>
      <w:pPr>
        <w:widowControl/>
        <w:spacing w:after="0"/>
      </w:pP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Sustainability principle</w:t>
            </w:r>
          </w:p>
          <w:p>
            <w:pPr>
              <w:spacing w:after="0" w:line="252" w:lineRule="auto"/>
            </w:pPr>
            <w:r>
              <w:rPr>
                <w:rFonts w:ascii="Aptos" w:hAnsi="Aptos"/>
                <w:color w:val="282828"/>
                <w:sz w:val="19"/>
              </w:rPr>
              <w:t>S4I should not continue paying indefinitely for services that viable businesses can finance. Its strongest additionality is to fund time-bound coordination, evidence, de-risking, interoperability, market formation and policy or institutional changes that individual firms cannot deliver alone.</w:t>
            </w:r>
          </w:p>
        </w:tc>
      </w:tr>
    </w:tbl>
    <w:p>
      <w:pPr>
        <w:widowControl/>
      </w:pPr>
    </w:p>
    <w:p>
      <w:pPr>
        <w:pStyle w:val="Heading1"/>
        <w:keepNext/>
        <w:widowControl/>
      </w:pPr>
      <w:r>
        <w:t>14. Responsible scaling, inclusion and nutrition-sensitive elements</w:t>
      </w:r>
    </w:p>
    <w:p>
      <w:pPr>
        <w:widowControl/>
        <w:spacing w:after="100"/>
      </w:pPr>
      <w:r>
        <w:rPr>
          <w:i w:val="0"/>
        </w:rPr>
        <w:t>Responsible scaling was discussed only briefly. The team referenced gender-friendly innovations, women's participation in seed production and processing, small-scale processing and parboiling technologies, and work through the national women's project and research partners. These are relevant entry points, but they were not yet connected to the main business models, partner commitments or outcome indicators.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Responsible-scaling area</w:t>
            </w:r>
          </w:p>
        </w:tc>
        <w:tc>
          <w:tcPr>
            <w:tcW w:type="dxa" w:w="770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Required strengthening</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Women in seed and processing enterprises</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Set targets for ownership, paid work, decision-making, asset control, access to finance and profit - not only participation in training.</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Access to mechanization</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Assess whether booking systems, asset location, service prices and timing disadvantage women, youth, tenants or smallholders.</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Digital inclusion</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Track phone access, literacy, language, consent, data privacy and whether women are registered as the actual farmer or only through a household head.</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Contract farming and deductions</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Ensure transparent prices, quality grading, input deductions, dispute resolution and protection against unfair debt or tied selling.</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Smart Valley governance</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Address land and water rights, community conflict, labor burdens, benefit distribution and risks of excluding existing users.</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Nutrition-sensitive value addition</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Identify the product, consumer, enterprise and market pathway. Nutrition should not remain an unconnected activity label.</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Environmental risks</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Monitor water management, soil health, chemical use, machinery impacts, residue management and climate vulnerability.</w:t>
            </w:r>
          </w:p>
        </w:tc>
      </w:tr>
    </w:tbl>
    <w:p>
      <w:pPr>
        <w:widowControl/>
        <w:spacing w:after="0"/>
      </w:pPr>
    </w:p>
    <w:p>
      <w:pPr>
        <w:pStyle w:val="Heading1"/>
        <w:keepNext/>
        <w:widowControl/>
      </w:pPr>
      <w:r>
        <w:t>15. Monitoring, evaluation, traceability and learning</w:t>
      </w:r>
    </w:p>
    <w:p>
      <w:pPr>
        <w:widowControl/>
        <w:spacing w:after="100"/>
      </w:pPr>
      <w:r>
        <w:rPr>
          <w:i w:val="0"/>
        </w:rPr>
        <w:t>The track's integrated design requires an equally integrated monitoring architecture. eProd can become an important data backbone, but a software platform does not automatically produce credible evidence. Partner data must be complete, comparable, consented, quality-assured and linked to external verification. The National Agricultural Seeds Council's certification and genotyping work provides an important independent complement.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Result level</w:t>
            </w:r>
          </w:p>
        </w:tc>
        <w:tc>
          <w:tcPr>
            <w:tcW w:type="dxa" w:w="770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Minimum indicators</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Partnership and institutional change</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Signed commitments, budgets, staff assigned, policy or operating changes, data sharing, meeting decisions implemented and partner investment.</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Seed system</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Breeder/foundation/certified seed by variety; certified sales; buyers; planted area; varietal purity; repeat purchase; company margin and stock carried over.</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Farmer adoption</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Unique farmer and plot; promoted variety or practice used; area; season; repeat use; reason for adoption/disadoption; yield, cost, margin and resilience outcome.</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Digital</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Registered, active, advised and transacting farmers; messages delivered; advice implemented; company license status; data completeness and system uptime.</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Aggregation and market</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Paddy volume by buyer and quality grade; farmers supplying; price; payment time; contract fulfillment; side-selling; rejection and processing recovery.</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Mechanization</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Operational machines; booking and wait time; farmers and hectares served; utilization; revenue; cost; downtime; maintenance and gender/size distribution.</w:t>
            </w:r>
          </w:p>
        </w:tc>
      </w:tr>
      <w:tr>
        <w:trPr>
          <w:cantSplit/>
        </w:trPr>
        <w:tc>
          <w:tcPr>
            <w:tcW w:type="dxa" w:w="2880"/>
            <w:vAlign w:val="center"/>
            <w:tcMar>
              <w:top w:w="90" w:type="dxa"/>
              <w:start w:w="110" w:type="dxa"/>
              <w:bottom w:w="90" w:type="dxa"/>
              <w:end w:w="110" w:type="dxa"/>
            </w:tcMar>
            <w:shd w:fill="FFFFFF"/>
          </w:tcPr>
          <w:p>
            <w:pPr>
              <w:spacing w:after="0" w:before="0" w:line="240" w:lineRule="auto"/>
            </w:pPr>
            <w:r/>
            <w:r>
              <w:rPr>
                <w:rFonts w:ascii="Aptos" w:hAnsi="Aptos"/>
                <w:b w:val="0"/>
                <w:sz w:val="18"/>
              </w:rPr>
              <w:t>Smart Valley</w:t>
            </w:r>
          </w:p>
        </w:tc>
        <w:tc>
          <w:tcPr>
            <w:tcW w:type="dxa" w:w="7704"/>
            <w:vAlign w:val="center"/>
            <w:tcMar>
              <w:top w:w="90" w:type="dxa"/>
              <w:start w:w="110" w:type="dxa"/>
              <w:bottom w:w="90" w:type="dxa"/>
              <w:end w:w="110" w:type="dxa"/>
            </w:tcMar>
            <w:shd w:fill="FFFFFF"/>
          </w:tcPr>
          <w:p>
            <w:pPr>
              <w:spacing w:after="0" w:before="0" w:line="240" w:lineRule="auto"/>
            </w:pPr>
            <w:r/>
            <w:r>
              <w:rPr>
                <w:rFonts w:ascii="Aptos" w:hAnsi="Aptos"/>
                <w:b w:val="0"/>
                <w:sz w:val="18"/>
              </w:rPr>
              <w:t>Sites mapped, agreements signed, infrastructure completed, functional area, farmers cultivating, production, maintenance and co-investment.</w:t>
            </w:r>
          </w:p>
        </w:tc>
      </w:tr>
      <w:tr>
        <w:trPr>
          <w:cantSplit/>
        </w:trPr>
        <w:tc>
          <w:tcPr>
            <w:tcW w:type="dxa" w:w="2880"/>
            <w:vAlign w:val="center"/>
            <w:tcMar>
              <w:top w:w="90" w:type="dxa"/>
              <w:start w:w="110" w:type="dxa"/>
              <w:bottom w:w="90" w:type="dxa"/>
              <w:end w:w="110" w:type="dxa"/>
            </w:tcMar>
            <w:shd w:fill="EAF0F5"/>
          </w:tcPr>
          <w:p>
            <w:pPr>
              <w:spacing w:after="0" w:before="0" w:line="240" w:lineRule="auto"/>
            </w:pPr>
            <w:r/>
            <w:r>
              <w:rPr>
                <w:rFonts w:ascii="Aptos" w:hAnsi="Aptos"/>
                <w:b w:val="0"/>
                <w:sz w:val="18"/>
              </w:rPr>
              <w:t>GESI and responsibility</w:t>
            </w:r>
          </w:p>
        </w:tc>
        <w:tc>
          <w:tcPr>
            <w:tcW w:type="dxa" w:w="7704"/>
            <w:vAlign w:val="center"/>
            <w:tcMar>
              <w:top w:w="90" w:type="dxa"/>
              <w:start w:w="110" w:type="dxa"/>
              <w:bottom w:w="90" w:type="dxa"/>
              <w:end w:w="110" w:type="dxa"/>
            </w:tcMar>
            <w:shd w:fill="EAF0F5"/>
          </w:tcPr>
          <w:p>
            <w:pPr>
              <w:spacing w:after="0" w:before="0" w:line="240" w:lineRule="auto"/>
            </w:pPr>
            <w:r/>
            <w:r>
              <w:rPr>
                <w:rFonts w:ascii="Aptos" w:hAnsi="Aptos"/>
                <w:b w:val="0"/>
                <w:sz w:val="18"/>
              </w:rPr>
              <w:t>Participation and benefit by sex, age, farm size and tenure; ownership; income control; grievances; data consent; environmental and social risks.</w:t>
            </w:r>
          </w:p>
        </w:tc>
      </w:tr>
    </w:tbl>
    <w:p>
      <w:pPr>
        <w:widowControl/>
        <w:spacing w:after="0"/>
      </w:pPr>
    </w:p>
    <w:p>
      <w:pPr>
        <w:pStyle w:val="Heading2"/>
        <w:keepNext/>
        <w:widowControl/>
      </w:pPr>
      <w:r>
        <w:t>Data-quality safeguards</w:t>
      </w:r>
    </w:p>
    <w:p>
      <w:pPr>
        <w:pStyle w:val="ListBullet"/>
        <w:widowControl/>
        <w:spacing w:after="40"/>
      </w:pPr>
      <w:r>
        <w:t>Use a single indicator dictionary with definitions, units, geographic scope, reporting period and responsible data source.</w:t>
      </w:r>
    </w:p>
    <w:p>
      <w:pPr>
        <w:pStyle w:val="ListBullet"/>
        <w:widowControl/>
        <w:spacing w:after="40"/>
      </w:pPr>
      <w:r>
        <w:t>Build automatic validation into the digital system: impossible units, duplicate farmers, implausible plot sizes and inconsistent variety names should be flagged.</w:t>
      </w:r>
    </w:p>
    <w:p>
      <w:pPr>
        <w:pStyle w:val="ListBullet"/>
        <w:widowControl/>
        <w:spacing w:after="40"/>
      </w:pPr>
      <w:r>
        <w:t>Reconcile company seed data with certification records before external reporting.</w:t>
      </w:r>
    </w:p>
    <w:p>
      <w:pPr>
        <w:pStyle w:val="ListBullet"/>
        <w:widowControl/>
        <w:spacing w:after="40"/>
      </w:pPr>
      <w:r>
        <w:t>Verify a sample of varietal identity through genetic reference libraries and field checks.</w:t>
      </w:r>
    </w:p>
    <w:p>
      <w:pPr>
        <w:pStyle w:val="ListBullet"/>
        <w:widowControl/>
        <w:spacing w:after="40"/>
      </w:pPr>
      <w:r>
        <w:t>Keep audit trails for corrections such as the one-million-tonne to one-million-kilogram error.</w:t>
      </w:r>
    </w:p>
    <w:p>
      <w:pPr>
        <w:pStyle w:val="ListBullet"/>
        <w:widowControl/>
        <w:spacing w:after="40"/>
      </w:pPr>
      <w:r>
        <w:t>Report confidence and limitations openly where data are estimated or incomplete.</w:t>
      </w:r>
    </w:p>
    <w:p>
      <w:pPr>
        <w:pStyle w:val="Heading1"/>
        <w:keepNext/>
        <w:widowControl/>
      </w:pPr>
      <w:r>
        <w:t>16. Realism of the track-level ambitions</w:t>
      </w:r>
    </w:p>
    <w:p>
      <w:pPr>
        <w:widowControl/>
        <w:spacing w:after="100"/>
      </w:pPr>
      <w:r>
        <w:rPr>
          <w:i w:val="0"/>
        </w:rPr>
        <w:t>Three headline ambitions were mentioned in the closing discussion: 500,000 farmers registered on eProd, 300,000 farmers using improved practices and one million tonnes of paddy aggregated. The session made clear that these figures may combine Nigeria and Cote d'Ivoire and may have been inherited from an earlier multi-country framing. They cannot be assessed until the scope, baseline, time period and contribution pathway are specified.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02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Ambition</w:t>
            </w:r>
          </w:p>
        </w:tc>
        <w:tc>
          <w:tcPr>
            <w:tcW w:type="dxa" w:w="756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Realism assessment and required clarification</w:t>
            </w:r>
          </w:p>
        </w:tc>
      </w:tr>
      <w:tr>
        <w:trPr>
          <w:cantSplit/>
        </w:trPr>
        <w:tc>
          <w:tcPr>
            <w:tcW w:type="dxa" w:w="3024"/>
            <w:vAlign w:val="center"/>
            <w:tcMar>
              <w:top w:w="90" w:type="dxa"/>
              <w:start w:w="110" w:type="dxa"/>
              <w:bottom w:w="90" w:type="dxa"/>
              <w:end w:w="110" w:type="dxa"/>
            </w:tcMar>
            <w:shd w:fill="FFFFFF"/>
          </w:tcPr>
          <w:p>
            <w:pPr>
              <w:spacing w:after="0" w:before="0" w:line="240" w:lineRule="auto"/>
            </w:pPr>
            <w:r/>
            <w:r>
              <w:rPr>
                <w:rFonts w:ascii="Aptos" w:hAnsi="Aptos"/>
                <w:b w:val="0"/>
                <w:sz w:val="18"/>
              </w:rPr>
              <w:t>500,000 farmers registered</w:t>
            </w:r>
          </w:p>
        </w:tc>
        <w:tc>
          <w:tcPr>
            <w:tcW w:type="dxa" w:w="7560"/>
            <w:vAlign w:val="center"/>
            <w:tcMar>
              <w:top w:w="90" w:type="dxa"/>
              <w:start w:w="110" w:type="dxa"/>
              <w:bottom w:w="90" w:type="dxa"/>
              <w:end w:w="110" w:type="dxa"/>
            </w:tcMar>
            <w:shd w:fill="FFFFFF"/>
          </w:tcPr>
          <w:p>
            <w:pPr>
              <w:spacing w:after="0" w:before="0" w:line="240" w:lineRule="auto"/>
            </w:pPr>
            <w:r/>
            <w:r>
              <w:rPr>
                <w:rFonts w:ascii="Aptos" w:hAnsi="Aptos"/>
                <w:b w:val="0"/>
                <w:sz w:val="18"/>
              </w:rPr>
              <w:t>Registration can scale quickly through large enterprise networks, but registration is an output. Define unique active farmers, Nigeria's share, onboarding cost, data completeness and enterprise license continuation.</w:t>
            </w:r>
          </w:p>
        </w:tc>
      </w:tr>
      <w:tr>
        <w:trPr>
          <w:cantSplit/>
        </w:trPr>
        <w:tc>
          <w:tcPr>
            <w:tcW w:type="dxa" w:w="3024"/>
            <w:vAlign w:val="center"/>
            <w:tcMar>
              <w:top w:w="90" w:type="dxa"/>
              <w:start w:w="110" w:type="dxa"/>
              <w:bottom w:w="90" w:type="dxa"/>
              <w:end w:w="110" w:type="dxa"/>
            </w:tcMar>
            <w:shd w:fill="EAF0F5"/>
          </w:tcPr>
          <w:p>
            <w:pPr>
              <w:spacing w:after="0" w:before="0" w:line="240" w:lineRule="auto"/>
            </w:pPr>
            <w:r/>
            <w:r>
              <w:rPr>
                <w:rFonts w:ascii="Aptos" w:hAnsi="Aptos"/>
                <w:b w:val="0"/>
                <w:sz w:val="18"/>
              </w:rPr>
              <w:t>300,000 under improved practices</w:t>
            </w:r>
          </w:p>
        </w:tc>
        <w:tc>
          <w:tcPr>
            <w:tcW w:type="dxa" w:w="7560"/>
            <w:vAlign w:val="center"/>
            <w:tcMar>
              <w:top w:w="90" w:type="dxa"/>
              <w:start w:w="110" w:type="dxa"/>
              <w:bottom w:w="90" w:type="dxa"/>
              <w:end w:w="110" w:type="dxa"/>
            </w:tcMar>
            <w:shd w:fill="EAF0F5"/>
          </w:tcPr>
          <w:p>
            <w:pPr>
              <w:spacing w:after="0" w:before="0" w:line="240" w:lineRule="auto"/>
            </w:pPr>
            <w:r/>
            <w:r>
              <w:rPr>
                <w:rFonts w:ascii="Aptos" w:hAnsi="Aptos"/>
                <w:b w:val="0"/>
                <w:sz w:val="18"/>
              </w:rPr>
              <w:t>Requires evidence that farmers actually used defined practices. Digital messages, demonstrations and training are insufficient without plot-level or survey verification.</w:t>
            </w:r>
          </w:p>
        </w:tc>
      </w:tr>
      <w:tr>
        <w:trPr>
          <w:cantSplit/>
        </w:trPr>
        <w:tc>
          <w:tcPr>
            <w:tcW w:type="dxa" w:w="3024"/>
            <w:vAlign w:val="center"/>
            <w:tcMar>
              <w:top w:w="90" w:type="dxa"/>
              <w:start w:w="110" w:type="dxa"/>
              <w:bottom w:w="90" w:type="dxa"/>
              <w:end w:w="110" w:type="dxa"/>
            </w:tcMar>
            <w:shd w:fill="FFFFFF"/>
          </w:tcPr>
          <w:p>
            <w:pPr>
              <w:spacing w:after="0" w:before="0" w:line="240" w:lineRule="auto"/>
            </w:pPr>
            <w:r/>
            <w:r>
              <w:rPr>
                <w:rFonts w:ascii="Aptos" w:hAnsi="Aptos"/>
                <w:b w:val="0"/>
                <w:sz w:val="18"/>
              </w:rPr>
              <w:t>One million tonnes aggregated</w:t>
            </w:r>
          </w:p>
        </w:tc>
        <w:tc>
          <w:tcPr>
            <w:tcW w:type="dxa" w:w="7560"/>
            <w:vAlign w:val="center"/>
            <w:tcMar>
              <w:top w:w="90" w:type="dxa"/>
              <w:start w:w="110" w:type="dxa"/>
              <w:bottom w:w="90" w:type="dxa"/>
              <w:end w:w="110" w:type="dxa"/>
            </w:tcMar>
            <w:shd w:fill="FFFFFF"/>
          </w:tcPr>
          <w:p>
            <w:pPr>
              <w:spacing w:after="0" w:before="0" w:line="240" w:lineRule="auto"/>
            </w:pPr>
            <w:r/>
            <w:r>
              <w:rPr>
                <w:rFonts w:ascii="Aptos" w:hAnsi="Aptos"/>
                <w:b w:val="0"/>
                <w:sz w:val="18"/>
              </w:rPr>
              <w:t>Potentially plausible across major millers and two countries, but existing verified volumes and partner commitments were not presented. Scope and double-counting risk are substantial.</w:t>
            </w:r>
          </w:p>
        </w:tc>
      </w:tr>
      <w:tr>
        <w:trPr>
          <w:cantSplit/>
        </w:trPr>
        <w:tc>
          <w:tcPr>
            <w:tcW w:type="dxa" w:w="3024"/>
            <w:vAlign w:val="center"/>
            <w:tcMar>
              <w:top w:w="90" w:type="dxa"/>
              <w:start w:w="110" w:type="dxa"/>
              <w:bottom w:w="90" w:type="dxa"/>
              <w:end w:w="110" w:type="dxa"/>
            </w:tcMar>
            <w:shd w:fill="EAF0F5"/>
          </w:tcPr>
          <w:p>
            <w:pPr>
              <w:spacing w:after="0" w:before="0" w:line="240" w:lineRule="auto"/>
            </w:pPr>
            <w:r/>
            <w:r>
              <w:rPr>
                <w:rFonts w:ascii="Aptos" w:hAnsi="Aptos"/>
                <w:b w:val="0"/>
                <w:sz w:val="18"/>
              </w:rPr>
              <w:t>State production targets</w:t>
            </w:r>
          </w:p>
        </w:tc>
        <w:tc>
          <w:tcPr>
            <w:tcW w:type="dxa" w:w="7560"/>
            <w:vAlign w:val="center"/>
            <w:tcMar>
              <w:top w:w="90" w:type="dxa"/>
              <w:start w:w="110" w:type="dxa"/>
              <w:bottom w:w="90" w:type="dxa"/>
              <w:end w:w="110" w:type="dxa"/>
            </w:tcMar>
            <w:shd w:fill="EAF0F5"/>
          </w:tcPr>
          <w:p>
            <w:pPr>
              <w:spacing w:after="0" w:before="0" w:line="240" w:lineRule="auto"/>
            </w:pPr>
            <w:r/>
            <w:r>
              <w:rPr>
                <w:rFonts w:ascii="Aptos" w:hAnsi="Aptos"/>
                <w:b w:val="0"/>
                <w:sz w:val="18"/>
              </w:rPr>
              <w:t>The 10-million- and 5-million-tonne figures appear highly ambitious. They should be checked against current state production, cultivated area, attainable yield, irrigation and market capacity.</w:t>
            </w:r>
          </w:p>
        </w:tc>
      </w:tr>
      <w:tr>
        <w:trPr>
          <w:cantSplit/>
        </w:trPr>
        <w:tc>
          <w:tcPr>
            <w:tcW w:type="dxa" w:w="3024"/>
            <w:vAlign w:val="center"/>
            <w:tcMar>
              <w:top w:w="90" w:type="dxa"/>
              <w:start w:w="110" w:type="dxa"/>
              <w:bottom w:w="90" w:type="dxa"/>
              <w:end w:w="110" w:type="dxa"/>
            </w:tcMar>
            <w:shd w:fill="FFFFFF"/>
          </w:tcPr>
          <w:p>
            <w:pPr>
              <w:spacing w:after="0" w:before="0" w:line="240" w:lineRule="auto"/>
            </w:pPr>
            <w:r/>
            <w:r>
              <w:rPr>
                <w:rFonts w:ascii="Aptos" w:hAnsi="Aptos"/>
                <w:b w:val="0"/>
                <w:sz w:val="18"/>
              </w:rPr>
              <w:t>US$20 million Smart Valley pipeline</w:t>
            </w:r>
          </w:p>
        </w:tc>
        <w:tc>
          <w:tcPr>
            <w:tcW w:type="dxa" w:w="7560"/>
            <w:vAlign w:val="center"/>
            <w:tcMar>
              <w:top w:w="90" w:type="dxa"/>
              <w:start w:w="110" w:type="dxa"/>
              <w:bottom w:w="90" w:type="dxa"/>
              <w:end w:w="110" w:type="dxa"/>
            </w:tcMar>
            <w:shd w:fill="FFFFFF"/>
          </w:tcPr>
          <w:p>
            <w:pPr>
              <w:spacing w:after="0" w:before="0" w:line="240" w:lineRule="auto"/>
            </w:pPr>
            <w:r/>
            <w:r>
              <w:rPr>
                <w:rFonts w:ascii="Aptos" w:hAnsi="Aptos"/>
                <w:b w:val="0"/>
                <w:sz w:val="18"/>
              </w:rPr>
              <w:t>Realistic as an investment need may be different from realistic as committed finance. Report stage-gated pipeline status.</w:t>
            </w:r>
          </w:p>
        </w:tc>
      </w:tr>
      <w:tr>
        <w:trPr>
          <w:cantSplit/>
        </w:trPr>
        <w:tc>
          <w:tcPr>
            <w:tcW w:type="dxa" w:w="3024"/>
            <w:vAlign w:val="center"/>
            <w:tcMar>
              <w:top w:w="90" w:type="dxa"/>
              <w:start w:w="110" w:type="dxa"/>
              <w:bottom w:w="90" w:type="dxa"/>
              <w:end w:w="110" w:type="dxa"/>
            </w:tcMar>
            <w:shd w:fill="EAF0F5"/>
          </w:tcPr>
          <w:p>
            <w:pPr>
              <w:spacing w:after="0" w:before="0" w:line="240" w:lineRule="auto"/>
            </w:pPr>
            <w:r/>
            <w:r>
              <w:rPr>
                <w:rFonts w:ascii="Aptos" w:hAnsi="Aptos"/>
                <w:b w:val="0"/>
                <w:sz w:val="18"/>
              </w:rPr>
              <w:t>US$40 million forum commitments</w:t>
            </w:r>
          </w:p>
        </w:tc>
        <w:tc>
          <w:tcPr>
            <w:tcW w:type="dxa" w:w="7560"/>
            <w:vAlign w:val="center"/>
            <w:tcMar>
              <w:top w:w="90" w:type="dxa"/>
              <w:start w:w="110" w:type="dxa"/>
              <w:bottom w:w="90" w:type="dxa"/>
              <w:end w:w="110" w:type="dxa"/>
            </w:tcMar>
            <w:shd w:fill="EAF0F5"/>
          </w:tcPr>
          <w:p>
            <w:pPr>
              <w:spacing w:after="0" w:before="0" w:line="240" w:lineRule="auto"/>
            </w:pPr>
            <w:r/>
            <w:r>
              <w:rPr>
                <w:rFonts w:ascii="Aptos" w:hAnsi="Aptos"/>
                <w:b w:val="0"/>
                <w:sz w:val="18"/>
              </w:rPr>
              <w:t>Count only signed and attributable commitments, not broad forum announcements.</w:t>
            </w:r>
          </w:p>
        </w:tc>
      </w:tr>
    </w:tbl>
    <w:p>
      <w:pPr>
        <w:widowControl/>
        <w:spacing w:after="0"/>
      </w:pPr>
    </w:p>
    <w:p>
      <w:pPr>
        <w:pStyle w:val="Heading2"/>
        <w:keepNext/>
        <w:widowControl/>
      </w:pPr>
      <w:r>
        <w:t>Recommended scenario approach</w:t>
      </w:r>
    </w:p>
    <w:p>
      <w:pPr>
        <w:pStyle w:val="ListBullet"/>
        <w:widowControl/>
        <w:spacing w:after="40"/>
      </w:pPr>
      <w:r>
        <w:t>Build separate Nigeria and Cote d'Ivoire pathways before presenting a combined track number.</w:t>
      </w:r>
    </w:p>
    <w:p>
      <w:pPr>
        <w:pStyle w:val="ListBullet"/>
        <w:widowControl/>
        <w:spacing w:after="40"/>
      </w:pPr>
      <w:r>
        <w:t>Develop conservative, expected and accelerated scenarios for each core pathway.</w:t>
      </w:r>
    </w:p>
    <w:p>
      <w:pPr>
        <w:pStyle w:val="ListBullet"/>
        <w:widowControl/>
        <w:spacing w:after="40"/>
      </w:pPr>
      <w:r>
        <w:t>For digital scaling, calculate companies onboarded multiplied by active farmers per company and realistic retention.</w:t>
      </w:r>
    </w:p>
    <w:p>
      <w:pPr>
        <w:pStyle w:val="ListBullet"/>
        <w:widowControl/>
        <w:spacing w:after="40"/>
      </w:pPr>
      <w:r>
        <w:t>For seed scaling, calculate certified seed supply, seeding rate, planted area, farmer reach and repeat use by variety.</w:t>
      </w:r>
    </w:p>
    <w:p>
      <w:pPr>
        <w:pStyle w:val="ListBullet"/>
        <w:widowControl/>
        <w:spacing w:after="40"/>
      </w:pPr>
      <w:r>
        <w:t>For aggregation, calculate signed buyer capacity, realistic procurement share, farmer supply, quality acceptance and transaction evidence.</w:t>
      </w:r>
    </w:p>
    <w:p>
      <w:pPr>
        <w:pStyle w:val="ListBullet"/>
        <w:widowControl/>
        <w:spacing w:after="40"/>
      </w:pPr>
      <w:r>
        <w:t>For mechanization and Smart Valleys, distinguish enabling capacity from the farmer outcomes attributed to the core pathways.</w:t>
      </w: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Why simple headline reporting is risky</w:t>
            </w:r>
          </w:p>
          <w:p>
            <w:pPr>
              <w:spacing w:after="0" w:line="252" w:lineRule="auto"/>
            </w:pPr>
            <w:r>
              <w:rPr>
                <w:rFonts w:ascii="Aptos" w:hAnsi="Aptos"/>
                <w:color w:val="282828"/>
                <w:sz w:val="19"/>
              </w:rPr>
              <w:t>The track is a network of overlapping partners and services. The same farmer may be registered by a seed company, a miller, a state platform and a farmer hub. Without a unique identifier and country-specific contribution rules, the portfolio can overcount farmers, seed, hectares and paddy while still lacking evidence of actual behavior change.</w:t>
            </w:r>
          </w:p>
        </w:tc>
      </w:tr>
    </w:tbl>
    <w:p>
      <w:pPr>
        <w:widowControl/>
      </w:pPr>
    </w:p>
    <w:p>
      <w:pPr>
        <w:pStyle w:val="Heading1"/>
        <w:keepNext/>
        <w:widowControl/>
      </w:pPr>
      <w:r>
        <w:t>17. Consolidated coaching recommendations</w:t>
      </w:r>
    </w:p>
    <w:p>
      <w:pPr>
        <w:pStyle w:val="Heading3"/>
        <w:keepNext/>
        <w:widowControl/>
      </w:pPr>
      <w:r>
        <w:t>1. Define the core scaling proposition</w:t>
      </w:r>
    </w:p>
    <w:p>
      <w:pPr>
        <w:widowControl/>
        <w:spacing w:after="100"/>
      </w:pPr>
      <w:r>
        <w:rPr>
          <w:i w:val="0"/>
        </w:rPr>
        <w:t>State clearly that the track will prioritize quality seed, buyer-anchored production clusters and digital traceability/advisory. Describe mechanization, Smart Valleys, finance and extension as targeted enablers that remove bottlenecks in those pathways.</w:t>
      </w:r>
    </w:p>
    <w:p>
      <w:pPr>
        <w:pStyle w:val="Heading3"/>
        <w:keepNext/>
        <w:widowControl/>
      </w:pPr>
      <w:r>
        <w:t>2. Specify the minimum viable package by segment</w:t>
      </w:r>
    </w:p>
    <w:p>
      <w:pPr>
        <w:widowControl/>
        <w:spacing w:after="100"/>
      </w:pPr>
      <w:r>
        <w:rPr>
          <w:i w:val="0"/>
        </w:rPr>
        <w:t>A small irrigated farmer, a rainfed farmer, an outgrower linked to a miller and a seed producer do not require the same package. Define the minimum components, payer and delivery partner for each segment.</w:t>
      </w:r>
    </w:p>
    <w:p>
      <w:pPr>
        <w:pStyle w:val="Heading3"/>
        <w:keepNext/>
        <w:widowControl/>
      </w:pPr>
      <w:r>
        <w:t>3. Correct and verify all headline figures</w:t>
      </w:r>
    </w:p>
    <w:p>
      <w:pPr>
        <w:widowControl/>
        <w:spacing w:after="100"/>
      </w:pPr>
      <w:r>
        <w:rPr>
          <w:i w:val="0"/>
        </w:rPr>
        <w:t>Reconcile seed production with certification records, confirm investment currencies, define target scopes and document the status of commitments before any external reporting or proposal submission.</w:t>
      </w:r>
    </w:p>
    <w:p>
      <w:pPr>
        <w:pStyle w:val="Heading3"/>
        <w:keepNext/>
        <w:widowControl/>
      </w:pPr>
      <w:r>
        <w:t>4. Separate outputs from outcomes</w:t>
      </w:r>
    </w:p>
    <w:p>
      <w:pPr>
        <w:widowControl/>
        <w:spacing w:after="100"/>
      </w:pPr>
      <w:r>
        <w:rPr>
          <w:i w:val="0"/>
        </w:rPr>
        <w:t>Registration, training, demonstrations, machines purchased and platforms signed are outputs. Adoption, repeated use, commercial transactions, changed partner behavior and improved returns are outcomes.</w:t>
      </w:r>
    </w:p>
    <w:p>
      <w:pPr>
        <w:pStyle w:val="Heading3"/>
        <w:keepNext/>
        <w:widowControl/>
      </w:pPr>
      <w:r>
        <w:t>5. Build a credible seed evidence chain</w:t>
      </w:r>
    </w:p>
    <w:p>
      <w:pPr>
        <w:widowControl/>
        <w:spacing w:after="100"/>
      </w:pPr>
      <w:r>
        <w:rPr>
          <w:i w:val="0"/>
        </w:rPr>
        <w:t>Link early-generation seed, certification, company production, sales, unique purchasers, planted area, varietal purity, repeat use and market performance by variety.</w:t>
      </w:r>
    </w:p>
    <w:p>
      <w:pPr>
        <w:pStyle w:val="Heading3"/>
        <w:keepNext/>
        <w:widowControl/>
      </w:pPr>
      <w:r>
        <w:t>6. Use varietal identity as a scaling-quality indicator</w:t>
      </w:r>
    </w:p>
    <w:p>
      <w:pPr>
        <w:widowControl/>
        <w:spacing w:after="100"/>
      </w:pPr>
      <w:r>
        <w:rPr>
          <w:i w:val="0"/>
        </w:rPr>
        <w:t>Combine eProd or partner records with the national genetic reference library and sample genotyping to quantify mislabelling, recycled seed and true varietal adoption.</w:t>
      </w:r>
    </w:p>
    <w:p>
      <w:pPr>
        <w:pStyle w:val="Heading3"/>
        <w:keepNext/>
        <w:widowControl/>
      </w:pPr>
      <w:r>
        <w:t>7. Harmonize digital data rather than imposing one platform</w:t>
      </w:r>
    </w:p>
    <w:p>
      <w:pPr>
        <w:widowControl/>
        <w:spacing w:after="100"/>
      </w:pPr>
      <w:r>
        <w:rPr>
          <w:i w:val="0"/>
        </w:rPr>
        <w:t>Agree a common data model and interoperability requirements across eProd and AgriSuite. Resolve RiceAdvice integration and upload problems as immediate deliverables.</w:t>
      </w:r>
    </w:p>
    <w:p>
      <w:pPr>
        <w:pStyle w:val="Heading3"/>
        <w:keepNext/>
        <w:widowControl/>
      </w:pPr>
      <w:r>
        <w:t>8. Prove the eProd commercial transition</w:t>
      </w:r>
    </w:p>
    <w:p>
      <w:pPr>
        <w:widowControl/>
        <w:spacing w:after="100"/>
      </w:pPr>
      <w:r>
        <w:rPr>
          <w:i w:val="0"/>
        </w:rPr>
        <w:t>Identify the Nigeria companies that will pay, the license amount, start date, number of farmers, service-level expectations and consequences if companies do not renew.</w:t>
      </w:r>
    </w:p>
    <w:p>
      <w:pPr>
        <w:pStyle w:val="Heading3"/>
        <w:keepNext/>
        <w:widowControl/>
      </w:pPr>
      <w:r>
        <w:t>9. Anchor scaling in binding buyer demand</w:t>
      </w:r>
    </w:p>
    <w:p>
      <w:pPr>
        <w:widowControl/>
        <w:spacing w:after="100"/>
      </w:pPr>
      <w:r>
        <w:rPr>
          <w:i w:val="0"/>
        </w:rPr>
        <w:t>Select priority millers or aggregators and document quality specifications, expected paddy volume, pricing formula, payment timing, farmer contracts and risk-sharing arrangements.</w:t>
      </w:r>
    </w:p>
    <w:p>
      <w:pPr>
        <w:pStyle w:val="Heading3"/>
        <w:keepNext/>
        <w:widowControl/>
      </w:pPr>
      <w:r>
        <w:t>10. Address side-selling through contract design</w:t>
      </w:r>
    </w:p>
    <w:p>
      <w:pPr>
        <w:widowControl/>
        <w:spacing w:after="100"/>
      </w:pPr>
      <w:r>
        <w:rPr>
          <w:i w:val="0"/>
        </w:rPr>
        <w:t>Use transparent market-linked prices, timely payment, loyalty incentives, input recovery rules and flexible renegotiation rather than assuming farmers will honor a fixed price when markets move.</w:t>
      </w:r>
    </w:p>
    <w:p>
      <w:pPr>
        <w:pStyle w:val="Heading3"/>
        <w:keepNext/>
        <w:widowControl/>
      </w:pPr>
      <w:r>
        <w:t>11. Turn mechanization assets into measured service businesses</w:t>
      </w:r>
    </w:p>
    <w:p>
      <w:pPr>
        <w:widowControl/>
        <w:spacing w:after="100"/>
      </w:pPr>
      <w:r>
        <w:rPr>
          <w:i w:val="0"/>
        </w:rPr>
        <w:t>Track utilization, hectares, customers, revenue, cost, downtime and maintenance by centre. Compare public-private centres, private providers and smaller machinery models.</w:t>
      </w:r>
    </w:p>
    <w:p>
      <w:pPr>
        <w:pStyle w:val="Heading3"/>
        <w:keepNext/>
        <w:widowControl/>
      </w:pPr>
      <w:r>
        <w:t>12. Develop bankable Smart Valley cases</w:t>
      </w:r>
    </w:p>
    <w:p>
      <w:pPr>
        <w:widowControl/>
        <w:spacing w:after="100"/>
      </w:pPr>
      <w:r>
        <w:rPr>
          <w:i w:val="0"/>
        </w:rPr>
        <w:t>Prioritize a small number of sites with community agreement, costed works, governance, market connection, expected returns and identified financing rather than reporting mapped potential alone.</w:t>
      </w:r>
    </w:p>
    <w:p>
      <w:pPr>
        <w:pStyle w:val="Heading3"/>
        <w:keepNext/>
        <w:widowControl/>
      </w:pPr>
      <w:r>
        <w:t>13. Institutionalize coordination</w:t>
      </w:r>
    </w:p>
    <w:p>
      <w:pPr>
        <w:widowControl/>
        <w:spacing w:after="100"/>
      </w:pPr>
      <w:r>
        <w:rPr>
          <w:i w:val="0"/>
        </w:rPr>
        <w:t>Define the state or industry bodies that will convene the platform after S4I, their authority, budget, secretariat, decision rules and accountability.</w:t>
      </w:r>
    </w:p>
    <w:p>
      <w:pPr>
        <w:pStyle w:val="Heading3"/>
        <w:keepNext/>
        <w:widowControl/>
      </w:pPr>
      <w:r>
        <w:t>14. Clarify S4I additionality</w:t>
      </w:r>
    </w:p>
    <w:p>
      <w:pPr>
        <w:widowControl/>
        <w:spacing w:after="100"/>
      </w:pPr>
      <w:r>
        <w:rPr>
          <w:i w:val="0"/>
        </w:rPr>
        <w:t>Show what changed because of S4I: partners coordinated, investments unlocked, standards harmonized, digital integration resolved, business models de-risked or policy and institutional behavior changed.</w:t>
      </w:r>
    </w:p>
    <w:p>
      <w:pPr>
        <w:pStyle w:val="Heading3"/>
        <w:keepNext/>
        <w:widowControl/>
      </w:pPr>
      <w:r>
        <w:t>15. Integrate GESI and responsible scaling into the core model</w:t>
      </w:r>
    </w:p>
    <w:p>
      <w:pPr>
        <w:widowControl/>
        <w:spacing w:after="100"/>
      </w:pPr>
      <w:r>
        <w:rPr>
          <w:i w:val="0"/>
        </w:rPr>
        <w:t>Attach inclusion, rights, privacy, environmental and benefit-sharing requirements to contracts, platform design, machinery access, Smart Valley governance and enterprise indicators.</w:t>
      </w:r>
    </w:p>
    <w:p>
      <w:pPr>
        <w:pStyle w:val="Heading3"/>
        <w:keepNext/>
        <w:widowControl/>
      </w:pPr>
      <w:r>
        <w:t>16. Narrow the 2027 funding request</w:t>
      </w:r>
    </w:p>
    <w:p>
      <w:pPr>
        <w:widowControl/>
        <w:spacing w:after="100"/>
      </w:pPr>
      <w:r>
        <w:rPr>
          <w:i w:val="0"/>
        </w:rPr>
        <w:t>Use limited funds on the binding cross-system constraints that no single partner will finance: data quality, interoperability, contractual models, verified learning, coordination transition, investment cases and targeted de-risking.</w:t>
      </w:r>
    </w:p>
    <w:p>
      <w:pPr>
        <w:pStyle w:val="Heading1"/>
        <w:keepNext/>
        <w:widowControl/>
      </w:pPr>
      <w:r>
        <w:t>18. Follow-up actions and commitments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504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Action</w:t>
            </w:r>
          </w:p>
        </w:tc>
        <w:tc>
          <w:tcPr>
            <w:tcW w:type="dxa" w:w="244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Suggested lead</w:t>
            </w:r>
          </w:p>
        </w:tc>
        <w:tc>
          <w:tcPr>
            <w:tcW w:type="dxa" w:w="165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Timing</w:t>
            </w:r>
          </w:p>
        </w:tc>
        <w:tc>
          <w:tcPr>
            <w:tcW w:type="dxa" w:w="180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Status</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Share the Nigeria transcript and evidence with the external coach for the combined track discussion.</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S4I/AfricaRice</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Immediate</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Explicit session commitment</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Confirm the Cote d'Ivoire meeting and ensure Nigeria partners can join the formal coaching where relevant.</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AfricaRice/S4I</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Same week</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Explicit plan</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Reconcile the 1,000-tonne certified-seed figure and variety shares with National Agricultural Seeds Council records.</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Seed company/NASC/AfricaRice</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Immediate</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Critical verification</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Provide a variety-specific table of early-generation seed, certified production, sales, stock, buyers and geography.</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Seed companies/AfricaRice</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Before reporting</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Proposed evidence action</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Confirm national and regional improved-seed adoption estimates and the definitions used.</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NASC/research partners</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2026</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Evidence gap</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Develop the rice genetic reference library and link sample verification to the adoption monitoring system.</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NASC/AfricaRice/research partners</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2026-2027</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Explicit direction</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Provide a dated, de-duplicated eProd dashboard for Nigeria, including active companies and farmers.</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eProd/AfricaRice</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Immediate</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Follow-up promised</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Resolve partner upload and server-access problems during the planned support visit.</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eProd technical team</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August 2026</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Explicit operational follow-up</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Restore and test the eProd-RiceAdvice integration.</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eProd/AfricaRice RiceAdvice team</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Before next advisory cycle</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Explicit technical need</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Agree common data fields and exchange arrangements between eProd, AgriSuite and partner systems.</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AfricaRice/states/digital providers</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2026</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Proposed priority</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Document the eProd licensing transition for each participating Nigerian company.</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eProd/AfricaRice/companies</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Before pilot support ends</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Business-model requirement</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Map priority millers and aggregators, their paddy capacity, current procurement, quality specifications and farmer networks.</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AfricaRice/state partners/private sector</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2026</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Proposed priority</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Develop transparent offtake and side-selling management options with selected anchor buyers and farmer groups.</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Millers/aggregators/farmer organizations</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Next production cycle</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Proposed priority</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Verify the one-million-tonne paddy target and disaggregate it by country, buyer and year.</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AfricaRice/S4I</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Before coaching report/proposal</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Critical clarification</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Prepare utilization and business data for Niger and Jigawa mechanization fleets and service centres.</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State agencies/private operators</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2026</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Evidence gap</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Assess the demand and business case for small-scale machinery in underserved areas.</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AfricaRice/states/private providers</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2026-2027</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Partner recommendation</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Prepare a stage-gated Smart Valley pipeline with site, area, cost, governance, financing and readiness.</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AfricaRice/state/community partners</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2026</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Investment preparation</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Confirm the currency and status of the Niger 1.8 billion investment framework and the US$40 million forum commitments.</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State partners/AfricaRice</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Immediate</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Data clarification</w:t>
            </w:r>
          </w:p>
        </w:tc>
      </w:tr>
      <w:tr>
        <w:trPr>
          <w:cantSplit/>
        </w:trPr>
        <w:tc>
          <w:tcPr>
            <w:tcW w:type="dxa" w:w="5040"/>
            <w:vAlign w:val="center"/>
            <w:tcMar>
              <w:top w:w="90" w:type="dxa"/>
              <w:start w:w="110" w:type="dxa"/>
              <w:bottom w:w="90" w:type="dxa"/>
              <w:end w:w="110" w:type="dxa"/>
            </w:tcMar>
            <w:shd w:fill="FFFFFF"/>
          </w:tcPr>
          <w:p>
            <w:pPr>
              <w:spacing w:after="0" w:before="0" w:line="240" w:lineRule="auto"/>
            </w:pPr>
            <w:r/>
            <w:r>
              <w:rPr>
                <w:rFonts w:ascii="Aptos" w:hAnsi="Aptos"/>
                <w:b w:val="0"/>
                <w:sz w:val="16"/>
              </w:rPr>
              <w:t>Define the post-S4I governance and financing arrangement for the Nigeria PPP platform.</w:t>
            </w:r>
          </w:p>
        </w:tc>
        <w:tc>
          <w:tcPr>
            <w:tcW w:type="dxa" w:w="2448"/>
            <w:vAlign w:val="center"/>
            <w:tcMar>
              <w:top w:w="90" w:type="dxa"/>
              <w:start w:w="110" w:type="dxa"/>
              <w:bottom w:w="90" w:type="dxa"/>
              <w:end w:w="110" w:type="dxa"/>
            </w:tcMar>
            <w:shd w:fill="FFFFFF"/>
          </w:tcPr>
          <w:p>
            <w:pPr>
              <w:spacing w:after="0" w:before="0" w:line="240" w:lineRule="auto"/>
            </w:pPr>
            <w:r/>
            <w:r>
              <w:rPr>
                <w:rFonts w:ascii="Aptos" w:hAnsi="Aptos"/>
                <w:b w:val="0"/>
                <w:sz w:val="16"/>
              </w:rPr>
              <w:t>AfricaRice/state and industry partners</w:t>
            </w:r>
          </w:p>
        </w:tc>
        <w:tc>
          <w:tcPr>
            <w:tcW w:type="dxa" w:w="1656"/>
            <w:vAlign w:val="center"/>
            <w:tcMar>
              <w:top w:w="90" w:type="dxa"/>
              <w:start w:w="110" w:type="dxa"/>
              <w:bottom w:w="90" w:type="dxa"/>
              <w:end w:w="110" w:type="dxa"/>
            </w:tcMar>
            <w:shd w:fill="FFFFFF"/>
          </w:tcPr>
          <w:p>
            <w:pPr>
              <w:spacing w:after="0" w:before="0" w:line="240" w:lineRule="auto"/>
            </w:pPr>
            <w:r/>
            <w:r>
              <w:rPr>
                <w:rFonts w:ascii="Aptos" w:hAnsi="Aptos"/>
                <w:b w:val="0"/>
                <w:sz w:val="16"/>
              </w:rPr>
              <w:t>Before 2027 proposal</w:t>
            </w:r>
          </w:p>
        </w:tc>
        <w:tc>
          <w:tcPr>
            <w:tcW w:type="dxa" w:w="1800"/>
            <w:vAlign w:val="center"/>
            <w:tcMar>
              <w:top w:w="90" w:type="dxa"/>
              <w:start w:w="110" w:type="dxa"/>
              <w:bottom w:w="90" w:type="dxa"/>
              <w:end w:w="110" w:type="dxa"/>
            </w:tcMar>
            <w:shd w:fill="FFFFFF"/>
          </w:tcPr>
          <w:p>
            <w:pPr>
              <w:spacing w:after="0" w:before="0" w:line="240" w:lineRule="auto"/>
            </w:pPr>
            <w:r/>
            <w:r>
              <w:rPr>
                <w:rFonts w:ascii="Aptos" w:hAnsi="Aptos"/>
                <w:b w:val="0"/>
                <w:sz w:val="16"/>
              </w:rPr>
              <w:t>Sustainability requirement</w:t>
            </w:r>
          </w:p>
        </w:tc>
      </w:tr>
      <w:tr>
        <w:trPr>
          <w:cantSplit/>
        </w:trPr>
        <w:tc>
          <w:tcPr>
            <w:tcW w:type="dxa" w:w="5040"/>
            <w:vAlign w:val="center"/>
            <w:tcMar>
              <w:top w:w="90" w:type="dxa"/>
              <w:start w:w="110" w:type="dxa"/>
              <w:bottom w:w="90" w:type="dxa"/>
              <w:end w:w="110" w:type="dxa"/>
            </w:tcMar>
            <w:shd w:fill="EAF0F5"/>
          </w:tcPr>
          <w:p>
            <w:pPr>
              <w:spacing w:after="0" w:before="0" w:line="240" w:lineRule="auto"/>
            </w:pPr>
            <w:r/>
            <w:r>
              <w:rPr>
                <w:rFonts w:ascii="Aptos" w:hAnsi="Aptos"/>
                <w:b w:val="0"/>
                <w:sz w:val="16"/>
              </w:rPr>
              <w:t>Develop one Nigeria results framework covering seed, digital, aggregation, mechanization, Smart Valley and responsible scaling.</w:t>
            </w:r>
          </w:p>
        </w:tc>
        <w:tc>
          <w:tcPr>
            <w:tcW w:type="dxa" w:w="2448"/>
            <w:vAlign w:val="center"/>
            <w:tcMar>
              <w:top w:w="90" w:type="dxa"/>
              <w:start w:w="110" w:type="dxa"/>
              <w:bottom w:w="90" w:type="dxa"/>
              <w:end w:w="110" w:type="dxa"/>
            </w:tcMar>
            <w:shd w:fill="EAF0F5"/>
          </w:tcPr>
          <w:p>
            <w:pPr>
              <w:spacing w:after="0" w:before="0" w:line="240" w:lineRule="auto"/>
            </w:pPr>
            <w:r/>
            <w:r>
              <w:rPr>
                <w:rFonts w:ascii="Aptos" w:hAnsi="Aptos"/>
                <w:b w:val="0"/>
                <w:sz w:val="16"/>
              </w:rPr>
              <w:t>AfricaRice MELIA/S4I/partners</w:t>
            </w:r>
          </w:p>
        </w:tc>
        <w:tc>
          <w:tcPr>
            <w:tcW w:type="dxa" w:w="1656"/>
            <w:vAlign w:val="center"/>
            <w:tcMar>
              <w:top w:w="90" w:type="dxa"/>
              <w:start w:w="110" w:type="dxa"/>
              <w:bottom w:w="90" w:type="dxa"/>
              <w:end w:w="110" w:type="dxa"/>
            </w:tcMar>
            <w:shd w:fill="EAF0F5"/>
          </w:tcPr>
          <w:p>
            <w:pPr>
              <w:spacing w:after="0" w:before="0" w:line="240" w:lineRule="auto"/>
            </w:pPr>
            <w:r/>
            <w:r>
              <w:rPr>
                <w:rFonts w:ascii="Aptos" w:hAnsi="Aptos"/>
                <w:b w:val="0"/>
                <w:sz w:val="16"/>
              </w:rPr>
              <w:t>Before next reporting cycle</w:t>
            </w:r>
          </w:p>
        </w:tc>
        <w:tc>
          <w:tcPr>
            <w:tcW w:type="dxa" w:w="1800"/>
            <w:vAlign w:val="center"/>
            <w:tcMar>
              <w:top w:w="90" w:type="dxa"/>
              <w:start w:w="110" w:type="dxa"/>
              <w:bottom w:w="90" w:type="dxa"/>
              <w:end w:w="110" w:type="dxa"/>
            </w:tcMar>
            <w:shd w:fill="EAF0F5"/>
          </w:tcPr>
          <w:p>
            <w:pPr>
              <w:spacing w:after="0" w:before="0" w:line="240" w:lineRule="auto"/>
            </w:pPr>
            <w:r/>
            <w:r>
              <w:rPr>
                <w:rFonts w:ascii="Aptos" w:hAnsi="Aptos"/>
                <w:b w:val="0"/>
                <w:sz w:val="16"/>
              </w:rPr>
              <w:t>Proposed priority</w:t>
            </w:r>
          </w:p>
        </w:tc>
      </w:tr>
    </w:tbl>
    <w:p>
      <w:pPr>
        <w:widowControl/>
        <w:spacing w:after="0"/>
      </w:pPr>
    </w:p>
    <w:p>
      <w:pPr>
        <w:pStyle w:val="Heading1"/>
        <w:keepNext/>
        <w:widowControl/>
      </w:pPr>
      <w:r>
        <w:t>19. Outstanding questions and evidence gaps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60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Outstanding question</w:t>
            </w:r>
          </w:p>
        </w:tc>
        <w:tc>
          <w:tcPr>
            <w:tcW w:type="dxa" w:w="597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Evidence required</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What exactly is the Nigeria minimum viable package?</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A segment-specific package map showing mandatory and optional components, payer, provider and sequence.</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Which three or four promoted varieties are strategically prioritized?</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Demand, ecology, yield, quality, seed feasibility, miller preference and profitability evidence.</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How much verified seed has been produced and sold by variety?</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NASC certification records and company transactions using correct units.</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How many unique farmers planted the promoted varieties?</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De-duplicated sales or distribution records linked to plots and planting season.</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How much adoption is certified seed purchase versus recycled seed?</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Farmer panel data and varietal identity checks.</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Is eProd currently used by paying Nigerian companies?</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Company list, license agreements, amount, renewal and active-user data.</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When will RiceAdvice integration be restored?</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Technical workplan, testing evidence and live delivery records.</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How will Niger and Jigawa digital data be compared?</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Common data dictionary, APIs or exchange protocol and ownership agreement.</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What proportion of advised farmers change fertilizer practices?</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Advisory receipt, implementation verification, input use, yield and margin data.</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Which millers and aggregators have binding commitments?</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Contracts, procurement records, quality specifications and payment performance.</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What paddy volume is already aggregated through the track?</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Buyer transaction data by season, farmer, variety and quality grade.</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How serious is side-selling and why does it occur?</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Contracted versus delivered volume, market-price difference, payment delay and farmer interviews.</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What is the commercial performance of public mechanization assets?</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Utilization, service fees, costs, downtime, maintenance and repayment or subsidy data.</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Do smallholders and women receive timely machinery services?</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Booking and service data disaggregated by farm size, sex, location and service timing.</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Which Smart Valley sites are investment-ready?</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Technical design, community agreement, economics, ownership and financing evidence.</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What do the large state production targets mean and how were they calculated?</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Current production baseline, area, yield assumptions and approved state plans.</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Which investments are committed versus aspirational?</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Signed agreements, budget approvals, disbursement schedules and attribution to the PPP.</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Who will coordinate the platform after S4I?</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Institutional mandate, budget, staffing, governance and transition plan.</w:t>
            </w:r>
          </w:p>
        </w:tc>
      </w:tr>
      <w:tr>
        <w:trPr>
          <w:cantSplit/>
        </w:trPr>
        <w:tc>
          <w:tcPr>
            <w:tcW w:type="dxa" w:w="4608"/>
            <w:vAlign w:val="center"/>
            <w:tcMar>
              <w:top w:w="90" w:type="dxa"/>
              <w:start w:w="110" w:type="dxa"/>
              <w:bottom w:w="90" w:type="dxa"/>
              <w:end w:w="110" w:type="dxa"/>
            </w:tcMar>
            <w:shd w:fill="FFFFFF"/>
          </w:tcPr>
          <w:p>
            <w:pPr>
              <w:spacing w:after="0" w:before="0" w:line="240" w:lineRule="auto"/>
            </w:pPr>
            <w:r/>
            <w:r>
              <w:rPr>
                <w:rFonts w:ascii="Aptos" w:hAnsi="Aptos"/>
                <w:b w:val="0"/>
                <w:sz w:val="16"/>
              </w:rPr>
              <w:t>What is the strongest credible OICR claim for 2026?</w:t>
            </w:r>
          </w:p>
        </w:tc>
        <w:tc>
          <w:tcPr>
            <w:tcW w:type="dxa" w:w="5976"/>
            <w:vAlign w:val="center"/>
            <w:tcMar>
              <w:top w:w="90" w:type="dxa"/>
              <w:start w:w="110" w:type="dxa"/>
              <w:bottom w:w="90" w:type="dxa"/>
              <w:end w:w="110" w:type="dxa"/>
            </w:tcMar>
            <w:shd w:fill="FFFFFF"/>
          </w:tcPr>
          <w:p>
            <w:pPr>
              <w:spacing w:after="0" w:before="0" w:line="240" w:lineRule="auto"/>
            </w:pPr>
            <w:r/>
            <w:r>
              <w:rPr>
                <w:rFonts w:ascii="Aptos" w:hAnsi="Aptos"/>
                <w:b w:val="0"/>
                <w:sz w:val="16"/>
              </w:rPr>
              <w:t>Verified behavior change by state, enterprise or regulator linked to a concrete outcome and S4I contribution.</w:t>
            </w:r>
          </w:p>
        </w:tc>
      </w:tr>
      <w:tr>
        <w:trPr>
          <w:cantSplit/>
        </w:trPr>
        <w:tc>
          <w:tcPr>
            <w:tcW w:type="dxa" w:w="4608"/>
            <w:vAlign w:val="center"/>
            <w:tcMar>
              <w:top w:w="90" w:type="dxa"/>
              <w:start w:w="110" w:type="dxa"/>
              <w:bottom w:w="90" w:type="dxa"/>
              <w:end w:w="110" w:type="dxa"/>
            </w:tcMar>
            <w:shd w:fill="EAF0F5"/>
          </w:tcPr>
          <w:p>
            <w:pPr>
              <w:spacing w:after="0" w:before="0" w:line="240" w:lineRule="auto"/>
            </w:pPr>
            <w:r/>
            <w:r>
              <w:rPr>
                <w:rFonts w:ascii="Aptos" w:hAnsi="Aptos"/>
                <w:b w:val="0"/>
                <w:sz w:val="16"/>
              </w:rPr>
              <w:t>What risks could scaling create?</w:t>
            </w:r>
          </w:p>
        </w:tc>
        <w:tc>
          <w:tcPr>
            <w:tcW w:type="dxa" w:w="5976"/>
            <w:vAlign w:val="center"/>
            <w:tcMar>
              <w:top w:w="90" w:type="dxa"/>
              <w:start w:w="110" w:type="dxa"/>
              <w:bottom w:w="90" w:type="dxa"/>
              <w:end w:w="110" w:type="dxa"/>
            </w:tcMar>
            <w:shd w:fill="EAF0F5"/>
          </w:tcPr>
          <w:p>
            <w:pPr>
              <w:spacing w:after="0" w:before="0" w:line="240" w:lineRule="auto"/>
            </w:pPr>
            <w:r/>
            <w:r>
              <w:rPr>
                <w:rFonts w:ascii="Aptos" w:hAnsi="Aptos"/>
                <w:b w:val="0"/>
                <w:sz w:val="16"/>
              </w:rPr>
              <w:t>GESI, privacy, indebtedness, land/water rights, environmental, market and exclusion risk assessment.</w:t>
            </w:r>
          </w:p>
        </w:tc>
      </w:tr>
    </w:tbl>
    <w:p>
      <w:pPr>
        <w:widowControl/>
        <w:spacing w:after="0"/>
      </w:pPr>
    </w:p>
    <w:p>
      <w:pPr>
        <w:pStyle w:val="Heading1"/>
        <w:keepNext/>
        <w:widowControl/>
      </w:pPr>
      <w:r>
        <w:t>20. Overall assessment of the solution track</w:t>
      </w:r>
    </w:p>
    <w:tbl>
      <w:tblPr>
        <w:tblW w:type="auto" w:w="0"/>
        <w:jc w:val="center"/>
        <w:tblLook w:firstColumn="1" w:firstRow="1" w:lastColumn="0" w:lastRow="0" w:noHBand="0" w:noVBand="1" w:val="04A0"/>
      </w:tblPr>
      <w:tblGrid>
        <w:gridCol w:w="9994"/>
      </w:tblGrid>
      <w:tr>
        <w:tc>
          <w:tcPr>
            <w:tcW w:type="dxa" w:w="9994"/>
            <w:shd w:fill="E8F2F3"/>
            <w:tcMar>
              <w:top w:w="150" w:type="dxa"/>
              <w:start w:w="170" w:type="dxa"/>
              <w:bottom w:w="150" w:type="dxa"/>
              <w:end w:w="170" w:type="dxa"/>
            </w:tcMar>
          </w:tcPr>
          <w:p>
            <w:pPr>
              <w:spacing w:after="40"/>
            </w:pPr>
            <w:r>
              <w:rPr>
                <w:rFonts w:ascii="Aptos Display" w:hAnsi="Aptos Display"/>
                <w:b/>
                <w:color w:val="1F374E"/>
                <w:sz w:val="22"/>
              </w:rPr>
              <w:t>Overall assessment: strategically strong, operationally promising, but not yet evidence-ready at the claimed scale</w:t>
            </w:r>
          </w:p>
          <w:p>
            <w:pPr>
              <w:spacing w:after="0" w:line="252" w:lineRule="auto"/>
            </w:pPr>
            <w:r>
              <w:rPr>
                <w:rFonts w:ascii="Aptos" w:hAnsi="Aptos"/>
                <w:color w:val="282828"/>
                <w:sz w:val="19"/>
              </w:rPr>
              <w:t>The Nigeria PPP model has a compelling systems rationale and unusually broad engagement from government, regulators, research, enterprises and farmer-facing organizations. Its next challenge is disciplined execution: reduce the number of equal-priority components, prove the commercial and institutional behavior changes within three core pathways, and build a verified data chain from partner activity to farmer and market outcome.</w:t>
            </w:r>
          </w:p>
        </w:tc>
      </w:tr>
    </w:tbl>
    <w:p>
      <w:pPr>
        <w:widowControl/>
      </w:pPr>
    </w:p>
    <w:p>
      <w:pPr>
        <w:pStyle w:val="Heading2"/>
        <w:keepNext/>
        <w:widowControl/>
      </w:pPr>
      <w:r>
        <w:t>Principal strengths</w:t>
      </w:r>
    </w:p>
    <w:p>
      <w:pPr>
        <w:pStyle w:val="ListBullet"/>
        <w:widowControl/>
        <w:spacing w:after="40"/>
      </w:pPr>
      <w:r>
        <w:t>Clear recognition that fragmented rice interventions do not generate sustainable scaling.</w:t>
      </w:r>
    </w:p>
    <w:p>
      <w:pPr>
        <w:pStyle w:val="ListBullet"/>
        <w:widowControl/>
        <w:spacing w:after="40"/>
      </w:pPr>
      <w:r>
        <w:t>Strong state-government and private-sector participation in Niger and Jigawa.</w:t>
      </w:r>
    </w:p>
    <w:p>
      <w:pPr>
        <w:pStyle w:val="ListBullet"/>
        <w:widowControl/>
        <w:spacing w:after="40"/>
      </w:pPr>
      <w:r>
        <w:t>Existing seed businesses, farmer networks, millers, digital services and machinery assets rather than a purely hypothetical model.</w:t>
      </w:r>
    </w:p>
    <w:p>
      <w:pPr>
        <w:pStyle w:val="ListBullet"/>
        <w:widowControl/>
        <w:spacing w:after="40"/>
      </w:pPr>
      <w:r>
        <w:t>A plausible demand-pull logic linking quality seed to quality paddy and miller demand.</w:t>
      </w:r>
    </w:p>
    <w:p>
      <w:pPr>
        <w:pStyle w:val="ListBullet"/>
        <w:widowControl/>
        <w:spacing w:after="40"/>
      </w:pPr>
      <w:r>
        <w:t>A digital platform with a potentially sustainable enterprise-license model.</w:t>
      </w:r>
    </w:p>
    <w:p>
      <w:pPr>
        <w:pStyle w:val="ListBullet"/>
        <w:widowControl/>
        <w:spacing w:after="40"/>
      </w:pPr>
      <w:r>
        <w:t>Openness during the session about data errors, integration problems, side-selling and implementation constraints.</w:t>
      </w:r>
    </w:p>
    <w:p>
      <w:pPr>
        <w:pStyle w:val="ListBullet"/>
        <w:widowControl/>
        <w:spacing w:after="40"/>
      </w:pPr>
      <w:r>
        <w:t>Ability to mobilize large and diverse partners and connect the track to major investment programs.</w:t>
      </w:r>
    </w:p>
    <w:p>
      <w:pPr>
        <w:pStyle w:val="Heading2"/>
        <w:keepNext/>
        <w:widowControl/>
      </w:pPr>
      <w:r>
        <w:t>Principal risks</w:t>
      </w:r>
    </w:p>
    <w:p>
      <w:pPr>
        <w:pStyle w:val="ListBullet"/>
        <w:widowControl/>
        <w:spacing w:after="40"/>
      </w:pPr>
      <w:r>
        <w:t>Too many components and activities for limited catalytic funding.</w:t>
      </w:r>
    </w:p>
    <w:p>
      <w:pPr>
        <w:pStyle w:val="ListBullet"/>
        <w:widowControl/>
        <w:spacing w:after="40"/>
      </w:pPr>
      <w:r>
        <w:t>Headline targets and figures that are not consistently defined or verified.</w:t>
      </w:r>
    </w:p>
    <w:p>
      <w:pPr>
        <w:pStyle w:val="ListBullet"/>
        <w:widowControl/>
        <w:spacing w:after="40"/>
      </w:pPr>
      <w:r>
        <w:t>Confusion between partner outputs, farmer adoption and track outcomes.</w:t>
      </w:r>
    </w:p>
    <w:p>
      <w:pPr>
        <w:pStyle w:val="ListBullet"/>
        <w:widowControl/>
        <w:spacing w:after="40"/>
      </w:pPr>
      <w:r>
        <w:t>Digital fragmentation and technical integration problems.</w:t>
      </w:r>
    </w:p>
    <w:p>
      <w:pPr>
        <w:pStyle w:val="ListBullet"/>
        <w:widowControl/>
        <w:spacing w:after="40"/>
      </w:pPr>
      <w:r>
        <w:t>Weak evidence of practice adoption, repeat use and farmer profitability.</w:t>
      </w:r>
    </w:p>
    <w:p>
      <w:pPr>
        <w:pStyle w:val="ListBullet"/>
        <w:widowControl/>
        <w:spacing w:after="40"/>
      </w:pPr>
      <w:r>
        <w:t>Potential overdependence on projects and public investment for seed demand, machinery and coordination.</w:t>
      </w:r>
    </w:p>
    <w:p>
      <w:pPr>
        <w:pStyle w:val="ListBullet"/>
        <w:widowControl/>
        <w:spacing w:after="40"/>
      </w:pPr>
      <w:r>
        <w:t>Side-selling, paddy-quality problems and variable contract performance.</w:t>
      </w:r>
    </w:p>
    <w:p>
      <w:pPr>
        <w:pStyle w:val="ListBullet"/>
        <w:widowControl/>
        <w:spacing w:after="40"/>
      </w:pPr>
      <w:r>
        <w:t>Public machinery assets without demonstrated utilization and cost-recovery systems.</w:t>
      </w:r>
    </w:p>
    <w:p>
      <w:pPr>
        <w:pStyle w:val="ListBullet"/>
        <w:widowControl/>
        <w:spacing w:after="40"/>
      </w:pPr>
      <w:r>
        <w:t>Insufficiently developed GESI, data-rights and responsible-scaling safeguards.</w:t>
      </w:r>
    </w:p>
    <w:p>
      <w:pPr>
        <w:pStyle w:val="Heading2"/>
        <w:keepNext/>
        <w:widowControl/>
      </w:pPr>
      <w:r>
        <w:t>Recommended positioning for a 2027 proposal</w:t>
      </w:r>
    </w:p>
    <w:p>
      <w:pPr>
        <w:widowControl/>
        <w:spacing w:after="100"/>
      </w:pPr>
      <w:r>
        <w:rPr>
          <w:i w:val="0"/>
        </w:rPr>
        <w:t>Position the Nigeria component as a transition-to-scale systems track that is consolidating three commercially and institutionally linked pathways: verified quality seed, buyer-anchored production and aggregation clusters, and interoperable digital traceability and advisory. Request S4I funding only for the catalytic functions that connect and de-risk those pathways: verified evidence, data interoperability, contract and business-model design, targeted capacity for partner behavior change, state and industry coordination, investment cases, responsible-scaling safeguards and adaptive learning. Set country-specific milestones that can be achieved within 2027 and explain how each milestone moves a partner toward self-financed continuation.</w:t>
      </w:r>
    </w:p>
    <w:p>
      <w:pPr>
        <w:pStyle w:val="Heading1"/>
        <w:keepNext/>
        <w:widowControl/>
      </w:pPr>
      <w:r>
        <w:t>Annex A. Key figures mentioned in the session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096"/>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Figure</w:t>
            </w:r>
          </w:p>
        </w:tc>
        <w:tc>
          <w:tcPr>
            <w:tcW w:type="dxa" w:w="7488"/>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Meaning and caveat</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2 hours 52 minutes 59 seconds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Length of the Nigeria meeting recording.</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2 states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Current focus on Niger and Jigawa; a third interested state was not yet formalized.</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10 million tonnes and 5 million tonnes by 2030</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State production targets attributed to Niger and Jigawa. Require confirmation and baseline analysis.</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14 varieties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Reported number under demonstration in one part of the presentation.</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68 demonstration plots / 11 improved varieties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A second presentation figure; requires reconciliation with the 14-variety statement.</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2,000 farmers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Initial or conservative digital-registration target mentioned for implementation.</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25 extension agents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Planned for training.</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6,000 farmers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Planned recipients of RiceAdvice or digital advisory services.</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1.8 billion</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Niger investment framework; currency and commitment status were unclear in the recording.</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US$20 million</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Initial Smart Valley investment need or pipeline.</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More than US$40 million</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Reported commitments from the Jigawa Investment Forum; verification and commitment status required.</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50-60 tonnes per year</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Claimed early-generation or foundation seed production capacity of one company.</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1,000,000 kilograms / 1,000 tonnes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Corrected certified-seed volume; initially misstated as one million tonnes.</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85 percent</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Share of the previous seed production reportedly sold.</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Approximately 45 percent FARO 44</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Reported share of one company's seed volume.</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25 percent FARO 60</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Reported share of one company's seed volume.</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Approximately 400 tonnes over three years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Another seed-company production statement.</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11-16 percent</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National improved-rice-seed adoption estimate mentioned by the seed regulator; definition requires confirmation.</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More than 25 percent in some areas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Regional/intervention-area estimate where irrigation, projects or stronger agronomy support are present.</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2-2.5 tonnes per hectare</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Claimed approximate profitability threshold for seed production.</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6.9-7.1 tonnes per hectare</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High yield claims from a seed producer; not an average or independently verified result.</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US$0.50 per farmer</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Indicative eProd cost contribution embedded in the company-license model.</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Approximately 15,000 farmers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Provisional eProd onboarding figure mentioned; requires dated confirmation.</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More than 8,000 farmers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A company onboarding figure after training, as reported by the digital team.</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500,000 farmers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Track digital-registration ambition; country scope and active-user definition unclear.</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300,000 farmers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Track improved-practice ambition referenced in closing; verification framework needed.</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1 million tonnes paddy</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Aggregation ambition associated with Nigeria and Cote d'Ivoire, possibly inherited from a wider scope.</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2,000 farmers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Illustrative farmer network linked to one miller or aggregator.</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Approximately 130,000 farmers in 18 states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Farmer-hub network claim; active rice farmer and transaction figures require verification.</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50,000 tonnes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Possible aggregation volume mentioned by a partner; audio unclear and figure unverified.</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Approximately 50,000 tonnes per month</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Processor capacity or paddy requirement statement; audio unclear and should be verified.</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Approximately 400 tractors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Niger State machinery figure mentioned by the presenter.</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300 tractors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Jigawa State procurement reported by a state representative.</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150 multi-purpose planters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Jigawa State procurement reported in the session.</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60 combine harvesters</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Jigawa State procurement reported in the session.</w:t>
            </w:r>
          </w:p>
        </w:tc>
      </w:tr>
      <w:tr>
        <w:trPr>
          <w:cantSplit/>
        </w:trPr>
        <w:tc>
          <w:tcPr>
            <w:tcW w:type="dxa" w:w="3096"/>
            <w:vAlign w:val="center"/>
            <w:tcMar>
              <w:top w:w="90" w:type="dxa"/>
              <w:start w:w="110" w:type="dxa"/>
              <w:bottom w:w="90" w:type="dxa"/>
              <w:end w:w="110" w:type="dxa"/>
            </w:tcMar>
            <w:shd w:fill="EAF0F5"/>
          </w:tcPr>
          <w:p>
            <w:pPr>
              <w:spacing w:after="0" w:before="0" w:line="240" w:lineRule="auto"/>
            </w:pPr>
            <w:r/>
            <w:r>
              <w:rPr>
                <w:rFonts w:ascii="Aptos" w:hAnsi="Aptos"/>
                <w:b w:val="0"/>
                <w:sz w:val="16"/>
              </w:rPr>
              <w:t>60 mechanization centres</w:t>
            </w:r>
          </w:p>
        </w:tc>
        <w:tc>
          <w:tcPr>
            <w:tcW w:type="dxa" w:w="7488"/>
            <w:vAlign w:val="center"/>
            <w:tcMar>
              <w:top w:w="90" w:type="dxa"/>
              <w:start w:w="110" w:type="dxa"/>
              <w:bottom w:w="90" w:type="dxa"/>
              <w:end w:w="110" w:type="dxa"/>
            </w:tcMar>
            <w:shd w:fill="EAF0F5"/>
          </w:tcPr>
          <w:p>
            <w:pPr>
              <w:spacing w:after="0" w:before="0" w:line="240" w:lineRule="auto"/>
            </w:pPr>
            <w:r/>
            <w:r>
              <w:rPr>
                <w:rFonts w:ascii="Aptos" w:hAnsi="Aptos"/>
                <w:b w:val="0"/>
                <w:sz w:val="16"/>
              </w:rPr>
              <w:t>Jigawa State service-centre network.</w:t>
            </w:r>
          </w:p>
        </w:tc>
      </w:tr>
      <w:tr>
        <w:trPr>
          <w:cantSplit/>
        </w:trPr>
        <w:tc>
          <w:tcPr>
            <w:tcW w:type="dxa" w:w="3096"/>
            <w:vAlign w:val="center"/>
            <w:tcMar>
              <w:top w:w="90" w:type="dxa"/>
              <w:start w:w="110" w:type="dxa"/>
              <w:bottom w:w="90" w:type="dxa"/>
              <w:end w:w="110" w:type="dxa"/>
            </w:tcMar>
            <w:shd w:fill="FFFFFF"/>
          </w:tcPr>
          <w:p>
            <w:pPr>
              <w:spacing w:after="0" w:before="0" w:line="240" w:lineRule="auto"/>
            </w:pPr>
            <w:r/>
            <w:r>
              <w:rPr>
                <w:rFonts w:ascii="Aptos" w:hAnsi="Aptos"/>
                <w:b w:val="0"/>
                <w:sz w:val="16"/>
              </w:rPr>
              <w:t>30-40 percent</w:t>
            </w:r>
          </w:p>
        </w:tc>
        <w:tc>
          <w:tcPr>
            <w:tcW w:type="dxa" w:w="7488"/>
            <w:vAlign w:val="center"/>
            <w:tcMar>
              <w:top w:w="90" w:type="dxa"/>
              <w:start w:w="110" w:type="dxa"/>
              <w:bottom w:w="90" w:type="dxa"/>
              <w:end w:w="110" w:type="dxa"/>
            </w:tcMar>
            <w:shd w:fill="FFFFFF"/>
          </w:tcPr>
          <w:p>
            <w:pPr>
              <w:spacing w:after="0" w:before="0" w:line="240" w:lineRule="auto"/>
            </w:pPr>
            <w:r/>
            <w:r>
              <w:rPr>
                <w:rFonts w:ascii="Aptos" w:hAnsi="Aptos"/>
                <w:b w:val="0"/>
                <w:sz w:val="16"/>
              </w:rPr>
              <w:t>Claimed manual-harvest loss in some settings; requires empirical verification.</w:t>
            </w:r>
          </w:p>
        </w:tc>
      </w:tr>
    </w:tbl>
    <w:p>
      <w:pPr>
        <w:widowControl/>
        <w:spacing w:after="0"/>
      </w:pPr>
    </w:p>
    <w:p>
      <w:pPr>
        <w:pStyle w:val="Heading1"/>
        <w:keepNext/>
        <w:widowControl/>
      </w:pPr>
      <w:r>
        <w:t>Annex B. Selected quotations and coaching messages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464"/>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Message</w:t>
            </w:r>
          </w:p>
        </w:tc>
        <w:tc>
          <w:tcPr>
            <w:tcW w:type="dxa" w:w="6120"/>
            <w:vAlign w:val="center"/>
            <w:tcMar>
              <w:top w:w="90" w:type="dxa"/>
              <w:start w:w="110" w:type="dxa"/>
              <w:bottom w:w="90" w:type="dxa"/>
              <w:end w:w="110" w:type="dxa"/>
            </w:tcMar>
            <w:shd w:fill="1F374E"/>
          </w:tcPr>
          <w:p>
            <w:pPr>
              <w:spacing w:after="0" w:before="0" w:line="240" w:lineRule="auto"/>
            </w:pPr>
            <w:r/>
            <w:r>
              <w:rPr>
                <w:rFonts w:ascii="Aptos" w:hAnsi="Aptos"/>
                <w:b/>
                <w:color w:val="FFFFFF"/>
                <w:sz w:val="18"/>
              </w:rPr>
              <w:t>Context</w:t>
            </w:r>
          </w:p>
        </w:tc>
      </w:tr>
      <w:tr>
        <w:trPr>
          <w:cantSplit/>
        </w:trPr>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"We are dealing with nested networks."</w:t>
            </w:r>
          </w:p>
        </w:tc>
        <w:tc>
          <w:tcPr>
            <w:tcW w:type="dxa" w:w="6120"/>
            <w:vAlign w:val="center"/>
            <w:tcMar>
              <w:top w:w="90" w:type="dxa"/>
              <w:start w:w="110" w:type="dxa"/>
              <w:bottom w:w="90" w:type="dxa"/>
              <w:end w:w="110" w:type="dxa"/>
            </w:tcMar>
            <w:shd w:fill="FFFFFF"/>
          </w:tcPr>
          <w:p>
            <w:pPr>
              <w:spacing w:after="0" w:before="0" w:line="240" w:lineRule="auto"/>
            </w:pPr>
            <w:r/>
            <w:r>
              <w:rPr>
                <w:rFonts w:ascii="Aptos" w:hAnsi="Aptos"/>
                <w:b w:val="0"/>
                <w:sz w:val="17"/>
              </w:rPr>
              <w:t>Rica's framing of the overall PPP and its component-specific sub-networks.</w:t>
            </w:r>
          </w:p>
        </w:tc>
      </w:tr>
      <w:tr>
        <w:trPr>
          <w:cantSplit/>
        </w:trPr>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"There are too many components... and the funds are limited."</w:t>
            </w:r>
          </w:p>
        </w:tc>
        <w:tc>
          <w:tcPr>
            <w:tcW w:type="dxa" w:w="6120"/>
            <w:vAlign w:val="center"/>
            <w:tcMar>
              <w:top w:w="90" w:type="dxa"/>
              <w:start w:w="110" w:type="dxa"/>
              <w:bottom w:w="90" w:type="dxa"/>
              <w:end w:w="110" w:type="dxa"/>
            </w:tcMar>
            <w:shd w:fill="EAF0F5"/>
          </w:tcPr>
          <w:p>
            <w:pPr>
              <w:spacing w:after="0" w:before="0" w:line="240" w:lineRule="auto"/>
            </w:pPr>
            <w:r/>
            <w:r>
              <w:rPr>
                <w:rFonts w:ascii="Aptos" w:hAnsi="Aptos"/>
                <w:b w:val="0"/>
                <w:sz w:val="17"/>
              </w:rPr>
              <w:t>Warning that the solution must prioritize rather than treat every component as equally central.</w:t>
            </w:r>
          </w:p>
        </w:tc>
      </w:tr>
      <w:tr>
        <w:trPr>
          <w:cantSplit/>
        </w:trPr>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"The market is there. It is about getting quality paddy in huge quantities."</w:t>
            </w:r>
          </w:p>
        </w:tc>
        <w:tc>
          <w:tcPr>
            <w:tcW w:type="dxa" w:w="6120"/>
            <w:vAlign w:val="center"/>
            <w:tcMar>
              <w:top w:w="90" w:type="dxa"/>
              <w:start w:w="110" w:type="dxa"/>
              <w:bottom w:w="90" w:type="dxa"/>
              <w:end w:w="110" w:type="dxa"/>
            </w:tcMar>
            <w:shd w:fill="FFFFFF"/>
          </w:tcPr>
          <w:p>
            <w:pPr>
              <w:spacing w:after="0" w:before="0" w:line="240" w:lineRule="auto"/>
            </w:pPr>
            <w:r/>
            <w:r>
              <w:rPr>
                <w:rFonts w:ascii="Aptos" w:hAnsi="Aptos"/>
                <w:b w:val="0"/>
                <w:sz w:val="17"/>
              </w:rPr>
              <w:t>Core market-pull message from the discussion on millers and processors.</w:t>
            </w:r>
          </w:p>
        </w:tc>
      </w:tr>
      <w:tr>
        <w:trPr>
          <w:cantSplit/>
        </w:trPr>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"We need to be careful with the data we are churning out."</w:t>
            </w:r>
          </w:p>
        </w:tc>
        <w:tc>
          <w:tcPr>
            <w:tcW w:type="dxa" w:w="6120"/>
            <w:vAlign w:val="center"/>
            <w:tcMar>
              <w:top w:w="90" w:type="dxa"/>
              <w:start w:w="110" w:type="dxa"/>
              <w:bottom w:w="90" w:type="dxa"/>
              <w:end w:w="110" w:type="dxa"/>
            </w:tcMar>
            <w:shd w:fill="EAF0F5"/>
          </w:tcPr>
          <w:p>
            <w:pPr>
              <w:spacing w:after="0" w:before="0" w:line="240" w:lineRule="auto"/>
            </w:pPr>
            <w:r/>
            <w:r>
              <w:rPr>
                <w:rFonts w:ascii="Aptos" w:hAnsi="Aptos"/>
                <w:b w:val="0"/>
                <w:sz w:val="17"/>
              </w:rPr>
              <w:t>Seed-regulator caution after inconsistent production and adoption figures were presented.</w:t>
            </w:r>
          </w:p>
        </w:tc>
      </w:tr>
      <w:tr>
        <w:trPr>
          <w:cantSplit/>
        </w:trPr>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"The issue of side-selling is there; it is a function of the market."</w:t>
            </w:r>
          </w:p>
        </w:tc>
        <w:tc>
          <w:tcPr>
            <w:tcW w:type="dxa" w:w="6120"/>
            <w:vAlign w:val="center"/>
            <w:tcMar>
              <w:top w:w="90" w:type="dxa"/>
              <w:start w:w="110" w:type="dxa"/>
              <w:bottom w:w="90" w:type="dxa"/>
              <w:end w:w="110" w:type="dxa"/>
            </w:tcMar>
            <w:shd w:fill="FFFFFF"/>
          </w:tcPr>
          <w:p>
            <w:pPr>
              <w:spacing w:after="0" w:before="0" w:line="240" w:lineRule="auto"/>
            </w:pPr>
            <w:r/>
            <w:r>
              <w:rPr>
                <w:rFonts w:ascii="Aptos" w:hAnsi="Aptos"/>
                <w:b w:val="0"/>
                <w:sz w:val="17"/>
              </w:rPr>
              <w:t>Partner explanation that farmers may abandon contracts when market prices increase.</w:t>
            </w:r>
          </w:p>
        </w:tc>
      </w:tr>
      <w:tr>
        <w:trPr>
          <w:cantSplit/>
        </w:trPr>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"The companies will pay a yearly recurring license."</w:t>
            </w:r>
          </w:p>
        </w:tc>
        <w:tc>
          <w:tcPr>
            <w:tcW w:type="dxa" w:w="6120"/>
            <w:vAlign w:val="center"/>
            <w:tcMar>
              <w:top w:w="90" w:type="dxa"/>
              <w:start w:w="110" w:type="dxa"/>
              <w:bottom w:w="90" w:type="dxa"/>
              <w:end w:w="110" w:type="dxa"/>
            </w:tcMar>
            <w:shd w:fill="EAF0F5"/>
          </w:tcPr>
          <w:p>
            <w:pPr>
              <w:spacing w:after="0" w:before="0" w:line="240" w:lineRule="auto"/>
            </w:pPr>
            <w:r/>
            <w:r>
              <w:rPr>
                <w:rFonts w:ascii="Aptos" w:hAnsi="Aptos"/>
                <w:b w:val="0"/>
                <w:sz w:val="17"/>
              </w:rPr>
              <w:t>eProd business-model proposition after the pilot phase.</w:t>
            </w:r>
          </w:p>
        </w:tc>
      </w:tr>
      <w:tr>
        <w:trPr>
          <w:cantSplit/>
        </w:trPr>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"At the moment, what we need to redo is the integration with the RiceAdvice app."</w:t>
            </w:r>
          </w:p>
        </w:tc>
        <w:tc>
          <w:tcPr>
            <w:tcW w:type="dxa" w:w="6120"/>
            <w:vAlign w:val="center"/>
            <w:tcMar>
              <w:top w:w="90" w:type="dxa"/>
              <w:start w:w="110" w:type="dxa"/>
              <w:bottom w:w="90" w:type="dxa"/>
              <w:end w:w="110" w:type="dxa"/>
            </w:tcMar>
            <w:shd w:fill="FFFFFF"/>
          </w:tcPr>
          <w:p>
            <w:pPr>
              <w:spacing w:after="0" w:before="0" w:line="240" w:lineRule="auto"/>
            </w:pPr>
            <w:r/>
            <w:r>
              <w:rPr>
                <w:rFonts w:ascii="Aptos" w:hAnsi="Aptos"/>
                <w:b w:val="0"/>
                <w:sz w:val="17"/>
              </w:rPr>
              <w:t>Clarification that eProd was operating but the advisory integration required restoration.</w:t>
            </w:r>
          </w:p>
        </w:tc>
      </w:tr>
      <w:tr>
        <w:trPr>
          <w:cantSplit/>
        </w:trPr>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"We do not want to run two parallel systems at the same time."</w:t>
            </w:r>
          </w:p>
        </w:tc>
        <w:tc>
          <w:tcPr>
            <w:tcW w:type="dxa" w:w="6120"/>
            <w:vAlign w:val="center"/>
            <w:tcMar>
              <w:top w:w="90" w:type="dxa"/>
              <w:start w:w="110" w:type="dxa"/>
              <w:bottom w:w="90" w:type="dxa"/>
              <w:end w:w="110" w:type="dxa"/>
            </w:tcMar>
            <w:shd w:fill="EAF0F5"/>
          </w:tcPr>
          <w:p>
            <w:pPr>
              <w:spacing w:after="0" w:before="0" w:line="240" w:lineRule="auto"/>
            </w:pPr>
            <w:r/>
            <w:r>
              <w:rPr>
                <w:rFonts w:ascii="Aptos" w:hAnsi="Aptos"/>
                <w:b w:val="0"/>
                <w:sz w:val="17"/>
              </w:rPr>
              <w:t>Reason for respecting Niger State's existing AgriSuite platform.</w:t>
            </w:r>
          </w:p>
        </w:tc>
      </w:tr>
      <w:tr>
        <w:trPr>
          <w:cantSplit/>
        </w:trPr>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"These are the three main areas that we need to focus on."</w:t>
            </w:r>
          </w:p>
        </w:tc>
        <w:tc>
          <w:tcPr>
            <w:tcW w:type="dxa" w:w="6120"/>
            <w:vAlign w:val="center"/>
            <w:tcMar>
              <w:top w:w="90" w:type="dxa"/>
              <w:start w:w="110" w:type="dxa"/>
              <w:bottom w:w="90" w:type="dxa"/>
              <w:end w:w="110" w:type="dxa"/>
            </w:tcMar>
            <w:shd w:fill="FFFFFF"/>
          </w:tcPr>
          <w:p>
            <w:pPr>
              <w:spacing w:after="0" w:before="0" w:line="240" w:lineRule="auto"/>
            </w:pPr>
            <w:r/>
            <w:r>
              <w:rPr>
                <w:rFonts w:ascii="Aptos" w:hAnsi="Aptos"/>
                <w:b w:val="0"/>
                <w:sz w:val="17"/>
              </w:rPr>
              <w:t>Sali's prioritization of seed, miller/aggregator clusters and digitalization.</w:t>
            </w:r>
          </w:p>
        </w:tc>
      </w:tr>
      <w:tr>
        <w:trPr>
          <w:cantSplit/>
        </w:trPr>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"Scaling for Impact should remain our catalytic force."</w:t>
            </w:r>
          </w:p>
        </w:tc>
        <w:tc>
          <w:tcPr>
            <w:tcW w:type="dxa" w:w="6120"/>
            <w:vAlign w:val="center"/>
            <w:tcMar>
              <w:top w:w="90" w:type="dxa"/>
              <w:start w:w="110" w:type="dxa"/>
              <w:bottom w:w="90" w:type="dxa"/>
              <w:end w:w="110" w:type="dxa"/>
            </w:tcMar>
            <w:shd w:fill="EAF0F5"/>
          </w:tcPr>
          <w:p>
            <w:pPr>
              <w:spacing w:after="0" w:before="0" w:line="240" w:lineRule="auto"/>
            </w:pPr>
            <w:r/>
            <w:r>
              <w:rPr>
                <w:rFonts w:ascii="Aptos" w:hAnsi="Aptos"/>
                <w:b w:val="0"/>
                <w:sz w:val="17"/>
              </w:rPr>
              <w:t>The team's view of S4I's role in convening, coordination and resource mobilization.</w:t>
            </w:r>
          </w:p>
        </w:tc>
      </w:tr>
      <w:tr>
        <w:trPr>
          <w:cantSplit/>
        </w:trPr>
        <w:tc>
          <w:tcPr>
            <w:tcW w:type="dxa" w:w="4464"/>
            <w:vAlign w:val="center"/>
            <w:tcMar>
              <w:top w:w="90" w:type="dxa"/>
              <w:start w:w="110" w:type="dxa"/>
              <w:bottom w:w="90" w:type="dxa"/>
              <w:end w:w="110" w:type="dxa"/>
            </w:tcMar>
            <w:shd w:fill="FFFFFF"/>
          </w:tcPr>
          <w:p>
            <w:pPr>
              <w:spacing w:after="0" w:before="0" w:line="240" w:lineRule="auto"/>
            </w:pPr>
            <w:r/>
            <w:r>
              <w:rPr>
                <w:rFonts w:ascii="Aptos" w:hAnsi="Aptos"/>
                <w:b w:val="0"/>
                <w:sz w:val="17"/>
              </w:rPr>
              <w:t>"Registration is not adoption."</w:t>
            </w:r>
          </w:p>
        </w:tc>
        <w:tc>
          <w:tcPr>
            <w:tcW w:type="dxa" w:w="6120"/>
            <w:vAlign w:val="center"/>
            <w:tcMar>
              <w:top w:w="90" w:type="dxa"/>
              <w:start w:w="110" w:type="dxa"/>
              <w:bottom w:w="90" w:type="dxa"/>
              <w:end w:w="110" w:type="dxa"/>
            </w:tcMar>
            <w:shd w:fill="FFFFFF"/>
          </w:tcPr>
          <w:p>
            <w:pPr>
              <w:spacing w:after="0" w:before="0" w:line="240" w:lineRule="auto"/>
            </w:pPr>
            <w:r/>
            <w:r>
              <w:rPr>
                <w:rFonts w:ascii="Aptos" w:hAnsi="Aptos"/>
                <w:b w:val="0"/>
                <w:sz w:val="17"/>
              </w:rPr>
              <w:t>Core coaching interpretation: digital onboarding must be linked to actual technology or practice use.</w:t>
            </w:r>
          </w:p>
        </w:tc>
      </w:tr>
      <w:tr>
        <w:trPr>
          <w:cantSplit/>
        </w:trPr>
        <w:tc>
          <w:tcPr>
            <w:tcW w:type="dxa" w:w="4464"/>
            <w:vAlign w:val="center"/>
            <w:tcMar>
              <w:top w:w="90" w:type="dxa"/>
              <w:start w:w="110" w:type="dxa"/>
              <w:bottom w:w="90" w:type="dxa"/>
              <w:end w:w="110" w:type="dxa"/>
            </w:tcMar>
            <w:shd w:fill="EAF0F5"/>
          </w:tcPr>
          <w:p>
            <w:pPr>
              <w:spacing w:after="0" w:before="0" w:line="240" w:lineRule="auto"/>
            </w:pPr>
            <w:r/>
            <w:r>
              <w:rPr>
                <w:rFonts w:ascii="Aptos" w:hAnsi="Aptos"/>
                <w:b w:val="0"/>
                <w:sz w:val="17"/>
              </w:rPr>
              <w:t>"A mapped valley is not yet a scaled valley."</w:t>
            </w:r>
          </w:p>
        </w:tc>
        <w:tc>
          <w:tcPr>
            <w:tcW w:type="dxa" w:w="6120"/>
            <w:vAlign w:val="center"/>
            <w:tcMar>
              <w:top w:w="90" w:type="dxa"/>
              <w:start w:w="110" w:type="dxa"/>
              <w:bottom w:w="90" w:type="dxa"/>
              <w:end w:w="110" w:type="dxa"/>
            </w:tcMar>
            <w:shd w:fill="EAF0F5"/>
          </w:tcPr>
          <w:p>
            <w:pPr>
              <w:spacing w:after="0" w:before="0" w:line="240" w:lineRule="auto"/>
            </w:pPr>
            <w:r/>
            <w:r>
              <w:rPr>
                <w:rFonts w:ascii="Aptos" w:hAnsi="Aptos"/>
                <w:b w:val="0"/>
                <w:sz w:val="17"/>
              </w:rPr>
              <w:t>Core coaching interpretation: investment preparation should not be reported as farmer-level outcome.</w:t>
            </w:r>
          </w:p>
        </w:tc>
      </w:tr>
    </w:tbl>
    <w:p>
      <w:pPr>
        <w:widowControl/>
        <w:spacing w:after="0"/>
      </w:pPr>
    </w:p>
    <w:sectPr w:rsidR="00FC693F" w:rsidRPr="0006063C" w:rsidSect="00034616">
      <w:headerReference w:type="default" r:id="rId9"/>
      <w:footerReference w:type="default" r:id="rId10"/>
      <w:pgSz w:w="12240" w:h="15840"/>
      <w:pgMar w:top="1037" w:right="1123" w:bottom="979"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46464"/>
        <w:sz w:val="16"/>
      </w:rPr>
      <w:t xml:space="preserve">Prepared from the 20 July 2026 Nigeria session transcript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Public-Private Partnership for Rice - Nigeria Coaching Session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6F76"/>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b/>
      <w:bCs/>
      <w:color w:val="1F37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37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i/>
      <w:iCs/>
      <w:color w:val="6464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line="269" w:lineRule="auto"/>
    </w:pPr>
    <w:rPr>
      <w:rFonts w:ascii="Aptos" w:hAnsi="Aptos"/>
      <w:color w:val="1F374E"/>
      <w:sz w:val="21"/>
    </w:rPr>
  </w:style>
  <w:style w:type="paragraph" w:customStyle="1" w:styleId="KeyQuote">
    <w:name w:val="Key Quote"/>
    <w:pPr>
      <w:spacing w:before="100" w:after="120"/>
      <w:ind w:left="403" w:right="403"/>
    </w:pPr>
    <w:rPr>
      <w:rFonts w:ascii="Aptos" w:hAnsi="Aptos"/>
      <w:i/>
      <w:color w:val="266F7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PPP for Rice Nigeria - Comprehensive Coaching Session Notes</dc:title>
  <dc:subject>Nigeria evidence-gathering and coaching notes for the AfricaRice public-private partnership rice scaling track</dc:subject>
  <dc:creator>Prepared for the Scaling for Impact coaching process</dc:creator>
  <cp:keywords>AfricaRice, Nigeria, rice, public-private partnership, scaling, coaching, seed, eProd, RiceAdvice, mechanization, Smart Valley</cp:keywords>
  <dc:description>generated by python-docx</dc:description>
  <cp:lastModifiedBy/>
  <cp:revision>1</cp:revision>
  <dcterms:created xsi:type="dcterms:W3CDTF">2013-12-23T23:15:00Z</dcterms:created>
  <dcterms:modified xsi:type="dcterms:W3CDTF">2013-12-23T23:15:00Z</dcterms:modified>
  <cp:category/>
</cp:coreProperties>
</file>