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5A86" w14:textId="77777777" w:rsidR="00EC074E" w:rsidRDefault="00C075E9">
      <w:pPr>
        <w:spacing w:after="60" w:line="252" w:lineRule="auto"/>
        <w:jc w:val="center"/>
      </w:pPr>
      <w:r>
        <w:rPr>
          <w:b/>
          <w:sz w:val="30"/>
        </w:rPr>
        <w:t>Scaling Integration of MSEs and Smallholder Farmers into School Meals Programs in Kenya</w:t>
      </w:r>
    </w:p>
    <w:p w14:paraId="147A4443" w14:textId="77777777" w:rsidR="00EC074E" w:rsidRDefault="00C075E9">
      <w:pPr>
        <w:pStyle w:val="Heading1"/>
        <w:spacing w:after="60" w:line="252" w:lineRule="auto"/>
      </w:pPr>
      <w:r>
        <w:t>1. Track snapshot</w:t>
      </w:r>
    </w:p>
    <w:tbl>
      <w:tblPr>
        <w:tblStyle w:val="TableGrid"/>
        <w:tblW w:w="0" w:type="auto"/>
        <w:tblLook w:val="04A0" w:firstRow="1" w:lastRow="0" w:firstColumn="1" w:lastColumn="0" w:noHBand="0" w:noVBand="1"/>
      </w:tblPr>
      <w:tblGrid>
        <w:gridCol w:w="5112"/>
        <w:gridCol w:w="5112"/>
      </w:tblGrid>
      <w:tr w:rsidR="00EC074E" w14:paraId="4739C042" w14:textId="77777777">
        <w:tc>
          <w:tcPr>
            <w:tcW w:w="5112" w:type="dxa"/>
            <w:shd w:val="clear" w:color="auto" w:fill="D9EAF7"/>
          </w:tcPr>
          <w:p w14:paraId="31997929" w14:textId="77777777" w:rsidR="00EC074E" w:rsidRDefault="00C075E9">
            <w:r>
              <w:rPr>
                <w:sz w:val="17"/>
              </w:rPr>
              <w:t>Item</w:t>
            </w:r>
          </w:p>
        </w:tc>
        <w:tc>
          <w:tcPr>
            <w:tcW w:w="5112" w:type="dxa"/>
            <w:shd w:val="clear" w:color="auto" w:fill="D9EAF7"/>
          </w:tcPr>
          <w:p w14:paraId="67C9E3EC" w14:textId="77777777" w:rsidR="00EC074E" w:rsidRDefault="00C075E9">
            <w:r>
              <w:rPr>
                <w:sz w:val="17"/>
              </w:rPr>
              <w:t>Notes</w:t>
            </w:r>
          </w:p>
        </w:tc>
      </w:tr>
      <w:tr w:rsidR="00EC074E" w14:paraId="1C336C54" w14:textId="77777777">
        <w:tc>
          <w:tcPr>
            <w:tcW w:w="5112" w:type="dxa"/>
          </w:tcPr>
          <w:p w14:paraId="0D91708F" w14:textId="77777777" w:rsidR="00EC074E" w:rsidRDefault="00C075E9">
            <w:r>
              <w:rPr>
                <w:sz w:val="17"/>
              </w:rPr>
              <w:t>Track</w:t>
            </w:r>
          </w:p>
        </w:tc>
        <w:tc>
          <w:tcPr>
            <w:tcW w:w="5112" w:type="dxa"/>
          </w:tcPr>
          <w:p w14:paraId="1F97C37E" w14:textId="77777777" w:rsidR="00EC074E" w:rsidRDefault="00C075E9">
            <w:r>
              <w:rPr>
                <w:sz w:val="17"/>
              </w:rPr>
              <w:t>Scaling the integration of micro and small enterprises (MSEs) and smallholder farmers (SHFs) into school meals programs in Kenya.</w:t>
            </w:r>
          </w:p>
        </w:tc>
      </w:tr>
      <w:tr w:rsidR="00EC074E" w14:paraId="4BCCA934" w14:textId="77777777">
        <w:tc>
          <w:tcPr>
            <w:tcW w:w="5112" w:type="dxa"/>
          </w:tcPr>
          <w:p w14:paraId="7BCF84CA" w14:textId="77777777" w:rsidR="00EC074E" w:rsidRDefault="00C075E9">
            <w:r>
              <w:rPr>
                <w:sz w:val="17"/>
              </w:rPr>
              <w:t>Core problem</w:t>
            </w:r>
          </w:p>
        </w:tc>
        <w:tc>
          <w:tcPr>
            <w:tcW w:w="5112" w:type="dxa"/>
          </w:tcPr>
          <w:p w14:paraId="63263503" w14:textId="77777777" w:rsidR="00EC074E" w:rsidRDefault="00C075E9">
            <w:r>
              <w:rPr>
                <w:sz w:val="17"/>
              </w:rPr>
              <w:t>Kenya has an ambition to expand school meals to 10 million learners, but existing delivery models do not adequately reach low-cost private schools and learners in urban informal settlements. Local MSEs, SHFs and food traders are also not well integrated into school food procurement.</w:t>
            </w:r>
          </w:p>
        </w:tc>
      </w:tr>
      <w:tr w:rsidR="00EC074E" w14:paraId="73B9FB0D" w14:textId="77777777">
        <w:tc>
          <w:tcPr>
            <w:tcW w:w="5112" w:type="dxa"/>
          </w:tcPr>
          <w:p w14:paraId="05840610" w14:textId="77777777" w:rsidR="00EC074E" w:rsidRDefault="00C075E9">
            <w:r>
              <w:rPr>
                <w:sz w:val="17"/>
              </w:rPr>
              <w:t>Core solution</w:t>
            </w:r>
          </w:p>
        </w:tc>
        <w:tc>
          <w:tcPr>
            <w:tcW w:w="5112" w:type="dxa"/>
          </w:tcPr>
          <w:p w14:paraId="34E942F2" w14:textId="77777777" w:rsidR="00EC074E" w:rsidRDefault="00C075E9">
            <w:r>
              <w:rPr>
                <w:sz w:val="17"/>
              </w:rPr>
              <w:t>A lean local-procurement and demand-creation model that links organized local food traders, MSEs and SHFs through Local Business Associations (LBAs) to low-cost private schools, while building community demand for safe, diverse, locally sourced meals.</w:t>
            </w:r>
          </w:p>
        </w:tc>
      </w:tr>
      <w:tr w:rsidR="00EC074E" w14:paraId="2C485C95" w14:textId="77777777">
        <w:tc>
          <w:tcPr>
            <w:tcW w:w="5112" w:type="dxa"/>
          </w:tcPr>
          <w:p w14:paraId="40E12A51" w14:textId="77777777" w:rsidR="00EC074E" w:rsidRDefault="00C075E9">
            <w:r>
              <w:rPr>
                <w:sz w:val="17"/>
              </w:rPr>
              <w:t>2026 focus</w:t>
            </w:r>
          </w:p>
        </w:tc>
        <w:tc>
          <w:tcPr>
            <w:tcW w:w="5112" w:type="dxa"/>
          </w:tcPr>
          <w:p w14:paraId="1921445D" w14:textId="77777777" w:rsidR="00EC074E" w:rsidRDefault="00C075E9">
            <w:r>
              <w:rPr>
                <w:sz w:val="17"/>
              </w:rPr>
              <w:t>Work with 24 school communities across three Nairobi informal settlements and support three LBAs as the immediate proof-of-concept platform.</w:t>
            </w:r>
          </w:p>
        </w:tc>
      </w:tr>
      <w:tr w:rsidR="00EC074E" w14:paraId="3226864E" w14:textId="77777777">
        <w:tc>
          <w:tcPr>
            <w:tcW w:w="5112" w:type="dxa"/>
          </w:tcPr>
          <w:p w14:paraId="6F148DD4" w14:textId="77777777" w:rsidR="00EC074E" w:rsidRDefault="00C075E9">
            <w:r>
              <w:rPr>
                <w:sz w:val="17"/>
              </w:rPr>
              <w:t>Longer-term ambition discussed</w:t>
            </w:r>
          </w:p>
        </w:tc>
        <w:tc>
          <w:tcPr>
            <w:tcW w:w="5112" w:type="dxa"/>
          </w:tcPr>
          <w:p w14:paraId="0291E5B8" w14:textId="77777777" w:rsidR="00EC074E" w:rsidRDefault="00C075E9">
            <w:r>
              <w:rPr>
                <w:sz w:val="17"/>
              </w:rPr>
              <w:t>Move from three LBAs and 24 schools toward about 10 LBAs and 120 schools over roughly three years, while generating evidence on whether the model is financially viable, nutritionally meaningful, politically acceptable and scalable.</w:t>
            </w:r>
          </w:p>
        </w:tc>
      </w:tr>
      <w:tr w:rsidR="00EC074E" w14:paraId="25CCC10E" w14:textId="77777777">
        <w:tc>
          <w:tcPr>
            <w:tcW w:w="5112" w:type="dxa"/>
          </w:tcPr>
          <w:p w14:paraId="0AFB3C9A" w14:textId="77777777" w:rsidR="00EC074E" w:rsidRDefault="00C075E9">
            <w:r>
              <w:rPr>
                <w:sz w:val="17"/>
              </w:rPr>
              <w:t>Key partners in the discussion</w:t>
            </w:r>
          </w:p>
        </w:tc>
        <w:tc>
          <w:tcPr>
            <w:tcW w:w="5112" w:type="dxa"/>
          </w:tcPr>
          <w:p w14:paraId="63509764" w14:textId="77777777" w:rsidR="00EC074E" w:rsidRDefault="00C075E9">
            <w:r>
              <w:rPr>
                <w:sz w:val="17"/>
              </w:rPr>
              <w:t>IFPRI, APHRC, Wasafiri, Nairobi County actors, the Kenya School Meals Coalition, Micro and Small Enterprise Authority, Local Business Associations, Community Organized Groups, low-cost private schools, parents and learners.</w:t>
            </w:r>
          </w:p>
        </w:tc>
      </w:tr>
    </w:tbl>
    <w:p w14:paraId="3B16F4E0" w14:textId="77777777" w:rsidR="00EC074E" w:rsidRDefault="00C075E9">
      <w:pPr>
        <w:pStyle w:val="Heading1"/>
        <w:spacing w:after="60" w:line="252" w:lineRule="auto"/>
      </w:pPr>
      <w:r>
        <w:t>2. Why this track exists</w:t>
      </w:r>
    </w:p>
    <w:p w14:paraId="7ABD1774" w14:textId="77777777" w:rsidR="00EC074E" w:rsidRDefault="00C075E9">
      <w:pPr>
        <w:pStyle w:val="ListBullet"/>
        <w:spacing w:after="60" w:line="252" w:lineRule="auto"/>
      </w:pPr>
      <w:r>
        <w:t>Kenya has a national school meals expansion ambition, but the transcript discussion emphasized that current reach is incomplete, especially for children in low-cost private schools in Nairobi informal settlements.</w:t>
      </w:r>
    </w:p>
    <w:p w14:paraId="4339B46D" w14:textId="77777777" w:rsidR="00EC074E" w:rsidRDefault="00C075E9">
      <w:pPr>
        <w:pStyle w:val="ListBullet"/>
        <w:spacing w:after="60" w:line="252" w:lineRule="auto"/>
      </w:pPr>
      <w:r>
        <w:t>Food for Education is an important provider in the public-school space, especially through central/giga kitchens. The team explained that in Nairobi the county subsidizes most of the meal cost in public schools, while parents contribute a small amount.</w:t>
      </w:r>
    </w:p>
    <w:p w14:paraId="17CB9A08" w14:textId="77777777" w:rsidR="00EC074E" w:rsidRDefault="00C075E9">
      <w:pPr>
        <w:pStyle w:val="ListBullet"/>
        <w:spacing w:after="60" w:line="252" w:lineRule="auto"/>
      </w:pPr>
      <w:r>
        <w:t>The current centralized model does not easily reach many low-cost private schools in informal settlements, where roads, school infrastructure, kitchen arrangements and payment models differ significantly from public schools.</w:t>
      </w:r>
    </w:p>
    <w:p w14:paraId="78E0F5FA" w14:textId="77777777" w:rsidR="00EC074E" w:rsidRDefault="00C075E9">
      <w:pPr>
        <w:pStyle w:val="ListBullet"/>
        <w:spacing w:after="60" w:line="252" w:lineRule="auto"/>
      </w:pPr>
      <w:r>
        <w:t>The project is therefore not simply about school meals as a nutrition intervention. It is about testing a delivery and procurement model that can reach marginalized learners while creating income opportunities for local agri-food traders, MSEs and SHFs.</w:t>
      </w:r>
    </w:p>
    <w:p w14:paraId="69496630" w14:textId="77777777" w:rsidR="00EC074E" w:rsidRDefault="00C075E9">
      <w:pPr>
        <w:pStyle w:val="ListBullet"/>
        <w:spacing w:after="60" w:line="252" w:lineRule="auto"/>
      </w:pPr>
      <w:r>
        <w:t>The solution is also framed as a local economy strategy: stimulate local sourcing, integrate micro-enterprises into school food value chains, and improve the quality and diversity of meals.</w:t>
      </w:r>
    </w:p>
    <w:p w14:paraId="3FE22EB5" w14:textId="77777777" w:rsidR="00EC074E" w:rsidRDefault="00C075E9">
      <w:pPr>
        <w:pStyle w:val="Heading1"/>
        <w:spacing w:after="60" w:line="252" w:lineRule="auto"/>
      </w:pPr>
      <w:r>
        <w:t>3. Partner and team discussions: model and implementation logic</w:t>
      </w:r>
    </w:p>
    <w:p w14:paraId="6326A57A" w14:textId="77777777" w:rsidR="00EC074E" w:rsidRDefault="00C075E9">
      <w:pPr>
        <w:pStyle w:val="Heading2"/>
        <w:spacing w:after="60" w:line="252" w:lineRule="auto"/>
      </w:pPr>
      <w:r>
        <w:t>3.1 Overall model</w:t>
      </w:r>
    </w:p>
    <w:p w14:paraId="5CA71D59" w14:textId="77777777" w:rsidR="00EC074E" w:rsidRDefault="00C075E9">
      <w:pPr>
        <w:pStyle w:val="ListBullet"/>
        <w:spacing w:after="60" w:line="252" w:lineRule="auto"/>
      </w:pPr>
      <w:r>
        <w:t>The model has two linked pathways: a supply pathway and a demand pathway. The supply pathway organizes and prepares local food actors to serve schools; the demand pathway builds demand among parents, learners, schools and communities for healthy, locally sourced school meals.</w:t>
      </w:r>
    </w:p>
    <w:p w14:paraId="121DCBFB" w14:textId="77777777" w:rsidR="00EC074E" w:rsidRDefault="00C075E9">
      <w:pPr>
        <w:pStyle w:val="ListBullet"/>
        <w:spacing w:after="60" w:line="252" w:lineRule="auto"/>
      </w:pPr>
      <w:r>
        <w:t>The supply side focuses on agri-food traders, urban smallholder farmers, and MSEs that are organized into LBAs. The LBAs are expected to become credible food suppliers to schools, either by operating micro-kitchens or by supplying raw/processed food products to existing school kitchens or caterers.</w:t>
      </w:r>
    </w:p>
    <w:p w14:paraId="1C271E33" w14:textId="77777777" w:rsidR="00EC074E" w:rsidRDefault="00C075E9">
      <w:pPr>
        <w:pStyle w:val="ListBullet"/>
        <w:spacing w:after="60" w:line="252" w:lineRule="auto"/>
      </w:pPr>
      <w:r>
        <w:t>The demand side works through Community Organized Groups (COGs), school-level engagements, community dialogues, radio, cooking demonstrations, and school/community awareness activities.</w:t>
      </w:r>
    </w:p>
    <w:p w14:paraId="23BE3EFB" w14:textId="77777777" w:rsidR="00EC074E" w:rsidRDefault="00C075E9">
      <w:pPr>
        <w:pStyle w:val="ListBullet"/>
        <w:spacing w:after="60" w:line="252" w:lineRule="auto"/>
      </w:pPr>
      <w:r>
        <w:t>The model is intentionally described as nascent. The team has moved beyond general ideas and has narrowed the solution options, but several business and governance questions are still being tested through the current implementation cycle.</w:t>
      </w:r>
    </w:p>
    <w:p w14:paraId="5482DC5A" w14:textId="77777777" w:rsidR="00EC074E" w:rsidRDefault="00C075E9">
      <w:pPr>
        <w:pStyle w:val="Heading2"/>
        <w:spacing w:after="60" w:line="252" w:lineRule="auto"/>
      </w:pPr>
      <w:r>
        <w:lastRenderedPageBreak/>
        <w:t>3.2 School meal delivery context</w:t>
      </w:r>
    </w:p>
    <w:p w14:paraId="3B4C593D" w14:textId="77777777" w:rsidR="00EC074E" w:rsidRDefault="00C075E9">
      <w:pPr>
        <w:pStyle w:val="ListBullet"/>
        <w:spacing w:after="60" w:line="252" w:lineRule="auto"/>
      </w:pPr>
      <w:r>
        <w:t>The team distinguished the public-school model from the low-cost private-school model. Public schools, especially in Nairobi, may benefit from county-supported or Food for Education-linked models. Low-cost private schools in informal settlements are much more variable and often depend on parent-led, donor-led, school-led or informal arrangements.</w:t>
      </w:r>
    </w:p>
    <w:p w14:paraId="7B084C41" w14:textId="77777777" w:rsidR="00EC074E" w:rsidRDefault="00C075E9">
      <w:pPr>
        <w:pStyle w:val="ListBullet"/>
        <w:spacing w:after="60" w:line="252" w:lineRule="auto"/>
      </w:pPr>
      <w:r>
        <w:t>The transcript repeatedly highlighted that low-cost private schools vary greatly: some have kitchens, some depend on parent-led arrangements, some have donations from NGOs or well-wishers, and some may provide meals only a few days per week.</w:t>
      </w:r>
    </w:p>
    <w:p w14:paraId="08624451" w14:textId="77777777" w:rsidR="00EC074E" w:rsidRDefault="00C075E9">
      <w:pPr>
        <w:pStyle w:val="ListBullet"/>
        <w:spacing w:after="60" w:line="252" w:lineRule="auto"/>
      </w:pPr>
      <w:r>
        <w:t>This variability makes the business relationship between LBAs and schools more complex. There is not one standard procurement pathway or payment model across all target schools.</w:t>
      </w:r>
    </w:p>
    <w:p w14:paraId="3CE37DB7" w14:textId="77777777" w:rsidR="00EC074E" w:rsidRDefault="00C075E9">
      <w:pPr>
        <w:pStyle w:val="ListBullet"/>
        <w:spacing w:after="60" w:line="252" w:lineRule="auto"/>
      </w:pPr>
      <w:r>
        <w:t>Some schools may contract an LBA to operate or supply a micro-kitchen. Others may use the LBA only as a supplier of vegetables, grains, or other inputs to an existing caterer or school kitchen.</w:t>
      </w:r>
    </w:p>
    <w:p w14:paraId="7E5AA859" w14:textId="77777777" w:rsidR="00EC074E" w:rsidRDefault="00C075E9">
      <w:pPr>
        <w:pStyle w:val="Heading2"/>
        <w:spacing w:after="60" w:line="252" w:lineRule="auto"/>
      </w:pPr>
      <w:r>
        <w:t>3.3 Local Business Associations as the supply platform</w:t>
      </w:r>
    </w:p>
    <w:p w14:paraId="76F95A7C" w14:textId="77777777" w:rsidR="00EC074E" w:rsidRDefault="00C075E9">
      <w:pPr>
        <w:pStyle w:val="ListBullet"/>
        <w:spacing w:after="60" w:line="252" w:lineRule="auto"/>
      </w:pPr>
      <w:r>
        <w:t>The LBAs bring together micro food traders and smallholder/urban farmers who previously operated largely as individual informal businesses.</w:t>
      </w:r>
    </w:p>
    <w:p w14:paraId="57114680" w14:textId="77777777" w:rsidR="00EC074E" w:rsidRDefault="00C075E9">
      <w:pPr>
        <w:pStyle w:val="ListBullet"/>
        <w:spacing w:after="60" w:line="252" w:lineRule="auto"/>
      </w:pPr>
      <w:r>
        <w:t>The purpose is to help these actors move from small, uncertain daily trading toward a more organized business unit capable of aggregating food, negotiating with schools, meeting food safety expectations, and accessing government or private-sector support.</w:t>
      </w:r>
    </w:p>
    <w:p w14:paraId="4CCA754A" w14:textId="77777777" w:rsidR="00EC074E" w:rsidRDefault="00C075E9">
      <w:pPr>
        <w:pStyle w:val="ListBullet"/>
        <w:spacing w:after="60" w:line="252" w:lineRule="auto"/>
      </w:pPr>
      <w:r>
        <w:t>The transcript described three LBAs currently operating in the target informal settlements. Their membership numbers fluctuate, but the discussion suggested that each has roughly 35 or more members, with some growing higher.</w:t>
      </w:r>
    </w:p>
    <w:p w14:paraId="0E027B17" w14:textId="77777777" w:rsidR="00EC074E" w:rsidRDefault="00C075E9">
      <w:pPr>
        <w:pStyle w:val="ListBullet"/>
        <w:spacing w:after="60" w:line="252" w:lineRule="auto"/>
      </w:pPr>
      <w:r>
        <w:t>Registration and formalization are important. The discussion highlighted alignment with the Micro and Small Enterprise Authority, which provides the formal pathway for business registration, governance structure, compliance and access to support programs.</w:t>
      </w:r>
    </w:p>
    <w:p w14:paraId="1038E7B7" w14:textId="77777777" w:rsidR="00EC074E" w:rsidRDefault="00C075E9">
      <w:pPr>
        <w:pStyle w:val="ListBullet"/>
        <w:spacing w:after="60" w:line="252" w:lineRule="auto"/>
      </w:pPr>
      <w:r>
        <w:t>The LBAs also need food-handler certification and public-health compliance when they operate kitchens or handle cooked food. Nairobi County public health actors are therefore important in the delivery ecosystem.</w:t>
      </w:r>
    </w:p>
    <w:p w14:paraId="721E2075" w14:textId="77777777" w:rsidR="00EC074E" w:rsidRDefault="00C075E9">
      <w:pPr>
        <w:pStyle w:val="ListBullet"/>
        <w:spacing w:after="60" w:line="252" w:lineRule="auto"/>
      </w:pPr>
      <w:r>
        <w:t>The team emphasized that the LBAs are not only project groups. The sustainability logic is that they should be connected to existing institutions, including the Micro and Small Enterprise Authority, Kenya National Farmers Federation, county public-health structures, and private-sector business-support spaces.</w:t>
      </w:r>
    </w:p>
    <w:p w14:paraId="08D02590" w14:textId="77777777" w:rsidR="00EC074E" w:rsidRDefault="00C075E9">
      <w:pPr>
        <w:pStyle w:val="Heading2"/>
        <w:spacing w:after="60" w:line="252" w:lineRule="auto"/>
      </w:pPr>
      <w:r>
        <w:t>3.4 Two LBA supply options discussed</w:t>
      </w:r>
    </w:p>
    <w:p w14:paraId="343DBEEF" w14:textId="77777777" w:rsidR="00EC074E" w:rsidRDefault="00C075E9">
      <w:pPr>
        <w:pStyle w:val="ListNumber"/>
        <w:spacing w:after="60" w:line="252" w:lineRule="auto"/>
      </w:pPr>
      <w:r>
        <w:t>LBA-operated micro-kitchen: the LBA prepares and supplies meals directly to schools or learners. This option gives the LBA more control over meal quality, menu composition and sourcing, but it carries higher operational risks and requires consistent demand, food safety compliance, working capital, and reliable payment.</w:t>
      </w:r>
    </w:p>
    <w:p w14:paraId="3FD2A473" w14:textId="77777777" w:rsidR="00EC074E" w:rsidRDefault="00C075E9">
      <w:pPr>
        <w:pStyle w:val="ListNumber"/>
        <w:spacing w:after="60" w:line="252" w:lineRule="auto"/>
      </w:pPr>
      <w:r>
        <w:t>LBA as food/input supplier: the LBA supplies food products to schools, parent-led kitchens, community kitchens, or existing caterers. This may be less risky than running a kitchen, but it still requires aggregation capacity, quality control, price stability, logistics, and a working business relationship with the school.</w:t>
      </w:r>
    </w:p>
    <w:p w14:paraId="0EFBB083" w14:textId="77777777" w:rsidR="00EC074E" w:rsidRDefault="00C075E9">
      <w:pPr>
        <w:pStyle w:val="Heading2"/>
        <w:spacing w:after="60" w:line="252" w:lineRule="auto"/>
      </w:pPr>
      <w:r>
        <w:t>3.5 Business model issues raised by partners and the coaching team</w:t>
      </w:r>
    </w:p>
    <w:p w14:paraId="68AF582C" w14:textId="77777777" w:rsidR="00EC074E" w:rsidRDefault="00C075E9">
      <w:pPr>
        <w:pStyle w:val="ListBullet"/>
        <w:spacing w:after="60" w:line="252" w:lineRule="auto"/>
      </w:pPr>
      <w:r>
        <w:t>The public school meal price benchmark discussed was around KES 30 per meal. The LBA model has been working with this as an upper-limit reference point.</w:t>
      </w:r>
    </w:p>
    <w:p w14:paraId="29D66DDF" w14:textId="77777777" w:rsidR="00EC074E" w:rsidRDefault="00C075E9">
      <w:pPr>
        <w:pStyle w:val="ListBullet"/>
        <w:spacing w:after="60" w:line="252" w:lineRule="auto"/>
      </w:pPr>
      <w:r>
        <w:t>The team reported that, in one LBA case, meal costs may be around KES 20-25, allowing a possible margin if meals can be sold at around KES 30. However, this depends on stable numbers, menu choices, seasonal prices and whether porridge or additional components are included.</w:t>
      </w:r>
    </w:p>
    <w:p w14:paraId="2241CE58" w14:textId="77777777" w:rsidR="00EC074E" w:rsidRDefault="00C075E9">
      <w:pPr>
        <w:pStyle w:val="ListBullet"/>
        <w:spacing w:after="60" w:line="252" w:lineRule="auto"/>
      </w:pPr>
      <w:r>
        <w:t>A key operational question is the minimum viable number of meals. The transcript discussed a figure of around 100 meals per day as a threshold for one LBA-operated kitchen to become comfortable or profitable.</w:t>
      </w:r>
    </w:p>
    <w:p w14:paraId="5195C0A3" w14:textId="77777777" w:rsidR="00EC074E" w:rsidRDefault="00C075E9">
      <w:pPr>
        <w:pStyle w:val="ListBullet"/>
        <w:spacing w:after="60" w:line="252" w:lineRule="auto"/>
      </w:pPr>
      <w:r>
        <w:t>The current evidence is still weak on profitability. One LBA has started operating a kitchen, but the transcript indicated that it had not yet reached consistent numbers and was not yet clearly profitable.</w:t>
      </w:r>
    </w:p>
    <w:p w14:paraId="790C0FAB" w14:textId="77777777" w:rsidR="00EC074E" w:rsidRDefault="00C075E9">
      <w:pPr>
        <w:pStyle w:val="ListBullet"/>
        <w:spacing w:after="60" w:line="252" w:lineRule="auto"/>
      </w:pPr>
      <w:r>
        <w:t>Payment arrangements are a central issue. Some schools collect from parents and pay the LBA; in other cases, parents pay the LBA directly. The team is moving toward advance payment or prepaid arrangements, but the exact length and reliability of prepayment varies.</w:t>
      </w:r>
    </w:p>
    <w:p w14:paraId="5EC206E2" w14:textId="77777777" w:rsidR="00EC074E" w:rsidRDefault="00C075E9">
      <w:pPr>
        <w:pStyle w:val="ListBullet"/>
        <w:spacing w:after="60" w:line="252" w:lineRule="auto"/>
      </w:pPr>
      <w:r>
        <w:t>The team compared this with Food for Education, where many parents pay roughly a week in advance, but the low-cost private-school context may be more uncertain.</w:t>
      </w:r>
    </w:p>
    <w:p w14:paraId="548EFE5E" w14:textId="77777777" w:rsidR="00EC074E" w:rsidRDefault="00C075E9">
      <w:pPr>
        <w:pStyle w:val="ListBullet"/>
        <w:spacing w:after="60" w:line="252" w:lineRule="auto"/>
      </w:pPr>
      <w:r>
        <w:t>Irregular parent payments, school collection challenges, and lack of formal contracts make LBA revenue uncertain. This was one of the strongest business-case concerns raised in the coaching discussion.</w:t>
      </w:r>
    </w:p>
    <w:p w14:paraId="0CC13611" w14:textId="77777777" w:rsidR="00EC074E" w:rsidRDefault="00C075E9">
      <w:pPr>
        <w:pStyle w:val="Heading2"/>
        <w:spacing w:after="60" w:line="252" w:lineRule="auto"/>
      </w:pPr>
      <w:r>
        <w:t>3.6 Value proposition for LBAs and their members</w:t>
      </w:r>
    </w:p>
    <w:p w14:paraId="6B43DC73" w14:textId="77777777" w:rsidR="00EC074E" w:rsidRDefault="00C075E9">
      <w:pPr>
        <w:pStyle w:val="ListBullet"/>
        <w:spacing w:after="60" w:line="252" w:lineRule="auto"/>
      </w:pPr>
      <w:r>
        <w:t>The LBA gives small traders a more predictable business opportunity than selling small quantities of vegetables or food items on the roadside, where daily sales can be highly variable.</w:t>
      </w:r>
    </w:p>
    <w:p w14:paraId="256D2369" w14:textId="77777777" w:rsidR="00EC074E" w:rsidRDefault="00C075E9">
      <w:pPr>
        <w:pStyle w:val="ListBullet"/>
        <w:spacing w:after="60" w:line="252" w:lineRule="auto"/>
      </w:pPr>
      <w:r>
        <w:t>It gives members access to government-recognized business structures, training, possible credit, insurance, and wider procurement opportunities.</w:t>
      </w:r>
    </w:p>
    <w:p w14:paraId="66F441E4" w14:textId="77777777" w:rsidR="00EC074E" w:rsidRDefault="00C075E9">
      <w:pPr>
        <w:pStyle w:val="ListBullet"/>
        <w:spacing w:after="60" w:line="252" w:lineRule="auto"/>
      </w:pPr>
      <w:r>
        <w:lastRenderedPageBreak/>
        <w:t>It can improve access to produce through linkages with Kenya National Farmers Federation and other supplier networks, helping traders source products they may not normally access in informal settlement markets.</w:t>
      </w:r>
    </w:p>
    <w:p w14:paraId="4390C45C" w14:textId="77777777" w:rsidR="00EC074E" w:rsidRDefault="00C075E9">
      <w:pPr>
        <w:pStyle w:val="ListBullet"/>
        <w:spacing w:after="60" w:line="252" w:lineRule="auto"/>
      </w:pPr>
      <w:r>
        <w:t>The LBA model can create opportunities beyond school feeding, including wider food distribution in informal settlements, supply to other buyers, and business diversification during school holidays.</w:t>
      </w:r>
    </w:p>
    <w:p w14:paraId="23C9D2EB" w14:textId="77777777" w:rsidR="00EC074E" w:rsidRDefault="00C075E9">
      <w:pPr>
        <w:pStyle w:val="ListBullet"/>
        <w:spacing w:after="60" w:line="252" w:lineRule="auto"/>
      </w:pPr>
      <w:r>
        <w:t>However, the value proposition still needs to be quantified. The transcript did not yet show a full financial model comparing LBA participation with each trader’s current business alternative.</w:t>
      </w:r>
    </w:p>
    <w:p w14:paraId="10AD3E84" w14:textId="77777777" w:rsidR="00EC074E" w:rsidRDefault="00C075E9">
      <w:pPr>
        <w:pStyle w:val="Heading2"/>
        <w:spacing w:after="60" w:line="252" w:lineRule="auto"/>
      </w:pPr>
      <w:r>
        <w:t>3.7 Demand creation pathway</w:t>
      </w:r>
    </w:p>
    <w:p w14:paraId="614409D2" w14:textId="77777777" w:rsidR="00EC074E" w:rsidRDefault="00C075E9">
      <w:pPr>
        <w:pStyle w:val="ListBullet"/>
        <w:spacing w:after="60" w:line="252" w:lineRule="auto"/>
      </w:pPr>
      <w:r>
        <w:t>Demand creation is implemented largely through COGs and school/community engagement activities. The COGs are existing community actors with credibility and local reach.</w:t>
      </w:r>
    </w:p>
    <w:p w14:paraId="0A399C27" w14:textId="77777777" w:rsidR="00EC074E" w:rsidRDefault="00C075E9">
      <w:pPr>
        <w:pStyle w:val="ListBullet"/>
        <w:spacing w:after="60" w:line="252" w:lineRule="auto"/>
      </w:pPr>
      <w:r>
        <w:t>COGs receive seed grants to support engagement activities. The transcript mentioned larger grants of about KES 500,000 for heavier-lifting COGs and about KES 200,000 for more cross-cutting activities.</w:t>
      </w:r>
    </w:p>
    <w:p w14:paraId="5F2835FE" w14:textId="77777777" w:rsidR="00EC074E" w:rsidRDefault="00C075E9">
      <w:pPr>
        <w:pStyle w:val="ListBullet"/>
        <w:spacing w:after="60" w:line="252" w:lineRule="auto"/>
      </w:pPr>
      <w:r>
        <w:t>Demand creation activities include dialogues with school decision-makers, PTAs, boards of management, school directors, county officials, learners and parents.</w:t>
      </w:r>
    </w:p>
    <w:p w14:paraId="24AC4976" w14:textId="77777777" w:rsidR="00EC074E" w:rsidRDefault="00C075E9">
      <w:pPr>
        <w:pStyle w:val="ListBullet"/>
        <w:spacing w:after="60" w:line="252" w:lineRule="auto"/>
      </w:pPr>
      <w:r>
        <w:t>The engagement activities compare existing school menus with recommended school meal guidance and discuss what it means to diversify food groups without making meals unaffordable.</w:t>
      </w:r>
    </w:p>
    <w:p w14:paraId="008AF4D6" w14:textId="77777777" w:rsidR="00EC074E" w:rsidRDefault="00C075E9">
      <w:pPr>
        <w:pStyle w:val="ListBullet"/>
        <w:spacing w:after="60" w:line="252" w:lineRule="auto"/>
      </w:pPr>
      <w:r>
        <w:t>The strategy also uses community radio, barazas/dialogues, cooking demonstrations, urban farming demonstrations, and SBCC materials such as posters, stories, calendars and messages on food safety, local sourcing and healthy diets.</w:t>
      </w:r>
    </w:p>
    <w:p w14:paraId="6DDF555C" w14:textId="77777777" w:rsidR="00EC074E" w:rsidRDefault="00C075E9">
      <w:pPr>
        <w:pStyle w:val="ListBullet"/>
        <w:spacing w:after="60" w:line="252" w:lineRule="auto"/>
      </w:pPr>
      <w:r>
        <w:t>COGs also work with urban farming actors to show how schools or communities can supplement vegetables through small-scale, vertical or container-based production where feasible.</w:t>
      </w:r>
    </w:p>
    <w:p w14:paraId="2BDA9D4A" w14:textId="77777777" w:rsidR="00EC074E" w:rsidRDefault="00C075E9">
      <w:pPr>
        <w:pStyle w:val="ListBullet"/>
        <w:spacing w:after="60" w:line="252" w:lineRule="auto"/>
      </w:pPr>
      <w:r>
        <w:t>A recurring issue is that awareness activities must not stop at knowledge. The coaching discussion pushed the team to define the expected behavior change: parent willingness to pay, school menu change, school contracting, LBA sales, and actual meal consumption by learners.</w:t>
      </w:r>
    </w:p>
    <w:p w14:paraId="7CD0F06D" w14:textId="77777777" w:rsidR="00EC074E" w:rsidRDefault="00C075E9">
      <w:pPr>
        <w:pStyle w:val="Heading2"/>
        <w:spacing w:after="60" w:line="252" w:lineRule="auto"/>
      </w:pPr>
      <w:r>
        <w:t>3.8 Nutrition discussion</w:t>
      </w:r>
    </w:p>
    <w:p w14:paraId="76A48FEA" w14:textId="77777777" w:rsidR="00EC074E" w:rsidRDefault="00C075E9">
      <w:pPr>
        <w:pStyle w:val="ListBullet"/>
        <w:spacing w:after="60" w:line="252" w:lineRule="auto"/>
      </w:pPr>
      <w:r>
        <w:t>The nutrition objective is not to provide all of a child’s daily calories through one school meal. The team discussed the school meal as contributing roughly 30% of recommended daily requirements.</w:t>
      </w:r>
    </w:p>
    <w:p w14:paraId="2231E9D6" w14:textId="77777777" w:rsidR="00EC074E" w:rsidRDefault="00C075E9">
      <w:pPr>
        <w:pStyle w:val="ListBullet"/>
        <w:spacing w:after="60" w:line="252" w:lineRule="auto"/>
      </w:pPr>
      <w:r>
        <w:t>The traditional school meal basket was described as mainly starch, protein and fat. The project wants to improve dietary diversity by adding vegetables and/or fruit where feasible.</w:t>
      </w:r>
    </w:p>
    <w:p w14:paraId="6FE48AE2" w14:textId="77777777" w:rsidR="00EC074E" w:rsidRDefault="00C075E9">
      <w:pPr>
        <w:pStyle w:val="ListBullet"/>
        <w:spacing w:after="60" w:line="252" w:lineRule="auto"/>
      </w:pPr>
      <w:r>
        <w:t>The coaching discussion emphasized the need to define what “success” means nutritionally: frequency of meals, number of food groups, calorie contribution, dietary diversity and whether meals are actually consumed.</w:t>
      </w:r>
    </w:p>
    <w:p w14:paraId="2DB0FFA2" w14:textId="77777777" w:rsidR="00EC074E" w:rsidRDefault="00C075E9">
      <w:pPr>
        <w:pStyle w:val="ListBullet"/>
        <w:spacing w:after="60" w:line="252" w:lineRule="auto"/>
      </w:pPr>
      <w:r>
        <w:t>A critical question is whether the school meal complements or substitutes for home meals. If parents pay for school meals but reduce food at home, the net nutritional gain may be lower than assumed. The team indicated that surveys are being planned or implemented to capture these questions.</w:t>
      </w:r>
    </w:p>
    <w:p w14:paraId="7A4BA351" w14:textId="77777777" w:rsidR="00EC074E" w:rsidRDefault="00C075E9">
      <w:pPr>
        <w:pStyle w:val="ListBullet"/>
        <w:spacing w:after="60" w:line="252" w:lineRule="auto"/>
      </w:pPr>
      <w:r>
        <w:t>Culturally acceptable food was also raised. The discussion mentioned that certain beans or legumes can face acceptability issues, including concerns about flatulence, which creates a link with biofortified bean work and PABRA/HarvestPlus-type innovations.</w:t>
      </w:r>
    </w:p>
    <w:p w14:paraId="42C566D7" w14:textId="77777777" w:rsidR="00EC074E" w:rsidRDefault="00C075E9">
      <w:pPr>
        <w:pStyle w:val="Heading2"/>
        <w:spacing w:after="60" w:line="252" w:lineRule="auto"/>
      </w:pPr>
      <w:r>
        <w:t>3.9 Policy and institutional embedding</w:t>
      </w:r>
    </w:p>
    <w:p w14:paraId="2A072F3B" w14:textId="77777777" w:rsidR="00EC074E" w:rsidRDefault="00C075E9">
      <w:pPr>
        <w:pStyle w:val="ListBullet"/>
        <w:spacing w:after="60" w:line="252" w:lineRule="auto"/>
      </w:pPr>
      <w:r>
        <w:t>The work is closely linked to the Kenya School Meals Coalition, where the team participates in technical working groups, including areas such as data/evidence and procurement.</w:t>
      </w:r>
    </w:p>
    <w:p w14:paraId="70ABBE33" w14:textId="77777777" w:rsidR="00EC074E" w:rsidRDefault="00C075E9">
      <w:pPr>
        <w:pStyle w:val="ListBullet"/>
        <w:spacing w:after="60" w:line="252" w:lineRule="auto"/>
      </w:pPr>
      <w:r>
        <w:t>The team reported that the previous CHEFS work contributed to policy advocacy around recognizing MSEs and SHFs in policy documents, including national and county school meals policy spaces and an aggregator model.</w:t>
      </w:r>
    </w:p>
    <w:p w14:paraId="07ACAD95" w14:textId="77777777" w:rsidR="00EC074E" w:rsidRDefault="00C075E9">
      <w:pPr>
        <w:pStyle w:val="ListBullet"/>
        <w:spacing w:after="60" w:line="252" w:lineRule="auto"/>
      </w:pPr>
      <w:r>
        <w:t>Nairobi County actors, including education and nutrition/wellness champions, were described as important entry points. The Nairobi school feeding program was referred to as Dishi na County.</w:t>
      </w:r>
    </w:p>
    <w:p w14:paraId="068BD4C5" w14:textId="77777777" w:rsidR="00EC074E" w:rsidRDefault="00C075E9">
      <w:pPr>
        <w:pStyle w:val="ListBullet"/>
        <w:spacing w:after="60" w:line="252" w:lineRule="auto"/>
      </w:pPr>
      <w:r>
        <w:t>The model is politically relevant because national school meal policy discussions recognize a gap in reaching learners in informal settlements and low-cost private schools.</w:t>
      </w:r>
    </w:p>
    <w:p w14:paraId="3D6E406A" w14:textId="77777777" w:rsidR="00EC074E" w:rsidRDefault="00C075E9">
      <w:pPr>
        <w:pStyle w:val="ListBullet"/>
        <w:spacing w:after="60" w:line="252" w:lineRule="auto"/>
      </w:pPr>
      <w:r>
        <w:t>However, Richard raised a strong political economy concern: governments may naturally prioritize public schools because public schools are more visible to the public education system and have stronger institutional constituencies. Low-cost private schools may therefore need a stronger political and evidence case to attract public support.</w:t>
      </w:r>
    </w:p>
    <w:p w14:paraId="49A9FAD9" w14:textId="77777777" w:rsidR="00EC074E" w:rsidRDefault="00C075E9">
      <w:pPr>
        <w:pStyle w:val="ListBullet"/>
        <w:spacing w:after="60" w:line="252" w:lineRule="auto"/>
      </w:pPr>
      <w:r>
        <w:t>The transcript indicated that discussions are underway about how learners in low-cost private schools might be recognized or supported within broader school feeding policy and budget processes, but this is not yet resolved.</w:t>
      </w:r>
    </w:p>
    <w:p w14:paraId="19093698" w14:textId="77777777" w:rsidR="00EC074E" w:rsidRDefault="00C075E9">
      <w:pPr>
        <w:pStyle w:val="Heading1"/>
        <w:spacing w:after="60" w:line="252" w:lineRule="auto"/>
      </w:pPr>
      <w:r>
        <w:t>4. IPSR workshop discussion</w:t>
      </w:r>
    </w:p>
    <w:p w14:paraId="11801DF1" w14:textId="77777777" w:rsidR="00EC074E" w:rsidRDefault="00C075E9">
      <w:pPr>
        <w:pStyle w:val="ListBullet"/>
        <w:spacing w:after="60" w:line="252" w:lineRule="auto"/>
      </w:pPr>
      <w:r>
        <w:t>The IPSR workshop had around 27 active participants, including core project partners, line ministries, county government, the Micro and Small Enterprise Authority, community actors and LBAs.</w:t>
      </w:r>
    </w:p>
    <w:p w14:paraId="7B096D48" w14:textId="77777777" w:rsidR="00EC074E" w:rsidRDefault="00C075E9">
      <w:pPr>
        <w:pStyle w:val="ListBullet"/>
        <w:spacing w:after="60" w:line="252" w:lineRule="auto"/>
      </w:pPr>
      <w:r>
        <w:t>The team felt the main actors were largely present, though World Food Programme and other external actors with school feeding or agribusiness experience were identified as potentially useful additions.</w:t>
      </w:r>
    </w:p>
    <w:p w14:paraId="33B24EFB" w14:textId="77777777" w:rsidR="00EC074E" w:rsidRDefault="00C075E9">
      <w:pPr>
        <w:pStyle w:val="ListBullet"/>
        <w:spacing w:after="60" w:line="252" w:lineRule="auto"/>
      </w:pPr>
      <w:r>
        <w:lastRenderedPageBreak/>
        <w:t>The scaling ambition used in the workshop was a realistic incremental pathway: move from the current three LBAs and 24 schools toward around 10 LBAs and 120 schools over roughly three years.</w:t>
      </w:r>
    </w:p>
    <w:p w14:paraId="5A8CB558" w14:textId="77777777" w:rsidR="00EC074E" w:rsidRDefault="00C075E9">
      <w:pPr>
        <w:pStyle w:val="ListBullet"/>
        <w:spacing w:after="60" w:line="252" w:lineRule="auto"/>
      </w:pPr>
      <w:r>
        <w:t>The IPSR discussion reinforced that this is a systems model, not a simple product or technology. The “innovation” is the delivery/procurement/business model linking LBAs, schools, community demand, policy systems and local food supply chains.</w:t>
      </w:r>
    </w:p>
    <w:p w14:paraId="6315D9B7" w14:textId="77777777" w:rsidR="00EC074E" w:rsidRDefault="00C075E9">
      <w:pPr>
        <w:pStyle w:val="Heading2"/>
        <w:spacing w:after="60" w:line="252" w:lineRule="auto"/>
      </w:pPr>
      <w:r>
        <w:t>4.1 Main bottleneck areas from IPSR</w:t>
      </w:r>
    </w:p>
    <w:p w14:paraId="584E3F22" w14:textId="77777777" w:rsidR="00EC074E" w:rsidRDefault="00C075E9">
      <w:pPr>
        <w:pStyle w:val="ListBullet"/>
        <w:spacing w:after="60" w:line="252" w:lineRule="auto"/>
      </w:pPr>
      <w:r>
        <w:t>User awareness: this was one of the largest bottleneck buckets. “Users” are multiple: parents, learners, schools, LBAs, SHFs/MSEs and community actors. Each group has a different awareness need.</w:t>
      </w:r>
    </w:p>
    <w:p w14:paraId="4CD8ECA5" w14:textId="77777777" w:rsidR="00EC074E" w:rsidRDefault="00C075E9">
      <w:pPr>
        <w:pStyle w:val="ListBullet"/>
        <w:spacing w:after="60" w:line="252" w:lineRule="auto"/>
      </w:pPr>
      <w:r>
        <w:t>Know-how and capacity: LBAs need capacity in governance, business planning, aggregation, food safety, procurement, marketing, pricing, and school contracting.</w:t>
      </w:r>
    </w:p>
    <w:p w14:paraId="38FB41FF" w14:textId="77777777" w:rsidR="00EC074E" w:rsidRDefault="00C075E9">
      <w:pPr>
        <w:pStyle w:val="ListBullet"/>
        <w:spacing w:after="60" w:line="252" w:lineRule="auto"/>
      </w:pPr>
      <w:r>
        <w:t>Finance and affordability: parents may not be able to pay regularly; LBAs may need working capital; schools may lack predictable cash flow; and traders may face upfront compliance and operating costs.</w:t>
      </w:r>
    </w:p>
    <w:p w14:paraId="1A1F9520" w14:textId="77777777" w:rsidR="00EC074E" w:rsidRDefault="00C075E9">
      <w:pPr>
        <w:pStyle w:val="ListBullet"/>
        <w:spacing w:after="60" w:line="252" w:lineRule="auto"/>
      </w:pPr>
      <w:r>
        <w:t>Compatibility with existing systems: the model must fit within low-cost private-school realities, school calendars, parent payment cycles, existing food suppliers, county systems, public-health rules and school meal policy processes.</w:t>
      </w:r>
    </w:p>
    <w:p w14:paraId="48A8BD06" w14:textId="77777777" w:rsidR="00EC074E" w:rsidRDefault="00C075E9">
      <w:pPr>
        <w:pStyle w:val="ListBullet"/>
        <w:spacing w:after="60" w:line="252" w:lineRule="auto"/>
      </w:pPr>
      <w:r>
        <w:t>Legal and governance issues: registration, compliance, food safety, procurement readiness and institutional recognition remain important enabling conditions.</w:t>
      </w:r>
    </w:p>
    <w:p w14:paraId="0C686533" w14:textId="77777777" w:rsidR="00EC074E" w:rsidRDefault="00C075E9">
      <w:pPr>
        <w:pStyle w:val="ListBullet"/>
        <w:spacing w:after="60" w:line="252" w:lineRule="auto"/>
      </w:pPr>
      <w:r>
        <w:t>Stakeholder coordination: the model depends on coordinated roles across LBAs, COGs, schools, county government, MSE Authority, health officials, education actors and coalition structures.</w:t>
      </w:r>
    </w:p>
    <w:p w14:paraId="1BFF1D16" w14:textId="77777777" w:rsidR="00EC074E" w:rsidRDefault="00C075E9">
      <w:pPr>
        <w:pStyle w:val="ListBullet"/>
        <w:spacing w:after="60" w:line="252" w:lineRule="auto"/>
      </w:pPr>
      <w:r>
        <w:t>Positioning of informal schools: low-cost private schools sit uneasily in the public school feeding agenda, creating an enabling-environment and political-recognition bottleneck.</w:t>
      </w:r>
    </w:p>
    <w:p w14:paraId="250B9A61" w14:textId="77777777" w:rsidR="00EC074E" w:rsidRDefault="00C075E9">
      <w:pPr>
        <w:pStyle w:val="Heading2"/>
        <w:spacing w:after="60" w:line="252" w:lineRule="auto"/>
      </w:pPr>
      <w:r>
        <w:t>4.2 Two main solution areas prioritized</w:t>
      </w:r>
    </w:p>
    <w:p w14:paraId="492E365B" w14:textId="77777777" w:rsidR="00EC074E" w:rsidRDefault="00C075E9">
      <w:pPr>
        <w:pStyle w:val="ListNumber"/>
        <w:spacing w:after="60" w:line="252" w:lineRule="auto"/>
      </w:pPr>
      <w:r>
        <w:t>Strengthen LBA capacity and market readiness. This includes internal LBA governance, business planning, value-chain development, school-facing business models, payment structures, meal planning, growth opportunities and holiday-season diversification.</w:t>
      </w:r>
    </w:p>
    <w:p w14:paraId="0CE826F7" w14:textId="77777777" w:rsidR="00EC074E" w:rsidRDefault="00C075E9">
      <w:pPr>
        <w:pStyle w:val="ListNumber"/>
        <w:spacing w:after="60" w:line="252" w:lineRule="auto"/>
      </w:pPr>
      <w:r>
        <w:t>Build awareness and demand among key stakeholders. This includes parents, learners, school managers, teachers, community leaders, county actors, and the LBAs themselves. Awareness must be linked to behavior change, not only information exposure.</w:t>
      </w:r>
    </w:p>
    <w:p w14:paraId="412B8668" w14:textId="77777777" w:rsidR="00EC074E" w:rsidRDefault="00C075E9">
      <w:pPr>
        <w:pStyle w:val="Heading2"/>
        <w:spacing w:after="60" w:line="252" w:lineRule="auto"/>
      </w:pPr>
      <w:r>
        <w:t>4.3 Reflections on IPSR itself</w:t>
      </w:r>
    </w:p>
    <w:p w14:paraId="3DD011DB" w14:textId="77777777" w:rsidR="00EC074E" w:rsidRDefault="00C075E9">
      <w:pPr>
        <w:pStyle w:val="ListBullet"/>
        <w:spacing w:after="60" w:line="252" w:lineRule="auto"/>
      </w:pPr>
      <w:r>
        <w:t>The team valued the workshop for ownership, participation, relationship-building and bringing different actors to see different parts of the system.</w:t>
      </w:r>
    </w:p>
    <w:p w14:paraId="7249E2BC" w14:textId="77777777" w:rsidR="00EC074E" w:rsidRDefault="00C075E9">
      <w:pPr>
        <w:pStyle w:val="ListBullet"/>
        <w:spacing w:after="60" w:line="252" w:lineRule="auto"/>
      </w:pPr>
      <w:r>
        <w:t>However, several participants felt that the IPSR interface was too technical, especially for community-based actors and practitioners who were not familiar with scoring language.</w:t>
      </w:r>
    </w:p>
    <w:p w14:paraId="178C40E2" w14:textId="77777777" w:rsidR="00EC074E" w:rsidRDefault="00C075E9">
      <w:pPr>
        <w:pStyle w:val="ListBullet"/>
        <w:spacing w:after="60" w:line="252" w:lineRule="auto"/>
      </w:pPr>
      <w:r>
        <w:t>The scoring process was viewed as problematic because different participants had different levels of knowledge and could score readiness or use very differently.</w:t>
      </w:r>
    </w:p>
    <w:p w14:paraId="7AA1D7DE" w14:textId="77777777" w:rsidR="00EC074E" w:rsidRDefault="00C075E9">
      <w:pPr>
        <w:pStyle w:val="ListBullet"/>
        <w:spacing w:after="60" w:line="252" w:lineRule="auto"/>
      </w:pPr>
      <w:r>
        <w:t>The team felt that IPSR works better for product-like innovations than for complex systems-change models where one “solution” contains many sub-components and many actors.</w:t>
      </w:r>
    </w:p>
    <w:p w14:paraId="2DE36193" w14:textId="77777777" w:rsidR="00EC074E" w:rsidRDefault="00C075E9">
      <w:pPr>
        <w:pStyle w:val="ListBullet"/>
        <w:spacing w:after="60" w:line="252" w:lineRule="auto"/>
      </w:pPr>
      <w:r>
        <w:t>The process may force prioritization too early. For a nascent model, the team may need to test several solution options rather than choose one prematurely.</w:t>
      </w:r>
    </w:p>
    <w:p w14:paraId="07231D0C" w14:textId="77777777" w:rsidR="00EC074E" w:rsidRDefault="00C075E9">
      <w:pPr>
        <w:pStyle w:val="ListBullet"/>
        <w:spacing w:after="60" w:line="252" w:lineRule="auto"/>
      </w:pPr>
      <w:r>
        <w:t>The strongest value of the IPSR workshop appeared to be shared ownership and cross-learning rather than the numerical readiness scores themselves.</w:t>
      </w:r>
    </w:p>
    <w:p w14:paraId="691E0443" w14:textId="77777777" w:rsidR="00EC074E" w:rsidRDefault="00C075E9">
      <w:pPr>
        <w:pStyle w:val="Heading1"/>
        <w:spacing w:after="60" w:line="252" w:lineRule="auto"/>
      </w:pPr>
      <w:r>
        <w:t>5. Richard and S4I coaching analysis</w:t>
      </w:r>
    </w:p>
    <w:p w14:paraId="3F96734E" w14:textId="77777777" w:rsidR="00EC074E" w:rsidRDefault="00C075E9">
      <w:pPr>
        <w:pStyle w:val="Heading2"/>
        <w:spacing w:after="60" w:line="252" w:lineRule="auto"/>
      </w:pPr>
      <w:r>
        <w:t>5.1 Model is promising but still nascent</w:t>
      </w:r>
    </w:p>
    <w:p w14:paraId="09D23F92" w14:textId="77777777" w:rsidR="00EC074E" w:rsidRDefault="00C075E9">
      <w:pPr>
        <w:pStyle w:val="ListBullet"/>
        <w:spacing w:after="60" w:line="252" w:lineRule="auto"/>
      </w:pPr>
      <w:r>
        <w:t>Richard recognized the model as interesting and potentially important, but emphasized that it is not yet a proven scalable model. It is still moving from pilot learning toward a clearer proof of concept.</w:t>
      </w:r>
    </w:p>
    <w:p w14:paraId="61DD7B69" w14:textId="77777777" w:rsidR="00EC074E" w:rsidRDefault="00C075E9">
      <w:pPr>
        <w:pStyle w:val="ListBullet"/>
        <w:spacing w:after="60" w:line="252" w:lineRule="auto"/>
      </w:pPr>
      <w:r>
        <w:t>He described the project as having many “known knowns, known unknowns and unknown unknowns.” Many issues may only become clear once LBAs work with schools for a full cycle.</w:t>
      </w:r>
    </w:p>
    <w:p w14:paraId="08D44DE7" w14:textId="77777777" w:rsidR="00EC074E" w:rsidRDefault="00C075E9">
      <w:pPr>
        <w:pStyle w:val="ListBullet"/>
        <w:spacing w:after="60" w:line="252" w:lineRule="auto"/>
      </w:pPr>
      <w:r>
        <w:t>The team agreed that the current phase is about testing a narrowed set of model options, especially across 24 schools and three LBAs.</w:t>
      </w:r>
    </w:p>
    <w:p w14:paraId="53BD59D4" w14:textId="77777777" w:rsidR="00EC074E" w:rsidRDefault="00C075E9">
      <w:pPr>
        <w:pStyle w:val="Heading2"/>
        <w:spacing w:after="60" w:line="252" w:lineRule="auto"/>
      </w:pPr>
      <w:r>
        <w:t>5.2 Need for a stronger business case</w:t>
      </w:r>
    </w:p>
    <w:p w14:paraId="222BFBB9" w14:textId="77777777" w:rsidR="00EC074E" w:rsidRDefault="00C075E9">
      <w:pPr>
        <w:pStyle w:val="ListBullet"/>
        <w:spacing w:after="60" w:line="252" w:lineRule="auto"/>
      </w:pPr>
      <w:r>
        <w:t>Richard repeatedly asked for a financial model or spreadsheet showing the economics of the LBA model: upfront costs, registration costs, operating costs, credit/working capital costs, meal margins, minimum meal numbers, and time to profitability.</w:t>
      </w:r>
    </w:p>
    <w:p w14:paraId="0C64BCA8" w14:textId="77777777" w:rsidR="00EC074E" w:rsidRDefault="00C075E9">
      <w:pPr>
        <w:pStyle w:val="ListBullet"/>
        <w:spacing w:after="60" w:line="252" w:lineRule="auto"/>
      </w:pPr>
      <w:r>
        <w:lastRenderedPageBreak/>
        <w:t>He pushed the team to show when an LBA moves from loss-making to profitable, not only in concept but through projections and later evidence.</w:t>
      </w:r>
    </w:p>
    <w:p w14:paraId="0FA62159" w14:textId="77777777" w:rsidR="00EC074E" w:rsidRDefault="00C075E9">
      <w:pPr>
        <w:pStyle w:val="ListBullet"/>
        <w:spacing w:after="60" w:line="252" w:lineRule="auto"/>
      </w:pPr>
      <w:r>
        <w:t>The team noted that some calculations exist, especially around menu cost and the 100-meal threshold, but that fuller financial modeling and evidence are still being built.</w:t>
      </w:r>
    </w:p>
    <w:p w14:paraId="7359FC2A" w14:textId="77777777" w:rsidR="00EC074E" w:rsidRDefault="00C075E9">
      <w:pPr>
        <w:pStyle w:val="ListBullet"/>
        <w:spacing w:after="60" w:line="252" w:lineRule="auto"/>
      </w:pPr>
      <w:r>
        <w:t>The business-case question is not only whether an LBA can provide a meal for KES 20-25 and sell it for KES 30. It is whether the LBA can reliably achieve enough volume, manage cash flow, absorb fixed/setup costs, and sustain operations during school holidays or low-demand periods.</w:t>
      </w:r>
    </w:p>
    <w:p w14:paraId="5E2BD73C" w14:textId="77777777" w:rsidR="00EC074E" w:rsidRDefault="00C075E9">
      <w:pPr>
        <w:pStyle w:val="Heading2"/>
        <w:spacing w:after="60" w:line="252" w:lineRule="auto"/>
      </w:pPr>
      <w:r>
        <w:t>5.3 Parent affordability and willingness to pay is central</w:t>
      </w:r>
    </w:p>
    <w:p w14:paraId="52ECFBED" w14:textId="77777777" w:rsidR="00EC074E" w:rsidRDefault="00C075E9">
      <w:pPr>
        <w:pStyle w:val="ListBullet"/>
        <w:spacing w:after="60" w:line="252" w:lineRule="auto"/>
      </w:pPr>
      <w:r>
        <w:t>Richard and Evan pressed that demand creation must be measured against whether parents are willing and able to pay, not only whether they understand the value of nutritious meals.</w:t>
      </w:r>
    </w:p>
    <w:p w14:paraId="688998D9" w14:textId="77777777" w:rsidR="00EC074E" w:rsidRDefault="00C075E9">
      <w:pPr>
        <w:pStyle w:val="ListBullet"/>
        <w:spacing w:after="60" w:line="252" w:lineRule="auto"/>
      </w:pPr>
      <w:r>
        <w:t>The team discussed that many target households may have very low and irregular income. Even a seemingly low daily meal price may become significant when multiplied across children and school days.</w:t>
      </w:r>
    </w:p>
    <w:p w14:paraId="01B9B04D" w14:textId="77777777" w:rsidR="00EC074E" w:rsidRDefault="00C075E9">
      <w:pPr>
        <w:pStyle w:val="ListBullet"/>
        <w:spacing w:after="60" w:line="252" w:lineRule="auto"/>
      </w:pPr>
      <w:r>
        <w:t>Noreen emphasized that the school meal can partly substitute for a home meal, but may improve diet quality and diversity. This means the evaluation must track whether the meal is additional, a substitute, or a partial substitute.</w:t>
      </w:r>
    </w:p>
    <w:p w14:paraId="4BAD29ED" w14:textId="77777777" w:rsidR="00EC074E" w:rsidRDefault="00C075E9">
      <w:pPr>
        <w:pStyle w:val="ListBullet"/>
        <w:spacing w:after="60" w:line="252" w:lineRule="auto"/>
      </w:pPr>
      <w:r>
        <w:t>The key behavioral outcome is whether parents pay consistently enough for the model to work, and whether they value the quality improvements enough to sustain demand.</w:t>
      </w:r>
    </w:p>
    <w:p w14:paraId="4D2E4C88" w14:textId="77777777" w:rsidR="00EC074E" w:rsidRDefault="00C075E9">
      <w:pPr>
        <w:pStyle w:val="Heading2"/>
        <w:spacing w:after="60" w:line="252" w:lineRule="auto"/>
      </w:pPr>
      <w:r>
        <w:t>5.4 Define success clearly</w:t>
      </w:r>
    </w:p>
    <w:p w14:paraId="043AC950" w14:textId="77777777" w:rsidR="00EC074E" w:rsidRDefault="00C075E9">
      <w:pPr>
        <w:pStyle w:val="ListBullet"/>
        <w:spacing w:after="60" w:line="252" w:lineRule="auto"/>
      </w:pPr>
      <w:r>
        <w:t>Richard challenged the team to define what success means: number of schools, number of learners, number of meals, frequency of meals, meal quality, dietary diversity, parent payment rates, LBA profitability, and policy uptake.</w:t>
      </w:r>
    </w:p>
    <w:p w14:paraId="5E49B59D" w14:textId="77777777" w:rsidR="00EC074E" w:rsidRDefault="00C075E9">
      <w:pPr>
        <w:pStyle w:val="ListBullet"/>
        <w:spacing w:after="60" w:line="252" w:lineRule="auto"/>
      </w:pPr>
      <w:r>
        <w:t>A school receiving three meals per month is very different from a school receiving diverse meals five days per week. Both could be counted as “reached” unless the success indicator is made more precise.</w:t>
      </w:r>
    </w:p>
    <w:p w14:paraId="4CC920AD" w14:textId="77777777" w:rsidR="00EC074E" w:rsidRDefault="00C075E9">
      <w:pPr>
        <w:pStyle w:val="ListBullet"/>
        <w:spacing w:after="60" w:line="252" w:lineRule="auto"/>
      </w:pPr>
      <w:r>
        <w:t>The coaching discussion suggests that future reporting should avoid vague reach numbers and specify the depth and quality of reach.</w:t>
      </w:r>
    </w:p>
    <w:p w14:paraId="5AF7621D" w14:textId="77777777" w:rsidR="00EC074E" w:rsidRDefault="00C075E9">
      <w:pPr>
        <w:pStyle w:val="Heading2"/>
        <w:spacing w:after="60" w:line="252" w:lineRule="auto"/>
      </w:pPr>
      <w:r>
        <w:t>5.5 Public-sector ownership and political economy</w:t>
      </w:r>
    </w:p>
    <w:p w14:paraId="5F7BE77F" w14:textId="77777777" w:rsidR="00EC074E" w:rsidRDefault="00C075E9">
      <w:pPr>
        <w:pStyle w:val="ListBullet"/>
        <w:spacing w:after="60" w:line="252" w:lineRule="auto"/>
      </w:pPr>
      <w:r>
        <w:t>Richard distinguished between government “sign-off” and government “sign-up.” Sign-off means government allows or welcomes a project; sign-up means government is ready to own, fund or institutionalize the model.</w:t>
      </w:r>
    </w:p>
    <w:p w14:paraId="2F6CE1BB" w14:textId="77777777" w:rsidR="00EC074E" w:rsidRDefault="00C075E9">
      <w:pPr>
        <w:pStyle w:val="ListBullet"/>
        <w:spacing w:after="60" w:line="252" w:lineRule="auto"/>
      </w:pPr>
      <w:r>
        <w:t>He questioned where the strongest political and budgetary incentive lies: Ministry of Education, Nairobi County, Micro and Small Enterprise Authority, health/nutrition actors, agriculture actors, or the School Meals Coalition.</w:t>
      </w:r>
    </w:p>
    <w:p w14:paraId="7F1CA0AA" w14:textId="77777777" w:rsidR="00EC074E" w:rsidRDefault="00C075E9">
      <w:pPr>
        <w:pStyle w:val="ListBullet"/>
        <w:spacing w:after="60" w:line="252" w:lineRule="auto"/>
      </w:pPr>
      <w:r>
        <w:t>He also argued that the politics may favor public schools first, because public schools have more direct visibility within government systems. Low-cost private schools may need a stronger policy and political case to receive public funding.</w:t>
      </w:r>
    </w:p>
    <w:p w14:paraId="084CA2E1" w14:textId="77777777" w:rsidR="00EC074E" w:rsidRDefault="00C075E9">
      <w:pPr>
        <w:pStyle w:val="ListBullet"/>
        <w:spacing w:after="60" w:line="252" w:lineRule="auto"/>
      </w:pPr>
      <w:r>
        <w:t>The team responded that informal settlements and local procurement are recognized in the school meals policy space, and that the coalition and Nairobi County actors are aware and involved. However, the transition from policy interest to budgeted institutional ownership remains a major question.</w:t>
      </w:r>
    </w:p>
    <w:p w14:paraId="7F1154CC" w14:textId="77777777" w:rsidR="00EC074E" w:rsidRDefault="00C075E9">
      <w:pPr>
        <w:pStyle w:val="Heading2"/>
        <w:spacing w:after="60" w:line="252" w:lineRule="auto"/>
      </w:pPr>
      <w:r>
        <w:t>5.6 LBA sustainability and failure risk</w:t>
      </w:r>
    </w:p>
    <w:p w14:paraId="56EF05C0" w14:textId="77777777" w:rsidR="00EC074E" w:rsidRDefault="00C075E9">
      <w:pPr>
        <w:pStyle w:val="ListBullet"/>
        <w:spacing w:after="60" w:line="252" w:lineRule="auto"/>
      </w:pPr>
      <w:r>
        <w:t>Richard cautioned that collective business models often have high failure rates. If only some LBAs survive, the project needs to plan for attrition rather than assume every LBA will become viable.</w:t>
      </w:r>
    </w:p>
    <w:p w14:paraId="2ABC8978" w14:textId="77777777" w:rsidR="00EC074E" w:rsidRDefault="00C075E9">
      <w:pPr>
        <w:pStyle w:val="ListBullet"/>
        <w:spacing w:after="60" w:line="252" w:lineRule="auto"/>
      </w:pPr>
      <w:r>
        <w:t>The team acknowledged that some members already drop out when benefits are not immediate. LBA cohesion, governance, trust, contribution systems and leadership therefore matter.</w:t>
      </w:r>
    </w:p>
    <w:p w14:paraId="1DF27798" w14:textId="77777777" w:rsidR="00EC074E" w:rsidRDefault="00C075E9">
      <w:pPr>
        <w:pStyle w:val="ListBullet"/>
        <w:spacing w:after="60" w:line="252" w:lineRule="auto"/>
      </w:pPr>
      <w:r>
        <w:t>The Micro and Small Enterprise Authority’s reduction of minimum group size requirements was discussed as a possible response to group-cohesion challenges: smaller groups may be easier to manage.</w:t>
      </w:r>
    </w:p>
    <w:p w14:paraId="79E2C221" w14:textId="77777777" w:rsidR="00EC074E" w:rsidRDefault="00C075E9">
      <w:pPr>
        <w:pStyle w:val="ListBullet"/>
        <w:spacing w:after="60" w:line="252" w:lineRule="auto"/>
      </w:pPr>
      <w:r>
        <w:t>A key question is how many LBAs must be formed or supported in order to have a smaller number of viable, profitable, durable LBAs.</w:t>
      </w:r>
    </w:p>
    <w:p w14:paraId="0B3E69DF" w14:textId="77777777" w:rsidR="00EC074E" w:rsidRDefault="00C075E9">
      <w:pPr>
        <w:pStyle w:val="Heading2"/>
        <w:spacing w:after="60" w:line="252" w:lineRule="auto"/>
      </w:pPr>
      <w:r>
        <w:t>5.7 Evidence and MEL priorities</w:t>
      </w:r>
    </w:p>
    <w:p w14:paraId="7470497B" w14:textId="77777777" w:rsidR="00EC074E" w:rsidRDefault="00C075E9">
      <w:pPr>
        <w:pStyle w:val="ListBullet"/>
        <w:spacing w:after="60" w:line="252" w:lineRule="auto"/>
      </w:pPr>
      <w:r>
        <w:t>The coaching discussion pushed the team to track the full causal chain: activities -&gt; outputs -&gt; knowledge -&gt; attitudes -&gt; behavior -&gt; business outcomes -&gt; nutrition and system outcomes.</w:t>
      </w:r>
    </w:p>
    <w:p w14:paraId="12BFD9BD" w14:textId="77777777" w:rsidR="00EC074E" w:rsidRDefault="00C075E9">
      <w:pPr>
        <w:pStyle w:val="ListBullet"/>
        <w:spacing w:after="60" w:line="252" w:lineRule="auto"/>
      </w:pPr>
      <w:r>
        <w:t>For demand creation, the team needs evidence on which activities convert into parent payment and school procurement behavior. Dialogues and cooking demonstrations are not enough unless they lead to behavior change.</w:t>
      </w:r>
    </w:p>
    <w:p w14:paraId="6510EA6B" w14:textId="77777777" w:rsidR="00EC074E" w:rsidRDefault="00C075E9">
      <w:pPr>
        <w:pStyle w:val="ListBullet"/>
        <w:spacing w:after="60" w:line="252" w:lineRule="auto"/>
      </w:pPr>
      <w:r>
        <w:t>For LBAs, the team needs evidence on profitability, contracts, meal volumes, payment reliability, procurement costs, storage/logistics, governance, and member benefits.</w:t>
      </w:r>
    </w:p>
    <w:p w14:paraId="54FE0501" w14:textId="77777777" w:rsidR="00EC074E" w:rsidRDefault="00C075E9">
      <w:pPr>
        <w:pStyle w:val="ListBullet"/>
        <w:spacing w:after="60" w:line="252" w:lineRule="auto"/>
      </w:pPr>
      <w:r>
        <w:t>For nutrition, the team needs evidence on meal frequency, diversity, substitution/crowding-out of home meals, and actual learner consumption.</w:t>
      </w:r>
    </w:p>
    <w:p w14:paraId="3012D40D" w14:textId="77777777" w:rsidR="00EC074E" w:rsidRDefault="00C075E9">
      <w:pPr>
        <w:pStyle w:val="ListBullet"/>
        <w:spacing w:after="60" w:line="252" w:lineRule="auto"/>
      </w:pPr>
      <w:r>
        <w:t>For policy, the team needs evidence on whether government and coalition actors move from discussion and endorsement to concrete procurement changes, budget commitments or institutional adoption.</w:t>
      </w:r>
    </w:p>
    <w:p w14:paraId="5D5DC4A6" w14:textId="77777777" w:rsidR="00EC074E" w:rsidRDefault="00C075E9">
      <w:pPr>
        <w:pStyle w:val="Heading1"/>
        <w:spacing w:after="60" w:line="252" w:lineRule="auto"/>
      </w:pPr>
      <w:r>
        <w:lastRenderedPageBreak/>
        <w:t>6. Main bottlenecks and risks to watch</w:t>
      </w:r>
    </w:p>
    <w:tbl>
      <w:tblPr>
        <w:tblStyle w:val="TableGrid"/>
        <w:tblW w:w="0" w:type="auto"/>
        <w:tblLook w:val="04A0" w:firstRow="1" w:lastRow="0" w:firstColumn="1" w:lastColumn="0" w:noHBand="0" w:noVBand="1"/>
      </w:tblPr>
      <w:tblGrid>
        <w:gridCol w:w="5112"/>
        <w:gridCol w:w="5112"/>
      </w:tblGrid>
      <w:tr w:rsidR="00EC074E" w14:paraId="0E3CFE53" w14:textId="77777777">
        <w:tc>
          <w:tcPr>
            <w:tcW w:w="5112" w:type="dxa"/>
            <w:shd w:val="clear" w:color="auto" w:fill="FCE4D6"/>
          </w:tcPr>
          <w:p w14:paraId="714DEA8B" w14:textId="77777777" w:rsidR="00EC074E" w:rsidRDefault="00C075E9">
            <w:r>
              <w:rPr>
                <w:sz w:val="17"/>
              </w:rPr>
              <w:t>Risk/bottleneck</w:t>
            </w:r>
          </w:p>
        </w:tc>
        <w:tc>
          <w:tcPr>
            <w:tcW w:w="5112" w:type="dxa"/>
            <w:shd w:val="clear" w:color="auto" w:fill="FCE4D6"/>
          </w:tcPr>
          <w:p w14:paraId="552BD952" w14:textId="77777777" w:rsidR="00EC074E" w:rsidRDefault="00C075E9">
            <w:r>
              <w:rPr>
                <w:sz w:val="17"/>
              </w:rPr>
              <w:t>Why it matters</w:t>
            </w:r>
          </w:p>
        </w:tc>
      </w:tr>
      <w:tr w:rsidR="00EC074E" w14:paraId="32F6AE28" w14:textId="77777777">
        <w:tc>
          <w:tcPr>
            <w:tcW w:w="5112" w:type="dxa"/>
          </w:tcPr>
          <w:p w14:paraId="54F58055" w14:textId="77777777" w:rsidR="00EC074E" w:rsidRDefault="00C075E9">
            <w:r>
              <w:rPr>
                <w:sz w:val="17"/>
              </w:rPr>
              <w:t>Unreliable demand</w:t>
            </w:r>
          </w:p>
        </w:tc>
        <w:tc>
          <w:tcPr>
            <w:tcW w:w="5112" w:type="dxa"/>
          </w:tcPr>
          <w:p w14:paraId="69490FF9" w14:textId="77777777" w:rsidR="00EC074E" w:rsidRDefault="00C075E9">
            <w:r>
              <w:rPr>
                <w:sz w:val="17"/>
              </w:rPr>
              <w:t>Parents may not pay consistently; schools may not commit; demand may fluctuate by term, school, household income and donations.</w:t>
            </w:r>
          </w:p>
        </w:tc>
      </w:tr>
      <w:tr w:rsidR="00EC074E" w14:paraId="1B982BB6" w14:textId="77777777">
        <w:tc>
          <w:tcPr>
            <w:tcW w:w="5112" w:type="dxa"/>
          </w:tcPr>
          <w:p w14:paraId="3C84012F" w14:textId="77777777" w:rsidR="00EC074E" w:rsidRDefault="00C075E9">
            <w:r>
              <w:rPr>
                <w:sz w:val="17"/>
              </w:rPr>
              <w:t>LBA profitability</w:t>
            </w:r>
          </w:p>
        </w:tc>
        <w:tc>
          <w:tcPr>
            <w:tcW w:w="5112" w:type="dxa"/>
          </w:tcPr>
          <w:p w14:paraId="2F2E3AF2" w14:textId="77777777" w:rsidR="00EC074E" w:rsidRDefault="00C075E9">
            <w:r>
              <w:rPr>
                <w:sz w:val="17"/>
              </w:rPr>
              <w:t>The model may not become profitable unless meal volumes are high and stable enough to cover costs and margins.</w:t>
            </w:r>
          </w:p>
        </w:tc>
      </w:tr>
      <w:tr w:rsidR="00EC074E" w14:paraId="7B6F076B" w14:textId="77777777">
        <w:tc>
          <w:tcPr>
            <w:tcW w:w="5112" w:type="dxa"/>
          </w:tcPr>
          <w:p w14:paraId="37D197C5" w14:textId="77777777" w:rsidR="00EC074E" w:rsidRDefault="00C075E9">
            <w:r>
              <w:rPr>
                <w:sz w:val="17"/>
              </w:rPr>
              <w:t>Working capital</w:t>
            </w:r>
          </w:p>
        </w:tc>
        <w:tc>
          <w:tcPr>
            <w:tcW w:w="5112" w:type="dxa"/>
          </w:tcPr>
          <w:p w14:paraId="7EB8324F" w14:textId="77777777" w:rsidR="00EC074E" w:rsidRDefault="00C075E9">
            <w:r>
              <w:rPr>
                <w:sz w:val="17"/>
              </w:rPr>
              <w:t>LBAs may need cash to buy food before receiving payment. Commercial credit can be expensive and may undermine margins.</w:t>
            </w:r>
          </w:p>
        </w:tc>
      </w:tr>
      <w:tr w:rsidR="00EC074E" w14:paraId="05F0AD7C" w14:textId="77777777">
        <w:tc>
          <w:tcPr>
            <w:tcW w:w="5112" w:type="dxa"/>
          </w:tcPr>
          <w:p w14:paraId="6D7C847C" w14:textId="77777777" w:rsidR="00EC074E" w:rsidRDefault="00C075E9">
            <w:r>
              <w:rPr>
                <w:sz w:val="17"/>
              </w:rPr>
              <w:t>Governance and cohesion</w:t>
            </w:r>
          </w:p>
        </w:tc>
        <w:tc>
          <w:tcPr>
            <w:tcW w:w="5112" w:type="dxa"/>
          </w:tcPr>
          <w:p w14:paraId="5CF3898C" w14:textId="77777777" w:rsidR="00EC074E" w:rsidRDefault="00C075E9">
            <w:r>
              <w:rPr>
                <w:sz w:val="17"/>
              </w:rPr>
              <w:t>LBAs may struggle with leadership, member contributions, dropout, trust, and internal coordination.</w:t>
            </w:r>
          </w:p>
        </w:tc>
      </w:tr>
      <w:tr w:rsidR="00EC074E" w14:paraId="652FC9B3" w14:textId="77777777">
        <w:tc>
          <w:tcPr>
            <w:tcW w:w="5112" w:type="dxa"/>
          </w:tcPr>
          <w:p w14:paraId="7D3C178E" w14:textId="77777777" w:rsidR="00EC074E" w:rsidRDefault="00C075E9">
            <w:r>
              <w:rPr>
                <w:sz w:val="17"/>
              </w:rPr>
              <w:t>Regulatory burden</w:t>
            </w:r>
          </w:p>
        </w:tc>
        <w:tc>
          <w:tcPr>
            <w:tcW w:w="5112" w:type="dxa"/>
          </w:tcPr>
          <w:p w14:paraId="0560948E" w14:textId="77777777" w:rsidR="00EC074E" w:rsidRDefault="00C075E9">
            <w:r>
              <w:rPr>
                <w:sz w:val="17"/>
              </w:rPr>
              <w:t>Registration, food-handler certification, public-health compliance and procurement readiness may be manageable but still require time, knowledge and support.</w:t>
            </w:r>
          </w:p>
        </w:tc>
      </w:tr>
      <w:tr w:rsidR="00EC074E" w14:paraId="2BE4F3C8" w14:textId="77777777">
        <w:tc>
          <w:tcPr>
            <w:tcW w:w="5112" w:type="dxa"/>
          </w:tcPr>
          <w:p w14:paraId="7559C81E" w14:textId="77777777" w:rsidR="00EC074E" w:rsidRDefault="00C075E9">
            <w:r>
              <w:rPr>
                <w:sz w:val="17"/>
              </w:rPr>
              <w:t>Food safety and quality assurance</w:t>
            </w:r>
          </w:p>
        </w:tc>
        <w:tc>
          <w:tcPr>
            <w:tcW w:w="5112" w:type="dxa"/>
          </w:tcPr>
          <w:p w14:paraId="105F1CEA" w14:textId="77777777" w:rsidR="00EC074E" w:rsidRDefault="00C075E9">
            <w:r>
              <w:rPr>
                <w:sz w:val="17"/>
              </w:rPr>
              <w:t>Supplying schools creates a higher standard than ordinary informal food trading, especially where food is cooked or handled in bulk.</w:t>
            </w:r>
          </w:p>
        </w:tc>
      </w:tr>
      <w:tr w:rsidR="00EC074E" w14:paraId="24D896F2" w14:textId="77777777">
        <w:tc>
          <w:tcPr>
            <w:tcW w:w="5112" w:type="dxa"/>
          </w:tcPr>
          <w:p w14:paraId="09691108" w14:textId="77777777" w:rsidR="00EC074E" w:rsidRDefault="00C075E9">
            <w:r>
              <w:rPr>
                <w:sz w:val="17"/>
              </w:rPr>
              <w:t>Meal affordability</w:t>
            </w:r>
          </w:p>
        </w:tc>
        <w:tc>
          <w:tcPr>
            <w:tcW w:w="5112" w:type="dxa"/>
          </w:tcPr>
          <w:p w14:paraId="1EBF1D6D" w14:textId="77777777" w:rsidR="00EC074E" w:rsidRDefault="00C075E9">
            <w:r>
              <w:rPr>
                <w:sz w:val="17"/>
              </w:rPr>
              <w:t>Even low meal prices may be unaffordable for very poor households, especially where there are multiple children.</w:t>
            </w:r>
          </w:p>
        </w:tc>
      </w:tr>
      <w:tr w:rsidR="00EC074E" w14:paraId="60904B26" w14:textId="77777777">
        <w:tc>
          <w:tcPr>
            <w:tcW w:w="5112" w:type="dxa"/>
          </w:tcPr>
          <w:p w14:paraId="24238C2C" w14:textId="77777777" w:rsidR="00EC074E" w:rsidRDefault="00C075E9">
            <w:r>
              <w:rPr>
                <w:sz w:val="17"/>
              </w:rPr>
              <w:t>Nutritional depth</w:t>
            </w:r>
          </w:p>
        </w:tc>
        <w:tc>
          <w:tcPr>
            <w:tcW w:w="5112" w:type="dxa"/>
          </w:tcPr>
          <w:p w14:paraId="02C527B0" w14:textId="77777777" w:rsidR="00EC074E" w:rsidRDefault="00C075E9">
            <w:r>
              <w:rPr>
                <w:sz w:val="17"/>
              </w:rPr>
              <w:t>Reach numbers may overstate impact if meals are infrequent, low-diversity, or substitute for home meals without improving total diet quality.</w:t>
            </w:r>
          </w:p>
        </w:tc>
      </w:tr>
      <w:tr w:rsidR="00EC074E" w14:paraId="073EFE71" w14:textId="77777777">
        <w:tc>
          <w:tcPr>
            <w:tcW w:w="5112" w:type="dxa"/>
          </w:tcPr>
          <w:p w14:paraId="1A9FE433" w14:textId="77777777" w:rsidR="00EC074E" w:rsidRDefault="00C075E9">
            <w:r>
              <w:rPr>
                <w:sz w:val="17"/>
              </w:rPr>
              <w:t>Political visibility</w:t>
            </w:r>
          </w:p>
        </w:tc>
        <w:tc>
          <w:tcPr>
            <w:tcW w:w="5112" w:type="dxa"/>
          </w:tcPr>
          <w:p w14:paraId="03023885" w14:textId="77777777" w:rsidR="00EC074E" w:rsidRDefault="00C075E9">
            <w:r>
              <w:rPr>
                <w:sz w:val="17"/>
              </w:rPr>
              <w:t>Low-cost private schools may be less politically powerful than public schools, making government funding or institutionalization difficult.</w:t>
            </w:r>
          </w:p>
        </w:tc>
      </w:tr>
      <w:tr w:rsidR="00EC074E" w14:paraId="63CD3D75" w14:textId="77777777">
        <w:tc>
          <w:tcPr>
            <w:tcW w:w="5112" w:type="dxa"/>
          </w:tcPr>
          <w:p w14:paraId="16B3EA68" w14:textId="77777777" w:rsidR="00EC074E" w:rsidRDefault="00C075E9">
            <w:r>
              <w:rPr>
                <w:sz w:val="17"/>
              </w:rPr>
              <w:t>Dependency on project facilitation</w:t>
            </w:r>
          </w:p>
        </w:tc>
        <w:tc>
          <w:tcPr>
            <w:tcW w:w="5112" w:type="dxa"/>
          </w:tcPr>
          <w:p w14:paraId="0F34487B" w14:textId="77777777" w:rsidR="00EC074E" w:rsidRDefault="00C075E9">
            <w:r>
              <w:rPr>
                <w:sz w:val="17"/>
              </w:rPr>
              <w:t>The model currently depends on facilitation, capacity building and linkages. A clear exit/ownership pathway is needed.</w:t>
            </w:r>
          </w:p>
        </w:tc>
      </w:tr>
    </w:tbl>
    <w:p w14:paraId="53BB9E7C" w14:textId="77777777" w:rsidR="00EC074E" w:rsidRDefault="00C075E9">
      <w:pPr>
        <w:pStyle w:val="Heading1"/>
        <w:spacing w:after="60" w:line="252" w:lineRule="auto"/>
      </w:pPr>
      <w:r>
        <w:t>7. What appears to be working well</w:t>
      </w:r>
    </w:p>
    <w:p w14:paraId="5FBBEFA2" w14:textId="77777777" w:rsidR="00EC074E" w:rsidRDefault="00C075E9">
      <w:pPr>
        <w:pStyle w:val="ListBullet"/>
        <w:spacing w:after="60" w:line="252" w:lineRule="auto"/>
      </w:pPr>
      <w:r>
        <w:t>The project is tackling a real gap: learners in low-cost private schools in informal settlements are not well served by current school feeding delivery models.</w:t>
      </w:r>
    </w:p>
    <w:p w14:paraId="47E50BF8" w14:textId="77777777" w:rsidR="00EC074E" w:rsidRDefault="00C075E9">
      <w:pPr>
        <w:pStyle w:val="ListBullet"/>
        <w:spacing w:after="60" w:line="252" w:lineRule="auto"/>
      </w:pPr>
      <w:r>
        <w:t>The model is not just technical; it recognizes that school feeding in informal settlements requires supply organization, demand creation, policy engagement, business-model testing and local institutional anchoring.</w:t>
      </w:r>
    </w:p>
    <w:p w14:paraId="3908F512" w14:textId="77777777" w:rsidR="00EC074E" w:rsidRDefault="00C075E9">
      <w:pPr>
        <w:pStyle w:val="ListBullet"/>
        <w:spacing w:after="60" w:line="252" w:lineRule="auto"/>
      </w:pPr>
      <w:r>
        <w:t>The team has strong policy and coalition links, including the Kenya School Meals Coalition and Nairobi County actors.</w:t>
      </w:r>
    </w:p>
    <w:p w14:paraId="27AE946C" w14:textId="77777777" w:rsidR="00EC074E" w:rsidRDefault="00C075E9">
      <w:pPr>
        <w:pStyle w:val="ListBullet"/>
        <w:spacing w:after="60" w:line="252" w:lineRule="auto"/>
      </w:pPr>
      <w:r>
        <w:t>The LBA approach gives a plausible vehicle for organizing local traders and SHFs into a more visible, recognized and potentially bankable business structure.</w:t>
      </w:r>
    </w:p>
    <w:p w14:paraId="6F80C7C0" w14:textId="77777777" w:rsidR="00EC074E" w:rsidRDefault="00C075E9">
      <w:pPr>
        <w:pStyle w:val="ListBullet"/>
        <w:spacing w:after="60" w:line="252" w:lineRule="auto"/>
      </w:pPr>
      <w:r>
        <w:t>The project is realistic about the early stage of the model and has not over-claimed immediate scale. The 24-school/three-LBA test is appropriate for learning.</w:t>
      </w:r>
    </w:p>
    <w:p w14:paraId="3A7C0CC2" w14:textId="77777777" w:rsidR="00EC074E" w:rsidRDefault="00C075E9">
      <w:pPr>
        <w:pStyle w:val="ListBullet"/>
        <w:spacing w:after="60" w:line="252" w:lineRule="auto"/>
      </w:pPr>
      <w:r>
        <w:t>The demand-creation approach uses locally embedded COGs rather than relying only on top-down communication.</w:t>
      </w:r>
    </w:p>
    <w:p w14:paraId="440239A1" w14:textId="77777777" w:rsidR="00EC074E" w:rsidRDefault="00C075E9">
      <w:pPr>
        <w:pStyle w:val="ListBullet"/>
        <w:spacing w:after="60" w:line="252" w:lineRule="auto"/>
      </w:pPr>
      <w:r>
        <w:t>There is a strong learning orientation: the team expects to collect data on parent payment, school contracting, LBA functioning, and nutrition-related outcomes.</w:t>
      </w:r>
    </w:p>
    <w:sectPr w:rsidR="00EC074E"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3821A" w14:textId="77777777" w:rsidR="00C075E9" w:rsidRDefault="00C075E9">
      <w:pPr>
        <w:spacing w:after="0" w:line="240" w:lineRule="auto"/>
      </w:pPr>
      <w:r>
        <w:separator/>
      </w:r>
    </w:p>
  </w:endnote>
  <w:endnote w:type="continuationSeparator" w:id="0">
    <w:p w14:paraId="7AC12DE0" w14:textId="77777777" w:rsidR="00C075E9" w:rsidRDefault="00C07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A1AF" w14:textId="77777777" w:rsidR="00EC074E" w:rsidRDefault="00C075E9">
    <w:pPr>
      <w:pStyle w:val="Footer"/>
      <w:jc w:val="center"/>
    </w:pPr>
    <w:r>
      <w:t>School Meals Kenya coaching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397F8" w14:textId="77777777" w:rsidR="00C075E9" w:rsidRDefault="00C075E9">
      <w:pPr>
        <w:spacing w:after="0" w:line="240" w:lineRule="auto"/>
      </w:pPr>
      <w:r>
        <w:separator/>
      </w:r>
    </w:p>
  </w:footnote>
  <w:footnote w:type="continuationSeparator" w:id="0">
    <w:p w14:paraId="0F1DD042" w14:textId="77777777" w:rsidR="00C075E9" w:rsidRDefault="00C075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482697">
    <w:abstractNumId w:val="8"/>
  </w:num>
  <w:num w:numId="2" w16cid:durableId="125464845">
    <w:abstractNumId w:val="6"/>
  </w:num>
  <w:num w:numId="3" w16cid:durableId="1952273644">
    <w:abstractNumId w:val="5"/>
  </w:num>
  <w:num w:numId="4" w16cid:durableId="741410910">
    <w:abstractNumId w:val="4"/>
  </w:num>
  <w:num w:numId="5" w16cid:durableId="1188253065">
    <w:abstractNumId w:val="7"/>
  </w:num>
  <w:num w:numId="6" w16cid:durableId="1539275180">
    <w:abstractNumId w:val="3"/>
  </w:num>
  <w:num w:numId="7" w16cid:durableId="834687879">
    <w:abstractNumId w:val="2"/>
  </w:num>
  <w:num w:numId="8" w16cid:durableId="781874212">
    <w:abstractNumId w:val="1"/>
  </w:num>
  <w:num w:numId="9" w16cid:durableId="211258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534"/>
    <w:rsid w:val="00AA1D8D"/>
    <w:rsid w:val="00B35792"/>
    <w:rsid w:val="00B47730"/>
    <w:rsid w:val="00C075E9"/>
    <w:rsid w:val="00CB0664"/>
    <w:rsid w:val="00EC07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E66E6F-E414-412C-B83E-52C5ABEA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3783</Words>
  <Characters>21564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Otieno, Felix Owino (Alliance Bioversity-CIAT)</cp:lastModifiedBy>
  <cp:revision>2</cp:revision>
  <dcterms:created xsi:type="dcterms:W3CDTF">2013-12-23T23:15:00Z</dcterms:created>
  <dcterms:modified xsi:type="dcterms:W3CDTF">2026-07-06T22:21:00Z</dcterms:modified>
  <cp:category/>
</cp:coreProperties>
</file>