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57755" w14:textId="77777777" w:rsidR="00175188" w:rsidRDefault="00000000">
      <w:pPr>
        <w:jc w:val="center"/>
      </w:pPr>
      <w:r>
        <w:rPr>
          <w:rFonts w:ascii="Aptos Display" w:hAnsi="Aptos Display"/>
          <w:b/>
          <w:color w:val="1F4E79"/>
          <w:sz w:val="32"/>
        </w:rPr>
        <w:t>Coaching Notes: Solar-Powered Irrigation Systems and Farmer-Led Irrigation Scaling</w:t>
      </w:r>
    </w:p>
    <w:p w14:paraId="26541EE6" w14:textId="77777777" w:rsidR="00175188" w:rsidRDefault="00000000">
      <w:pPr>
        <w:pStyle w:val="Heading1"/>
        <w:spacing w:before="160" w:after="60"/>
      </w:pPr>
      <w:r>
        <w:t>1. Purpose and scope of these notes</w:t>
      </w:r>
    </w:p>
    <w:p w14:paraId="0432135B" w14:textId="77777777" w:rsidR="00175188" w:rsidRDefault="00000000">
      <w:r>
        <w:t>These notes synthesize the Kenya field visit and coaching discussions for the solar-powered irrigation systems (SPIS) and farmer-led irrigation scaling track. The focus is on what was learned from farmers, SunCulture-linked interactions, IWMI team reflections, and Richard/S4I coaching discussions. The profile is used only as background to understand the track framing and country pathways.</w:t>
      </w:r>
    </w:p>
    <w:p w14:paraId="101D4D92" w14:textId="77777777" w:rsidR="00175188" w:rsidRDefault="00000000">
      <w:r>
        <w:t>The track is framed around scaling private-sector-led SPIS and related farmer-led irrigation models in Kenya, Nigeria, and Ethiopia. The core package combines solar pumps or efficient irrigation technologies, financing models, digital or technical advisory, market linkage, extension strengthening, and policy support. The key scaling question is not only whether solar irrigation works technically, but whether a sustainable market, finance, service, and water-governance ecosystem can support adoption at scale.</w:t>
      </w:r>
    </w:p>
    <w:p w14:paraId="4F35A6C4" w14:textId="77777777" w:rsidR="00175188" w:rsidRDefault="00000000">
      <w:pPr>
        <w:pStyle w:val="Heading1"/>
        <w:spacing w:before="160" w:after="60"/>
      </w:pPr>
      <w:r>
        <w:t>2. Background from the profile</w:t>
      </w:r>
    </w:p>
    <w:p w14:paraId="584B870A" w14:textId="77777777" w:rsidR="00175188" w:rsidRDefault="00000000">
      <w:r>
        <w:t>The profile positions irrigation as a major climate resilience lever, while noting that less than 10 percent of farmland in Sub-Saharan Africa is irrigated. The track focuses mainly on bundled solar-powered irrigation systems, but keeps the pathway flexible enough to include other farmer-led irrigation options such as efficient fuel pumps, hybrid systems, and improved irrigation practices where these are more appropriate.</w:t>
      </w:r>
    </w:p>
    <w:p w14:paraId="648882AB" w14:textId="77777777" w:rsidR="00175188" w:rsidRDefault="00000000">
      <w:r>
        <w:t>The innovation package includes four main components: market-ready solar-powered irrigation pumps; financial innovations to de-risk smallholder investment; digital or technical advisory including pump-sizing support and irrigation management; and policy or extension support to promote water resilience and responsible investment. PayGo/PayOwn is central in some contexts but not treated as the only model.</w:t>
      </w:r>
    </w:p>
    <w:p w14:paraId="6409B382" w14:textId="77777777" w:rsidR="00175188" w:rsidRDefault="00000000">
      <w:r>
        <w:t>The 2026 ambition is large: about 140,000 farmers reached across Ethiopia, Nigeria, and Kenya through technical and extension support, market linkage and advisory services, and finance/policy support. By 2028, the profile projects cumulative reach of about 570,000 farmers. Kenya is positioned around a private-sector market pathway with SunCulture, finance facility development, technical support, and capacity building. Nigeria emphasizes PPPs, market linkage, de-risking, irrigation-as-a-service, and finance through NIRSAL and banks. Ethiopia emphasizes government coordination, micro-finance access, policy support, and supplier coordination through solar-sector platforms.</w:t>
      </w:r>
    </w:p>
    <w:p w14:paraId="633876D0" w14:textId="77777777" w:rsidR="00175188" w:rsidRDefault="00000000">
      <w:pPr>
        <w:pStyle w:val="Heading1"/>
        <w:spacing w:before="160" w:after="60"/>
      </w:pPr>
      <w:r>
        <w:t>3. Main field and partner discussions</w:t>
      </w:r>
    </w:p>
    <w:p w14:paraId="0832FBAF" w14:textId="77777777" w:rsidR="00175188" w:rsidRDefault="00000000">
      <w:pPr>
        <w:pStyle w:val="Heading2"/>
        <w:spacing w:before="100" w:after="60"/>
      </w:pPr>
      <w:r>
        <w:t>3.1 Farmer 1 / SunCulture customer and referral agent household</w:t>
      </w:r>
    </w:p>
    <w:p w14:paraId="26EE0E31" w14:textId="77777777" w:rsidR="00175188" w:rsidRDefault="00000000">
      <w:r>
        <w:t>The first farmer household showed how solar irrigation can move from a farm technology to a broader household and income asset. The household farms vegetables such as kales, spinach, capsicum, coriander and other crops. Before solar irrigation, they irrigated manually using watering cans. They later used electric and petrol-based pumping, but petrol and electricity were expensive. The household was introduced to SunCulture through a contact and first acquired a PayGo pump.</w:t>
      </w:r>
    </w:p>
    <w:p w14:paraId="15A32853" w14:textId="77777777" w:rsidR="00175188" w:rsidRDefault="00000000">
      <w:r>
        <w:t>The first PayGo pump was repossessed after the household failed to keep up with payments for about three months due to family expenses and lack of crops. The household returned to manual watering for a period and later acquired another SunCulture pump, this time through the wife or daughter because the first customer had been blacklisted for PayGo after repossession. This shows that PayGo can expand access, but early repayment stress is a real risk when production has not yet generated enough cash.</w:t>
      </w:r>
    </w:p>
    <w:p w14:paraId="2F4EA64F" w14:textId="77777777" w:rsidR="00175188" w:rsidRDefault="00000000">
      <w:r>
        <w:t>The household continued with SunCulture because of reliability and customer confidence. They had heard that other companies had cheaper pumps, but those were perceived as more likely to break down. SunCulture was seen as more reliable. The household now has two systems: one direct solar pump and another with battery back-up, lighting, and TV. The well is about 40 feet deep, and water is pumped directly to the field rather than into a tank. The battery system can run for around two to two-and-a-half hours without sun, but this is not enough for full irrigation if used alone.</w:t>
      </w:r>
    </w:p>
    <w:p w14:paraId="774EFA57" w14:textId="77777777" w:rsidR="00175188" w:rsidRDefault="00000000">
      <w:r>
        <w:t>The pump changed the scale and timing of production. The household reported moving from about 0.2 acres to about 0.75 acres under production, and from seasonal production to year-round cultivation. Crop choice did not change much, but the area and calendar changed significantly. Most produce is sold, with only a small share retained for household consumption.</w:t>
      </w:r>
    </w:p>
    <w:p w14:paraId="2BE6CD0C" w14:textId="77777777" w:rsidR="00175188" w:rsidRDefault="00000000">
      <w:r>
        <w:lastRenderedPageBreak/>
        <w:t>Benefits identified included more year-round production, less manual watering burden, lighting, some income gains, and the ability to build assets such as cattle. However, the household also reported that battery lending to neighbors reduces their own productive use of the battery and irrigation time. This is important because solar systems may generate community-level benefits that are not captured in normal adoption metrics, but may also reduce direct farm returns if assets are heavily shared without payment.</w:t>
      </w:r>
    </w:p>
    <w:p w14:paraId="50551F7F" w14:textId="77777777" w:rsidR="00175188" w:rsidRDefault="00000000">
      <w:r>
        <w:t>The gender dynamic was important. The discussion revealed that the wife makes most farm decisions and does much of the farm work, yet the conversation initially centered on the male farmer. The daughter also plays a key role in selling or referring SunCulture pumps. She reportedly sold or referred about 40 pumps over two years, earning commissions of about KES 5,000 per pump in some cases, while customer referrals can earn smaller commissions. The farm itself functions as a demonstration site: people see the pump working and then buy. This is a strong example of farmer-led demand creation and peer-based marketing.</w:t>
      </w:r>
    </w:p>
    <w:p w14:paraId="6CA638AE" w14:textId="77777777" w:rsidR="00175188" w:rsidRDefault="00000000">
      <w:r>
        <w:t>The household did not receive climate insurance because this was introduced later and applies to current PayGo customers. The current SunCulture package was described as including climate insurance and health insurance for PayGo customers. This is relevant because risk protection is becoming part of the bundle, but earlier adopters may not be covered.</w:t>
      </w:r>
    </w:p>
    <w:p w14:paraId="3FD95A7B" w14:textId="77777777" w:rsidR="00175188" w:rsidRDefault="00000000">
      <w:pPr>
        <w:pStyle w:val="Heading2"/>
        <w:spacing w:before="100" w:after="60"/>
      </w:pPr>
      <w:r>
        <w:t>3.2 Farmer 2 / second SunCulture customer household</w:t>
      </w:r>
    </w:p>
    <w:p w14:paraId="1070F07C" w14:textId="77777777" w:rsidR="00175188" w:rsidRDefault="00000000">
      <w:r>
        <w:t>The second farmer household had a more advanced irrigation and intensification story. They first bought a solar pump with two panels and no battery, which pumped water from a well into a tank and supported irrigation. They later bought a smaller battery-linked system that also supports domestic lighting and TV. They own two systems partly as a backup, partly because the battery system can be used at night and for domestic water and electricity needs.</w:t>
      </w:r>
    </w:p>
    <w:p w14:paraId="57C689AE" w14:textId="77777777" w:rsidR="00175188" w:rsidRDefault="00000000">
      <w:r>
        <w:t>The household grows and irrigates multiple crops, including maize, beans, spinach, capsicum, cassava, groundnuts, tomatoes and other vegetables. All are sold, although some produce is also used at home, shared with neighbors, or used through the church and community. Before acquiring the pump, they cultivated about one acre. After acquiring the SunCulture systems, they expanded to about three acres. The farmer emphasized time saving, but the discussion clarified that the major economic gain also came from expanding irrigated area and producing throughout the year.</w:t>
      </w:r>
    </w:p>
    <w:p w14:paraId="769CC0BC" w14:textId="77777777" w:rsidR="00175188" w:rsidRDefault="00000000">
      <w:r>
        <w:t>The household pays about KES 4,300 per month for the PayGo package over 24 months, using farm income rather than outside income. The first year was difficult, and the pump was switched off three times when payments were missed. The farmer had to find money from other sources, clear the arrears, and then the pump was reactivated. After the second system and expanded production, repayment became much easier. This suggests that PayGo repayment risk is highest in the early months before the farm system has fully adjusted and before cash flow has increased.</w:t>
      </w:r>
    </w:p>
    <w:p w14:paraId="769AD50B" w14:textId="77777777" w:rsidR="00175188" w:rsidRDefault="00000000">
      <w:r>
        <w:t>The farmer chose SunCulture because of after-sales service. Other machines were seen as unreliable, and some companies were perceived as slow or unwilling to repair faulty pumps. SunCulture was described as responsive, although repairs could take about a week because spares had to come from Nairobi and then an engineer would visit. Having a second pump reduced the production risk of downtime.</w:t>
      </w:r>
    </w:p>
    <w:p w14:paraId="2CEC04CD" w14:textId="77777777" w:rsidR="00175188" w:rsidRDefault="00000000">
      <w:r>
        <w:t>Water access is a key enabling condition. The household has a well and a tank. The water table fluctuates when rainfall is poor, but they reported that water has not completely run out. The tank was already there before the pump. This points to a major segmentation issue: households with wells, boreholes, shallow groundwater, rivers, or storage infrastructure are much better placed to adopt SPIS than households without reliable water access.</w:t>
      </w:r>
    </w:p>
    <w:p w14:paraId="75810569" w14:textId="77777777" w:rsidR="00175188" w:rsidRDefault="00000000">
      <w:r>
        <w:t>The farmer identified several reasons why more households do not adopt: lack of a nearby water source; inability to afford about KES 4,000 per month; lack of knowledge; fear of the workload that comes with intensified production; and fear of debt. This is an important reminder that solar pumps reduce one constraint, but adoption still depends on water source, finance, labor, knowledge, risk tolerance, and market orientation.</w:t>
      </w:r>
    </w:p>
    <w:p w14:paraId="71B97E49" w14:textId="77777777" w:rsidR="00175188" w:rsidRDefault="00000000">
      <w:r>
        <w:t>The household is embedded in farmer groups. The farmer teaches about 85-90 farmers across four groups, each with about 20 members on average. The groups have merry-go-round savings and are beginning to think about collective produce marketing. One better-off group reportedly has many members with wells and enough income that up to about 80 percent could potentially afford pumps if sensitized. This suggests that farmer groups could become a pathway for both demand creation and finance support, especially where groups can support members to dig wells, make PayGo payments, or buy pumps collectively.</w:t>
      </w:r>
    </w:p>
    <w:p w14:paraId="742E9B25" w14:textId="77777777" w:rsidR="00175188" w:rsidRDefault="00000000">
      <w:r>
        <w:t>The farmer receives agronomic support from an agroecology-oriented organization linked through the church. The support covers crop diversification, natural fertilizers, organic pesticides and better agronomic practices. This matters because irrigation alone does not guarantee profitability. Farmers need complementary advice on crop choice, rotation, pest management, soil fertility, and market planning.</w:t>
      </w:r>
    </w:p>
    <w:p w14:paraId="3B02D88C" w14:textId="77777777" w:rsidR="00175188" w:rsidRDefault="00000000">
      <w:r>
        <w:lastRenderedPageBreak/>
        <w:t>The farmer does not plan to expand land much because land has become expensive. Instead, the strategy is to intensify production on existing land. This is an important scaling lesson: the value proposition is not only area expansion, but also year-round production, better management, higher output per acre, and improved crop sequencing.</w:t>
      </w:r>
    </w:p>
    <w:p w14:paraId="773A414E" w14:textId="77777777" w:rsidR="00175188" w:rsidRDefault="00000000">
      <w:pPr>
        <w:pStyle w:val="Heading2"/>
        <w:spacing w:before="100" w:after="60"/>
      </w:pPr>
      <w:r>
        <w:t>3.3 IWMI team discussion - Kenya pathway</w:t>
      </w:r>
    </w:p>
    <w:p w14:paraId="10E8545C" w14:textId="77777777" w:rsidR="00175188" w:rsidRDefault="00000000">
      <w:r>
        <w:t>The Kenya pathway is centered on private-sector-led market expansion, with SunCulture as the main technology partner. IWMI does not fund SunCulture directly but works through agreements, technical assistance, capacity building, market support and advisory linkages. SunCulture is seen as motivated to expand the market and bundle products and services.</w:t>
      </w:r>
    </w:p>
    <w:p w14:paraId="3BF90D30" w14:textId="77777777" w:rsidR="00175188" w:rsidRDefault="00000000">
      <w:r>
        <w:t>Shamba Shape Up is the main awareness-raising channel in Kenya. The team described three episodes around the PayGo model, SunCulture, installation, and irrigation scheduling. The expectation is that this will expand outreach and support market demand. However, the coaching discussion highlighted the need to track whether media reach actually converts into leads, purchases, or farmer behavior change.</w:t>
      </w:r>
    </w:p>
    <w:p w14:paraId="5C7BB404" w14:textId="77777777" w:rsidR="00175188" w:rsidRDefault="00000000">
      <w:r>
        <w:t>I-Shamba is being explored as an additional outreach pathway. It previously sent SMS-based crop and irrigation advisory but had stopped because project funding ended. Reviving or linking to such services could help with irrigation scheduling and advisory support, but sustainability of the service model remains a question.</w:t>
      </w:r>
    </w:p>
    <w:p w14:paraId="10B5E588" w14:textId="77777777" w:rsidR="00175188" w:rsidRDefault="00000000">
      <w:r>
        <w:t>Strathmore University is the main capacity-building partner in Kenya. Its Energy Research Centre has taken up the SolAR Phase II curriculum for training vocational training center students and technicians. The team is also building training modules for different actors in the chain, including two Training of Trainers events and one online training. At the time of discussion, the team was still analyzing training needs across stakeholders.</w:t>
      </w:r>
    </w:p>
    <w:p w14:paraId="2D335159" w14:textId="77777777" w:rsidR="00175188" w:rsidRDefault="00000000">
      <w:r>
        <w:t>Other private-sector partnerships being explored include Schneider and Spowdi. These could diversify the supply ecosystem and reduce overdependence on one company, but the transcript does not yet provide enough detail on their roles, business models, or readiness.</w:t>
      </w:r>
    </w:p>
    <w:p w14:paraId="24C48CFD" w14:textId="77777777" w:rsidR="00175188" w:rsidRDefault="00000000">
      <w:pPr>
        <w:pStyle w:val="Heading2"/>
        <w:spacing w:before="100" w:after="60"/>
      </w:pPr>
      <w:r>
        <w:t>3.4 IWMI team discussion - Nigeria pathway</w:t>
      </w:r>
    </w:p>
    <w:p w14:paraId="23618E98" w14:textId="77777777" w:rsidR="00175188" w:rsidRDefault="00000000">
      <w:r>
        <w:t>The Nigeria pathway is more explicitly structured around PPPs, farmer clustering, off-taker linkages, and de-risked finance. The team described a new partnership with Farmer-Led, a private company selling mechanization equipment and solar innovations in Abuja and Kano. Farmer-Led wants to reach about 10,000 farmers by clustering farmers and linking them to off-takers.</w:t>
      </w:r>
    </w:p>
    <w:p w14:paraId="70A81809" w14:textId="77777777" w:rsidR="00175188" w:rsidRDefault="00000000">
      <w:r>
        <w:t>A major contextual driver in Nigeria is the removal of diesel subsidies. Farmers who use diesel pumps for rice irrigation are now looking for alternatives, which creates a potential market opening for solar or more efficient farmer-led irrigation models.</w:t>
      </w:r>
    </w:p>
    <w:p w14:paraId="7BAF01A9" w14:textId="77777777" w:rsidR="00175188" w:rsidRDefault="00000000">
      <w:r>
        <w:t>NIRSAL is expected to support Farmer-Led by de-risking financial institutions. Loans can be made to farmer clusters for equipment, including solar, and payment can come through off-takers. This depends on Farmer-Led successfully organizing farmer clusters. The team referenced pilots where clusters of two to three farmers jointly used a solar irrigation system. This suggests that Nigeria may be more suitable for cluster-based or irrigation-as-a-service models than individual ownership in some areas.</w:t>
      </w:r>
    </w:p>
    <w:p w14:paraId="03DF9BEC" w14:textId="77777777" w:rsidR="00175188" w:rsidRDefault="00000000">
      <w:pPr>
        <w:pStyle w:val="Heading2"/>
        <w:spacing w:before="100" w:after="60"/>
      </w:pPr>
      <w:r>
        <w:t>3.5 IWMI team discussion - Ethiopia pathway</w:t>
      </w:r>
    </w:p>
    <w:p w14:paraId="346D5306" w14:textId="77777777" w:rsidR="00175188" w:rsidRDefault="00000000">
      <w:r>
        <w:t>The Ethiopia pathway builds on work going back to 2016 under Ukama Ustawi and other projects. The team noted evidence of impacts on income, diversification of income sources, and nutrition. Ethiopia also has a more policy-driven environment: in 2020, the government introduced tax exemptions for solar panels as part of its green-energy agenda.</w:t>
      </w:r>
    </w:p>
    <w:p w14:paraId="6116E00C" w14:textId="77777777" w:rsidR="00175188" w:rsidRDefault="00000000">
      <w:r>
        <w:t>The team has assessed government programs, financial institutions, solar demand, regions, available solar innovations, and gaps. Financial institutions have reportedly been required by government to allocate products for agriculture, but this is not well known to suppliers or farmers. This creates an information and coordination bottleneck rather than only a finance-supply problem.</w:t>
      </w:r>
    </w:p>
    <w:p w14:paraId="459E2884" w14:textId="77777777" w:rsidR="00175188" w:rsidRDefault="00000000">
      <w:r>
        <w:t>ESEDA, the Ethiopian Solar Development Association, includes about 100 solar suppliers and links government programs with finance institutions. It offers PayGo and partial subsidy models, with district officials acting as intermediaries in transactions. This creates a different scaling architecture from Kenya, where the private company-customer model appears more mature.</w:t>
      </w:r>
    </w:p>
    <w:p w14:paraId="5F8528F7" w14:textId="77777777" w:rsidR="00175188" w:rsidRDefault="00000000">
      <w:r>
        <w:t>IWMI has started a Solar Innovation Scaling Platform that meets quarterly. The platform engages ESEDA to report on financing progress, which institutions are coming on board, and lessons from stakeholder engagements. The Ministry is the main partner for end-user capacity because it has large World Bank and IFAD projects on green innovations that include solar.</w:t>
      </w:r>
    </w:p>
    <w:p w14:paraId="128183D8" w14:textId="77777777" w:rsidR="00175188" w:rsidRDefault="00000000">
      <w:r>
        <w:lastRenderedPageBreak/>
        <w:t>The Solar Phase II project is working on solar suitability mapping, rolling out the solar sizing decision tool, and providing training manuals to partners. These tools could support more targeted market development and avoid promoting pumps in areas where water, crops, or market conditions do not support viable adoption.</w:t>
      </w:r>
    </w:p>
    <w:p w14:paraId="0DABAF77" w14:textId="77777777" w:rsidR="00175188" w:rsidRDefault="00000000">
      <w:pPr>
        <w:pStyle w:val="Heading1"/>
        <w:spacing w:before="160" w:after="60"/>
      </w:pPr>
      <w:r>
        <w:t>4. Key issues and bottlenecks from the field and discussions</w:t>
      </w:r>
    </w:p>
    <w:p w14:paraId="0E773257" w14:textId="77777777" w:rsidR="00175188" w:rsidRDefault="00000000">
      <w:pPr>
        <w:pStyle w:val="Heading3"/>
        <w:spacing w:before="100" w:after="60"/>
      </w:pPr>
      <w:r>
        <w:t>Water access is the first segmentation filter</w:t>
      </w:r>
    </w:p>
    <w:p w14:paraId="0DD2D95F" w14:textId="77777777" w:rsidR="00175188" w:rsidRDefault="00000000">
      <w:r>
        <w:t>Both farmer visits showed that having a well, shallow groundwater, borehole, river access, or tank/storage infrastructure is central to adoption. Farmers without reliable water sources cannot easily benefit from a solar pump, even if they understand its value. Pump market development therefore needs to be linked with water-source mapping, groundwater sustainability, and, where appropriate, support for wells or storage.</w:t>
      </w:r>
    </w:p>
    <w:p w14:paraId="6CE9D9F7" w14:textId="77777777" w:rsidR="00175188" w:rsidRDefault="00000000">
      <w:pPr>
        <w:pStyle w:val="Heading3"/>
        <w:spacing w:before="100" w:after="60"/>
      </w:pPr>
      <w:r>
        <w:t>Finance is not only about affordability; it is about early cash flow</w:t>
      </w:r>
    </w:p>
    <w:p w14:paraId="625BCB5E" w14:textId="77777777" w:rsidR="00175188" w:rsidRDefault="00000000">
      <w:r>
        <w:t>The PayGo model makes pumps accessible, but the first months can be risky because farm production has not yet increased enough to cover repayments. Farmer 1 had a pump repossessed, and Farmer 2 had the pump switched off three times during early repayment. The issue is not just total cost; it is timing of cash flow, grace periods, crop cycles, and whether farmers have bridge finance or other income during the transition period.</w:t>
      </w:r>
    </w:p>
    <w:p w14:paraId="7695D20D" w14:textId="77777777" w:rsidR="00175188" w:rsidRDefault="00000000">
      <w:pPr>
        <w:pStyle w:val="Heading3"/>
        <w:spacing w:before="100" w:after="60"/>
      </w:pPr>
      <w:r>
        <w:t>After-sales service is a major adoption driver</w:t>
      </w:r>
    </w:p>
    <w:p w14:paraId="6CA8350E" w14:textId="77777777" w:rsidR="00175188" w:rsidRDefault="00000000">
      <w:r>
        <w:t>Farmers placed strong emphasis on reliability, repairs, and service support. They chose SunCulture partly because they believed other companies had weaker service. This confirms that after-sales service, technicians, spare parts, and local repair networks are not secondary features; they are central to trust and scale.</w:t>
      </w:r>
    </w:p>
    <w:p w14:paraId="0C084F81" w14:textId="77777777" w:rsidR="00175188" w:rsidRDefault="00000000">
      <w:pPr>
        <w:pStyle w:val="Heading3"/>
        <w:spacing w:before="100" w:after="60"/>
      </w:pPr>
      <w:r>
        <w:t>SPIS adoption often requires complementary investments</w:t>
      </w:r>
    </w:p>
    <w:p w14:paraId="35DEAD41" w14:textId="77777777" w:rsidR="00175188" w:rsidRDefault="00000000">
      <w:r>
        <w:t>Farmers may need storage tanks, pipes, drip kits, wells, batteries, and agronomic inputs. The pump alone may not be enough to realize full benefits. The discussion with George suggested farmers often ask for additional items after buying the pump. If these complementary investments are not financed, adoption benefits may be limited.</w:t>
      </w:r>
    </w:p>
    <w:p w14:paraId="3AA96297" w14:textId="77777777" w:rsidR="00175188" w:rsidRDefault="00000000">
      <w:pPr>
        <w:pStyle w:val="Heading3"/>
        <w:spacing w:before="100" w:after="60"/>
      </w:pPr>
      <w:r>
        <w:t>Advisory and agronomy matter as much as the pump</w:t>
      </w:r>
    </w:p>
    <w:p w14:paraId="0F381BBE" w14:textId="77777777" w:rsidR="00175188" w:rsidRDefault="00000000">
      <w:r>
        <w:t>Solar irrigation enables production, but profitability depends on crop choice, timing, rotation, pest management, soil fertility, irrigation scheduling, and markets. Farmer 2 benefited from agricultural knowledge from school and external agroecology training. This suggests the scaling package must combine hardware with practical crop-water-market advisory.</w:t>
      </w:r>
    </w:p>
    <w:p w14:paraId="768CF62D" w14:textId="77777777" w:rsidR="00175188" w:rsidRDefault="00000000">
      <w:pPr>
        <w:pStyle w:val="Heading3"/>
        <w:spacing w:before="100" w:after="60"/>
      </w:pPr>
      <w:r>
        <w:t>Evidence on conversion from awareness to purchase is still weak</w:t>
      </w:r>
    </w:p>
    <w:p w14:paraId="18CD185B" w14:textId="77777777" w:rsidR="00175188" w:rsidRDefault="00000000">
      <w:r>
        <w:t>Shamba Shape Up and other media/outreach channels may reach many people, but the transcript emphasized that reach is not the same as adoption. The team needs evidence on how many viewers inquire, how many become leads, how many buy, and what additional support is needed to convert awareness into purchase and sustained use.</w:t>
      </w:r>
    </w:p>
    <w:p w14:paraId="0F2C2637" w14:textId="77777777" w:rsidR="00175188" w:rsidRDefault="00000000">
      <w:pPr>
        <w:pStyle w:val="Heading3"/>
        <w:spacing w:before="100" w:after="60"/>
      </w:pPr>
      <w:r>
        <w:t>Referral and farmer-to-farmer diffusion may be one of the strongest scaling channels</w:t>
      </w:r>
    </w:p>
    <w:p w14:paraId="2BC2C693" w14:textId="77777777" w:rsidR="00175188" w:rsidRDefault="00000000">
      <w:r>
        <w:t>Farmer 1 and the daughter/agent reportedly generated about 40 pump sales or referrals. Farmer 2 also teaches groups and could potentially influence 85-90 farmers. This suggests that farmer champions, agents, peer demos, and local influencer networks may be more important than formal outreach alone.</w:t>
      </w:r>
    </w:p>
    <w:p w14:paraId="6A48D0E3" w14:textId="77777777" w:rsidR="00175188" w:rsidRDefault="00000000">
      <w:pPr>
        <w:pStyle w:val="Heading3"/>
        <w:spacing w:before="100" w:after="60"/>
      </w:pPr>
      <w:r>
        <w:t>Water sustainability risk is not yet fully translated into market governance</w:t>
      </w:r>
    </w:p>
    <w:p w14:paraId="06828C5B" w14:textId="77777777" w:rsidR="00175188" w:rsidRDefault="00000000">
      <w:r>
        <w:t>There is ongoing work on water sustainability and pump density, but the discussion raised questions about enforceability. Even if analysis shows how many pumps an aquifer can sustain, it is unclear whether there is a practical policy or business mechanism to limit over-expansion in water-stressed areas.</w:t>
      </w:r>
    </w:p>
    <w:p w14:paraId="594F2426" w14:textId="77777777" w:rsidR="00175188" w:rsidRDefault="00000000">
      <w:pPr>
        <w:pStyle w:val="Heading3"/>
        <w:spacing w:before="100" w:after="60"/>
      </w:pPr>
      <w:r>
        <w:t>SunCulture business model and tipping point remain unclear from the transcript</w:t>
      </w:r>
    </w:p>
    <w:p w14:paraId="4C2A9C46" w14:textId="77777777" w:rsidR="00175188" w:rsidRDefault="00000000">
      <w:r>
        <w:t>SunCulture appears to have strong revenue and customer reach, but the coaching discussion raised unresolved questions about margins, subsidies, after-sales service costs, capital costs, impact-investor expectations, and the number of customers needed to become independently sustainable.</w:t>
      </w:r>
    </w:p>
    <w:p w14:paraId="19B9F470" w14:textId="77777777" w:rsidR="00175188" w:rsidRDefault="00000000">
      <w:pPr>
        <w:pStyle w:val="Heading3"/>
        <w:spacing w:before="100" w:after="60"/>
      </w:pPr>
      <w:r>
        <w:t>Country pathways are at different maturity levels</w:t>
      </w:r>
    </w:p>
    <w:p w14:paraId="0DE31959" w14:textId="77777777" w:rsidR="00175188" w:rsidRDefault="00000000">
      <w:r>
        <w:t>Kenya appears more commercially mature through SunCulture. Ethiopia has stronger government/platform architecture but may need supplier-finance-user coordination. Nigeria has an important market opening due to diesel subsidy removal and a de-risking pathway through NIRSAL, but the cluster/off-taker model still needs testing and operational clarity.</w:t>
      </w:r>
    </w:p>
    <w:p w14:paraId="5C5028B2" w14:textId="77777777" w:rsidR="00175188" w:rsidRDefault="00000000">
      <w:pPr>
        <w:pStyle w:val="Heading3"/>
        <w:spacing w:before="100" w:after="60"/>
      </w:pPr>
      <w:r>
        <w:lastRenderedPageBreak/>
        <w:t>GESI risks remain present despite strong farmer examples</w:t>
      </w:r>
    </w:p>
    <w:p w14:paraId="0A362BCE" w14:textId="77777777" w:rsidR="00175188" w:rsidRDefault="00000000">
      <w:r>
        <w:t>Women are central to farm labor and decision-making, but interviews can still default to male respondents. Women may also be excluded from finance, water access, ownership, or agent opportunities unless explicitly targeted. The female agent/referral example shows opportunity, but the system needs to deliberately build on it.</w:t>
      </w:r>
    </w:p>
    <w:p w14:paraId="5B3B29F8" w14:textId="77777777" w:rsidR="00175188" w:rsidRDefault="00000000">
      <w:pPr>
        <w:pStyle w:val="Heading3"/>
        <w:spacing w:before="100" w:after="60"/>
      </w:pPr>
      <w:r>
        <w:t>Scaling targets are very large relative to S4I catalytic resources</w:t>
      </w:r>
    </w:p>
    <w:p w14:paraId="07C5E869" w14:textId="77777777" w:rsidR="00175188" w:rsidRDefault="00000000">
      <w:r>
        <w:t>The track has ambitious multi-country targets but limited S4I funding. The coaching discussion therefore pushed the team to prioritize public goods, leverage partners, and avoid spreading limited resources across too many activities without clear additionality.</w:t>
      </w:r>
    </w:p>
    <w:p w14:paraId="4E71CB67" w14:textId="77777777" w:rsidR="00175188" w:rsidRDefault="00000000">
      <w:pPr>
        <w:pStyle w:val="Heading1"/>
        <w:spacing w:before="160" w:after="60"/>
      </w:pPr>
      <w:r>
        <w:t>5. Solutions and improvements proposed or discussed</w:t>
      </w:r>
    </w:p>
    <w:p w14:paraId="7E94FE4A" w14:textId="77777777" w:rsidR="00175188" w:rsidRDefault="00000000">
      <w:pPr>
        <w:pStyle w:val="Heading3"/>
        <w:spacing w:before="100" w:after="60"/>
      </w:pPr>
      <w:r>
        <w:t>Develop a clearer SunCulture/IWMI/S4I 5-10 year scaling and business-case conversation</w:t>
      </w:r>
    </w:p>
    <w:p w14:paraId="34EC4EDA" w14:textId="77777777" w:rsidR="00175188" w:rsidRDefault="00000000">
      <w:r>
        <w:t>The team should sit with SunCulture to understand its medium-term business model: customer acquisition costs, margins, cost of after-sales service, capital costs, role of impact investors, break-even customer numbers, repeat purchases, referrals, and expected role of carbon credits. This should clarify what SunCulture will do, what IWMI/S4I will do, what Strathmore will do, and where public agencies or financiers fit.</w:t>
      </w:r>
    </w:p>
    <w:p w14:paraId="6899BF4F" w14:textId="77777777" w:rsidR="00175188" w:rsidRDefault="00000000">
      <w:pPr>
        <w:pStyle w:val="Heading3"/>
        <w:spacing w:before="100" w:after="60"/>
      </w:pPr>
      <w:r>
        <w:t>Measure the referral multiplier and spontaneous adoption pathway</w:t>
      </w:r>
    </w:p>
    <w:p w14:paraId="6D4D29CA" w14:textId="77777777" w:rsidR="00175188" w:rsidRDefault="00000000">
      <w:r>
        <w:t>The field visits suggest a strong multiplier effect from visible success and referrals. The team should estimate how many additional farmers buy or seriously consider buying pumps for every direct customer, Shamba Shape Up viewer, demonstration farmer, or trained agent. This would shift learning from simple outreach counts to transformational scaling evidence.</w:t>
      </w:r>
    </w:p>
    <w:p w14:paraId="44492065" w14:textId="77777777" w:rsidR="00175188" w:rsidRDefault="00000000">
      <w:pPr>
        <w:pStyle w:val="Heading3"/>
        <w:spacing w:before="100" w:after="60"/>
      </w:pPr>
      <w:r>
        <w:t>Use farmer champions and local video-based influence</w:t>
      </w:r>
    </w:p>
    <w:p w14:paraId="446C9FD4" w14:textId="77777777" w:rsidR="00175188" w:rsidRDefault="00000000">
      <w:r>
        <w:t>The team discussed using farmer-made or farmer-centered videos shared through WhatsApp and local networks. Rather than relying only on national media, the model could create local solar irrigation influencers: farmers who show their pump, explain costs and benefits, and demonstrate real use. This could build trust and social recognition around adoption.</w:t>
      </w:r>
    </w:p>
    <w:p w14:paraId="163C5964" w14:textId="77777777" w:rsidR="00175188" w:rsidRDefault="00000000">
      <w:pPr>
        <w:pStyle w:val="Heading3"/>
        <w:spacing w:before="100" w:after="60"/>
      </w:pPr>
      <w:r>
        <w:t>Segment the market more precisely</w:t>
      </w:r>
    </w:p>
    <w:p w14:paraId="243E0ED9" w14:textId="77777777" w:rsidR="00175188" w:rsidRDefault="00000000">
      <w:r>
        <w:t>Suitability mapping should go beyond broad agroecological suitability. It should identify where farmers have shallow wells, boreholes, rivers or reliable water; where high-value crops are already grown or feasible; where market access is strong; where SunCulture or other suppliers have agents and technicians; and where water extraction risks are acceptable.</w:t>
      </w:r>
    </w:p>
    <w:p w14:paraId="7BCC532D" w14:textId="77777777" w:rsidR="00175188" w:rsidRDefault="00000000">
      <w:pPr>
        <w:pStyle w:val="Heading3"/>
        <w:spacing w:before="100" w:after="60"/>
      </w:pPr>
      <w:r>
        <w:t>Design early repayment support or grace-period logic around crop cycles</w:t>
      </w:r>
    </w:p>
    <w:p w14:paraId="689FD5F6" w14:textId="77777777" w:rsidR="00175188" w:rsidRDefault="00000000">
      <w:r>
        <w:t>The repossession and temporary shut-off stories suggest that early repayment is a weak point. Possible responses include crop-cycle-aligned payment schedules, grace periods, bridge finance, group savings support, flexible repayment during establishment, or clearer screening for farmers with enough initial cash flow.</w:t>
      </w:r>
    </w:p>
    <w:p w14:paraId="56E03EDE" w14:textId="77777777" w:rsidR="00175188" w:rsidRDefault="00000000">
      <w:pPr>
        <w:pStyle w:val="Heading3"/>
        <w:spacing w:before="100" w:after="60"/>
      </w:pPr>
      <w:r>
        <w:t>Bundle or link finance for complementary investments</w:t>
      </w:r>
    </w:p>
    <w:p w14:paraId="73D8B831" w14:textId="77777777" w:rsidR="00175188" w:rsidRDefault="00000000">
      <w:r>
        <w:t>Farmers may need tanks, pipes, drip kits, wells, batteries, or other irrigation accessories. Credit for these items should be assessed as part of the scaling package. If the pump is financed but the water-storage or distribution system is not, benefits may be limited.</w:t>
      </w:r>
    </w:p>
    <w:p w14:paraId="5C1F1F11" w14:textId="77777777" w:rsidR="00175188" w:rsidRDefault="00000000">
      <w:pPr>
        <w:pStyle w:val="Heading3"/>
        <w:spacing w:before="100" w:after="60"/>
      </w:pPr>
      <w:r>
        <w:t>Strengthen technician and repair ecosystems</w:t>
      </w:r>
    </w:p>
    <w:p w14:paraId="30F7C557" w14:textId="77777777" w:rsidR="00175188" w:rsidRDefault="00000000">
      <w:r>
        <w:t>The Strathmore partnership is important because technicians and repair capacity are critical to trust. Training should include not only installation but diagnosis, maintenance, spare parts, customer communication, and service turnaround. Private companies should be encouraged to localize spares and repair capacity where sales density is growing.</w:t>
      </w:r>
    </w:p>
    <w:p w14:paraId="2C5A5F3E" w14:textId="77777777" w:rsidR="00175188" w:rsidRDefault="00000000">
      <w:pPr>
        <w:pStyle w:val="Heading3"/>
        <w:spacing w:before="100" w:after="60"/>
      </w:pPr>
      <w:r>
        <w:t>Integrate irrigation scheduling and crop advisory into the package</w:t>
      </w:r>
    </w:p>
    <w:p w14:paraId="22048FB0" w14:textId="77777777" w:rsidR="00175188" w:rsidRDefault="00000000">
      <w:r>
        <w:t>Irrigation scheduling should be practical and context-specific. Farmers already use soil moisture observation and experience, but advisory can improve water efficiency and productivity. I-Shamba, Shamba Shape Up, Strathmore modules, SunCulture customer communication, or local extension actors could all support this.</w:t>
      </w:r>
    </w:p>
    <w:p w14:paraId="24091553" w14:textId="77777777" w:rsidR="00175188" w:rsidRDefault="00000000">
      <w:pPr>
        <w:pStyle w:val="Heading3"/>
        <w:spacing w:before="100" w:after="60"/>
      </w:pPr>
      <w:r>
        <w:t>Build group-based pathways where individual ownership is hard</w:t>
      </w:r>
    </w:p>
    <w:p w14:paraId="0B83E873" w14:textId="77777777" w:rsidR="00175188" w:rsidRDefault="00000000">
      <w:r>
        <w:t>Farmer groups with savings systems and water access could help members manage deposits, payments, group wells, shared pumps, or collective marketing. Nigeria also offers a cluster model where farmers share solar systems and repay through off-takers. These pathways should be tested where individual ownership is not viable.</w:t>
      </w:r>
    </w:p>
    <w:p w14:paraId="5E792857" w14:textId="77777777" w:rsidR="00175188" w:rsidRDefault="00000000">
      <w:pPr>
        <w:pStyle w:val="Heading3"/>
        <w:spacing w:before="100" w:after="60"/>
      </w:pPr>
      <w:r>
        <w:lastRenderedPageBreak/>
        <w:t>Connect water sustainability work to practical decision rules</w:t>
      </w:r>
    </w:p>
    <w:p w14:paraId="690D8405" w14:textId="77777777" w:rsidR="00175188" w:rsidRDefault="00000000">
      <w:r>
        <w:t>Ongoing water-extraction and water-table studies should lead to actionable guidance: where to promote, where to limit promotion, what pump density is safe, what monitoring is needed, and whether county or national policy can realistically enforce responsible expansion.</w:t>
      </w:r>
    </w:p>
    <w:p w14:paraId="468E9BAB" w14:textId="77777777" w:rsidR="00175188" w:rsidRDefault="00000000">
      <w:pPr>
        <w:pStyle w:val="Heading3"/>
        <w:spacing w:before="100" w:after="60"/>
      </w:pPr>
      <w:r>
        <w:t>Track scaling deep, not only scaling out</w:t>
      </w:r>
    </w:p>
    <w:p w14:paraId="67F6BF84" w14:textId="77777777" w:rsidR="00175188" w:rsidRDefault="00000000">
      <w:r>
        <w:t>Both visited households bought more than one system or added additional functionality such as batteries, lighting and TV. This suggests that existing customers can become repeat buyers, agents, and local influencers. MEL should capture additional systems, accessories, household energy uses, referrals, group leadership, and area expansion.</w:t>
      </w:r>
    </w:p>
    <w:p w14:paraId="001E2757" w14:textId="77777777" w:rsidR="00175188" w:rsidRDefault="00000000">
      <w:pPr>
        <w:pStyle w:val="Heading3"/>
        <w:spacing w:before="100" w:after="60"/>
      </w:pPr>
      <w:r>
        <w:t>Prioritize public goods for S4I funding</w:t>
      </w:r>
    </w:p>
    <w:p w14:paraId="1FD7D5CD" w14:textId="77777777" w:rsidR="00175188" w:rsidRDefault="00000000">
      <w:r>
        <w:t>Given limited resources, S4I should focus on what individual firms may not fully fund: market diagnostics, suitability mapping, water-risk analysis, policy engagement, training curricula, independent learning, conversion tracking, and coordination platforms. Direct company support should be justified by clear public-good benefits and leverage.</w:t>
      </w:r>
    </w:p>
    <w:p w14:paraId="3631DEDC" w14:textId="77777777" w:rsidR="00175188" w:rsidRDefault="00000000">
      <w:pPr>
        <w:pStyle w:val="Heading1"/>
        <w:spacing w:before="160" w:after="60"/>
      </w:pPr>
      <w:r>
        <w:t>6. Richard / S4I coaching analysis and strategic discussion</w:t>
      </w:r>
    </w:p>
    <w:p w14:paraId="323F676D" w14:textId="77777777" w:rsidR="00175188" w:rsidRDefault="00000000">
      <w:r>
        <w:t>The coaching discussion framed the track as relatively strong compared with many other innovation tracks. Richard emphasized that the solution meets a real felt demand, not only an expert-defined need. Farmers want labor savings, year-round production, and better water access. Governments also appear to treat irrigation and climate resilience as real priorities rather than only policy rhetoric.</w:t>
      </w:r>
    </w:p>
    <w:p w14:paraId="456FA1B4" w14:textId="77777777" w:rsidR="00175188" w:rsidRDefault="00000000">
      <w:r>
        <w:t>The innovation package was seen as well developed: lower-cost pumps, PayGo/PayOwn financing, after-sales service, climate or health insurance elements, farmer awareness, technical training, and policy support. The farmer visits confirmed the importance of after-sales service: reliability and repair response were more important in farmers’ explanations than abstract climate or productivity claims.</w:t>
      </w:r>
    </w:p>
    <w:p w14:paraId="669B5FD0" w14:textId="77777777" w:rsidR="00175188" w:rsidRDefault="00000000">
      <w:r>
        <w:t>The key strategic question is how to move from transition-to-scale to sustainable scaling. The team needs to know whether SunCulture and similar suppliers can eventually sustain market expansion without continuous support from IWMI, S4I, Strathmore, government, or donors. The discussion raised questions on SunCulture’s break-even point, gross margins, repair costs, investor capital, in-kind support, and whether subsidized credit or low-interest add-on finance is commercially viable.</w:t>
      </w:r>
    </w:p>
    <w:p w14:paraId="71B79E34" w14:textId="77777777" w:rsidR="00175188" w:rsidRDefault="00000000">
      <w:r>
        <w:t>Richard distinguished transactional scale from transformational scale. Transactional scale would mean reaching the number of farmers promised to a donor. Transformational scale would mean creating the market, service, finance, water-governance, and advisory systems that continue expanding after the project ends. For this track, transformational scale depends heavily on spontaneous adoption, referrals, local demonstrations, farmer champions, and whether the private sector has enough incentive to continue scaling.</w:t>
      </w:r>
    </w:p>
    <w:p w14:paraId="2C3D2375" w14:textId="77777777" w:rsidR="00175188" w:rsidRDefault="00000000">
      <w:r>
        <w:t>The coaching discussion strongly emphasized public goods. Market creation, independent evidence, water-risk assessment, customer segmentation, training curricula, and policy coordination may benefit many companies and public actors, so no single firm may have enough incentive to pay for them. These are areas where IWMI/S4I can add value.</w:t>
      </w:r>
    </w:p>
    <w:p w14:paraId="40860F01" w14:textId="77777777" w:rsidR="00175188" w:rsidRDefault="00000000">
      <w:r>
        <w:t>There was also a caution around carbon credits. Carbon finance may become important for SunCulture or other suppliers, but carbon markets are volatile. The team should test business models with and without major carbon-credit revenue. If the business case depends too heavily on carbon markets, the scaling pathway may be vulnerable.</w:t>
      </w:r>
    </w:p>
    <w:p w14:paraId="71FA687C" w14:textId="77777777" w:rsidR="00175188" w:rsidRDefault="00000000">
      <w:r>
        <w:t>The discussion also raised the possibility that SunCulture’s market is not only irrigation. Farmers value the battery for lighting, TV, domestic water, and community use. This can strengthen adoption but complicates impact measurement. The track should not ignore these “unintended” uses because they may be part of the real value proposition and may contribute to adoption.</w:t>
      </w:r>
    </w:p>
    <w:p w14:paraId="2E87560F" w14:textId="77777777" w:rsidR="00175188" w:rsidRDefault="00000000">
      <w:pPr>
        <w:pStyle w:val="Heading1"/>
        <w:spacing w:before="160" w:after="60"/>
      </w:pPr>
      <w:r>
        <w:t>7. Lessons learned for the scaling solution</w:t>
      </w:r>
    </w:p>
    <w:p w14:paraId="18FD3E6A" w14:textId="77777777" w:rsidR="00175188" w:rsidRDefault="00000000">
      <w:pPr>
        <w:pStyle w:val="Heading3"/>
        <w:spacing w:before="100" w:after="60"/>
      </w:pPr>
      <w:r>
        <w:t>The strongest proof of value is visible, local and social</w:t>
      </w:r>
    </w:p>
    <w:p w14:paraId="46502E7E" w14:textId="77777777" w:rsidR="00175188" w:rsidRDefault="00000000">
      <w:r>
        <w:t>Farmers believe other farmers. The visited farms were already functioning as demonstration sites. The strongest channel may be farmer-to-farmer observation, referrals, and local champions rather than only formal campaigns.</w:t>
      </w:r>
    </w:p>
    <w:p w14:paraId="0D146447" w14:textId="77777777" w:rsidR="00175188" w:rsidRDefault="00000000">
      <w:pPr>
        <w:pStyle w:val="Heading3"/>
        <w:spacing w:before="100" w:after="60"/>
      </w:pPr>
      <w:r>
        <w:t>Reliability and service are core to the product</w:t>
      </w:r>
    </w:p>
    <w:p w14:paraId="6257BCBA" w14:textId="77777777" w:rsidR="00175188" w:rsidRDefault="00000000">
      <w:r>
        <w:t>For machinery-based scaling, after-sales service is not a support function; it is part of the innovation package. A cheap pump without service may not compete with a more expensive pump that farmers trust.</w:t>
      </w:r>
    </w:p>
    <w:p w14:paraId="5AF0099B" w14:textId="77777777" w:rsidR="00175188" w:rsidRDefault="00000000">
      <w:pPr>
        <w:pStyle w:val="Heading3"/>
        <w:spacing w:before="100" w:after="60"/>
      </w:pPr>
      <w:r>
        <w:lastRenderedPageBreak/>
        <w:t>PayGo solves access but creates repayment timing risk</w:t>
      </w:r>
    </w:p>
    <w:p w14:paraId="45AD5793" w14:textId="77777777" w:rsidR="00175188" w:rsidRDefault="00000000">
      <w:r>
        <w:t>PayGo can overcome upfront cost barriers, but repayment schedules must match farm cash flow. The first season is especially risky. Repossession and shut-off can undermine trust and create exclusion.</w:t>
      </w:r>
    </w:p>
    <w:p w14:paraId="26057B32" w14:textId="77777777" w:rsidR="00175188" w:rsidRDefault="00000000">
      <w:pPr>
        <w:pStyle w:val="Heading3"/>
        <w:spacing w:before="100" w:after="60"/>
      </w:pPr>
      <w:r>
        <w:t>Solar irrigation is a platform technology, not only a pump</w:t>
      </w:r>
    </w:p>
    <w:p w14:paraId="3B53EA02" w14:textId="77777777" w:rsidR="00175188" w:rsidRDefault="00000000">
      <w:r>
        <w:t>The same asset may support irrigation, domestic lighting, TV, water supply, community battery lending, and social status. This broadens the value proposition and may increase adoption.</w:t>
      </w:r>
    </w:p>
    <w:p w14:paraId="1D451516" w14:textId="77777777" w:rsidR="00175188" w:rsidRDefault="00000000">
      <w:pPr>
        <w:pStyle w:val="Heading3"/>
        <w:spacing w:before="100" w:after="60"/>
      </w:pPr>
      <w:r>
        <w:t>The best adopters may already be semi-commercial farmers</w:t>
      </w:r>
    </w:p>
    <w:p w14:paraId="7E46B5F8" w14:textId="77777777" w:rsidR="00175188" w:rsidRDefault="00000000">
      <w:r>
        <w:t>Households that can intensify production, sell vegetables, access water, manage cash flow, and respond to advisory are more likely to benefit. The poorest farmers without water or cash flow may need a different model, such as group systems, service provision, or public support.</w:t>
      </w:r>
    </w:p>
    <w:p w14:paraId="79BFE825" w14:textId="77777777" w:rsidR="00175188" w:rsidRDefault="00000000">
      <w:pPr>
        <w:pStyle w:val="Heading3"/>
        <w:spacing w:before="100" w:after="60"/>
      </w:pPr>
      <w:r>
        <w:t>Scaling requires segmentation, not generic promotion</w:t>
      </w:r>
    </w:p>
    <w:p w14:paraId="5239D9C9" w14:textId="77777777" w:rsidR="00175188" w:rsidRDefault="00000000">
      <w:r>
        <w:t>Not every farmer is a good SPIS candidate. Promotion should focus where water, crop economics, market access, service networks, and repayment capacity align.</w:t>
      </w:r>
    </w:p>
    <w:p w14:paraId="1064E816" w14:textId="77777777" w:rsidR="00175188" w:rsidRDefault="00000000">
      <w:pPr>
        <w:pStyle w:val="Heading3"/>
        <w:spacing w:before="100" w:after="60"/>
      </w:pPr>
      <w:r>
        <w:t>Group and champion models are promising but need structure</w:t>
      </w:r>
    </w:p>
    <w:p w14:paraId="0A285555" w14:textId="77777777" w:rsidR="00175188" w:rsidRDefault="00000000">
      <w:r>
        <w:t>Farmer groups can support savings, sensitization, demonstrations, and possibly finance or shared ownership. But they need clear roles, trust, governance, and market orientation.</w:t>
      </w:r>
    </w:p>
    <w:p w14:paraId="485E6057" w14:textId="77777777" w:rsidR="00175188" w:rsidRDefault="00000000">
      <w:pPr>
        <w:pStyle w:val="Heading3"/>
        <w:spacing w:before="100" w:after="60"/>
      </w:pPr>
      <w:r>
        <w:t>Country models should not be forced into one template</w:t>
      </w:r>
    </w:p>
    <w:p w14:paraId="67A2C7DD" w14:textId="77777777" w:rsidR="00175188" w:rsidRDefault="00000000">
      <w:r>
        <w:t>Kenya’s mature private-sector pathway, Nigeria’s cluster/off-taker/de-risking pathway, and Ethiopia’s government-platform-supplier-finance pathway each require different coaching and evidence.</w:t>
      </w:r>
    </w:p>
    <w:p w14:paraId="6ADA5674" w14:textId="77777777" w:rsidR="00175188" w:rsidRDefault="00000000">
      <w:pPr>
        <w:pStyle w:val="Heading3"/>
        <w:spacing w:before="100" w:after="60"/>
      </w:pPr>
      <w:r>
        <w:t>S4I additionality should be explicit</w:t>
      </w:r>
    </w:p>
    <w:p w14:paraId="553392EE" w14:textId="77777777" w:rsidR="00175188" w:rsidRDefault="00000000">
      <w:r>
        <w:t>Because private firms are already investing, S4I should be clear about what it adds: public-good analytics, coordination, evidence, policy, water sustainability, inclusion, and training systems.</w:t>
      </w:r>
    </w:p>
    <w:p w14:paraId="369898CA" w14:textId="77777777" w:rsidR="00175188" w:rsidRDefault="00000000">
      <w:pPr>
        <w:pStyle w:val="Heading3"/>
        <w:spacing w:before="100" w:after="60"/>
      </w:pPr>
      <w:r>
        <w:t>Water sustainability has to be handled before scale creates harm</w:t>
      </w:r>
    </w:p>
    <w:p w14:paraId="172A5F8B" w14:textId="77777777" w:rsidR="00175188" w:rsidRDefault="00000000">
      <w:r>
        <w:t>If solar pumps scale quickly without water governance, the track could create groundwater risks. Water suitability and extraction monitoring should be integrated early, not added after the market is already large.</w:t>
      </w:r>
    </w:p>
    <w:p w14:paraId="4FA00906" w14:textId="77777777" w:rsidR="00175188" w:rsidRDefault="00000000">
      <w:pPr>
        <w:pStyle w:val="Heading1"/>
        <w:spacing w:before="160" w:after="60"/>
      </w:pPr>
      <w:r>
        <w:t>8. Primary risks and concerns</w:t>
      </w:r>
    </w:p>
    <w:p w14:paraId="4987077E" w14:textId="77777777" w:rsidR="00175188" w:rsidRDefault="00000000">
      <w:pPr>
        <w:pStyle w:val="Heading3"/>
        <w:spacing w:before="100" w:after="60"/>
      </w:pPr>
      <w:r>
        <w:t>Repayment and repossession risk</w:t>
      </w:r>
    </w:p>
    <w:p w14:paraId="5C373E38" w14:textId="77777777" w:rsidR="00175188" w:rsidRDefault="00000000">
      <w:r>
        <w:t>Farmers may fail to pay during the early months, especially before production increases. Repossession can exclude farmers from future PayGo and damage trust.</w:t>
      </w:r>
    </w:p>
    <w:p w14:paraId="4E5AD531" w14:textId="77777777" w:rsidR="00175188" w:rsidRDefault="00000000">
      <w:pPr>
        <w:pStyle w:val="Heading3"/>
        <w:spacing w:before="100" w:after="60"/>
      </w:pPr>
      <w:r>
        <w:t>Water-source exclusion</w:t>
      </w:r>
    </w:p>
    <w:p w14:paraId="0DB19364" w14:textId="77777777" w:rsidR="00175188" w:rsidRDefault="00000000">
      <w:r>
        <w:t>Farmers without wells, boreholes, rivers or storage may be excluded, even if they are otherwise interested. This could exclude poorer farmers and women.</w:t>
      </w:r>
    </w:p>
    <w:p w14:paraId="70702DF4" w14:textId="77777777" w:rsidR="00175188" w:rsidRDefault="00000000">
      <w:pPr>
        <w:pStyle w:val="Heading3"/>
        <w:spacing w:before="100" w:after="60"/>
      </w:pPr>
      <w:r>
        <w:t>Over-extraction and water sustainability</w:t>
      </w:r>
    </w:p>
    <w:p w14:paraId="1A9FE68C" w14:textId="77777777" w:rsidR="00175188" w:rsidRDefault="00000000">
      <w:r>
        <w:t>Successful scaling could increase groundwater abstraction. Without enforceable guidance or monitoring, market expansion may conflict with water resilience goals.</w:t>
      </w:r>
    </w:p>
    <w:p w14:paraId="035C5AE9" w14:textId="77777777" w:rsidR="00175188" w:rsidRDefault="00000000">
      <w:pPr>
        <w:pStyle w:val="Heading3"/>
        <w:spacing w:before="100" w:after="60"/>
      </w:pPr>
      <w:r>
        <w:t>Overdependence on one private company</w:t>
      </w:r>
    </w:p>
    <w:p w14:paraId="09184C27" w14:textId="77777777" w:rsidR="00175188" w:rsidRDefault="00000000">
      <w:r>
        <w:t>SunCulture is strong in Kenya, but the track should avoid equating success of the sector with one company. A healthy market may require multiple reliable suppliers and service providers.</w:t>
      </w:r>
    </w:p>
    <w:p w14:paraId="042E2DCB" w14:textId="77777777" w:rsidR="00175188" w:rsidRDefault="00000000">
      <w:pPr>
        <w:pStyle w:val="Heading3"/>
        <w:spacing w:before="100" w:after="60"/>
      </w:pPr>
      <w:r>
        <w:t>Unclear commercial sustainability</w:t>
      </w:r>
    </w:p>
    <w:p w14:paraId="7A9F6C01" w14:textId="77777777" w:rsidR="00175188" w:rsidRDefault="00000000">
      <w:r>
        <w:t>The transcript raises unresolved questions about low-interest finance, subsidies, in-kind support, investor capital, margins, repair costs, and long-term profitability.</w:t>
      </w:r>
    </w:p>
    <w:p w14:paraId="50FF6975" w14:textId="77777777" w:rsidR="00175188" w:rsidRDefault="00000000">
      <w:pPr>
        <w:pStyle w:val="Heading3"/>
        <w:spacing w:before="100" w:after="60"/>
      </w:pPr>
      <w:r>
        <w:t>Insufficient evidence on outreach conversion</w:t>
      </w:r>
    </w:p>
    <w:p w14:paraId="717D9A86" w14:textId="77777777" w:rsidR="00175188" w:rsidRDefault="00000000">
      <w:r>
        <w:t>Media campaigns may generate awareness but not necessarily adoption. Without conversion data, the team cannot know which outreach channels are cost-effective.</w:t>
      </w:r>
    </w:p>
    <w:p w14:paraId="7A9DEB88" w14:textId="77777777" w:rsidR="00175188" w:rsidRDefault="00000000">
      <w:pPr>
        <w:pStyle w:val="Heading3"/>
        <w:spacing w:before="100" w:after="60"/>
      </w:pPr>
      <w:r>
        <w:lastRenderedPageBreak/>
        <w:t>Advisory gap</w:t>
      </w:r>
    </w:p>
    <w:p w14:paraId="1761AD21" w14:textId="77777777" w:rsidR="00175188" w:rsidRDefault="00000000">
      <w:r>
        <w:t>Farmers need practical guidance on irrigation scheduling, crop rotation, pest control, soil fertility, and markets. Without this, pumps may not generate expected returns.</w:t>
      </w:r>
    </w:p>
    <w:p w14:paraId="193B940C" w14:textId="77777777" w:rsidR="00175188" w:rsidRDefault="00000000">
      <w:pPr>
        <w:pStyle w:val="Heading3"/>
        <w:spacing w:before="100" w:after="60"/>
      </w:pPr>
      <w:r>
        <w:t>GESI and decision-making visibility</w:t>
      </w:r>
    </w:p>
    <w:p w14:paraId="1DAB47A9" w14:textId="77777777" w:rsidR="00175188" w:rsidRDefault="00000000">
      <w:r>
        <w:t>Women may do much of the farming and decision-making but still be underrepresented in interviews, ownership, finance and training. Agent and entrepreneur pathways for women need deliberate support.</w:t>
      </w:r>
    </w:p>
    <w:p w14:paraId="4EE8D3D1" w14:textId="77777777" w:rsidR="00175188" w:rsidRDefault="00000000">
      <w:pPr>
        <w:pStyle w:val="Heading3"/>
        <w:spacing w:before="100" w:after="60"/>
      </w:pPr>
      <w:r>
        <w:t>Carbon-credit uncertainty</w:t>
      </w:r>
    </w:p>
    <w:p w14:paraId="5512E652" w14:textId="77777777" w:rsidR="00175188" w:rsidRDefault="00000000">
      <w:r>
        <w:t>If business models assume large carbon-credit revenues, volatility in carbon markets could undermine sustainability.</w:t>
      </w:r>
    </w:p>
    <w:p w14:paraId="511AB91F" w14:textId="77777777" w:rsidR="00175188" w:rsidRDefault="00000000">
      <w:pPr>
        <w:pStyle w:val="Heading3"/>
        <w:spacing w:before="100" w:after="60"/>
      </w:pPr>
      <w:r>
        <w:t>Limited S4I resources relative to ambition</w:t>
      </w:r>
    </w:p>
    <w:p w14:paraId="093CB23B" w14:textId="77777777" w:rsidR="00175188" w:rsidRDefault="00000000">
      <w:r>
        <w:t>The track spans three countries and multiple pathways. Without prioritization, resources may be too thin to influence the most binding bottlenecks.</w:t>
      </w:r>
    </w:p>
    <w:sectPr w:rsidR="0017518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8AF35" w14:textId="77777777" w:rsidR="003C172D" w:rsidRDefault="003C172D">
      <w:pPr>
        <w:spacing w:after="0" w:line="240" w:lineRule="auto"/>
      </w:pPr>
      <w:r>
        <w:separator/>
      </w:r>
    </w:p>
  </w:endnote>
  <w:endnote w:type="continuationSeparator" w:id="0">
    <w:p w14:paraId="4F6D1F99" w14:textId="77777777" w:rsidR="003C172D" w:rsidRDefault="003C1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76BF7" w14:textId="77777777" w:rsidR="00175188" w:rsidRDefault="00000000">
    <w:pPr>
      <w:pStyle w:val="Footer"/>
      <w:jc w:val="center"/>
    </w:pPr>
    <w:r>
      <w:fldChar w:fldCharType="begin"/>
    </w:r>
    <w:r>
      <w:instrText>PAGE</w:instrText>
    </w:r>
    <w:r w:rsidR="00652D11">
      <w:fldChar w:fldCharType="separate"/>
    </w:r>
    <w:r w:rsidR="00652D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96539" w14:textId="77777777" w:rsidR="003C172D" w:rsidRDefault="003C172D">
      <w:pPr>
        <w:spacing w:after="0" w:line="240" w:lineRule="auto"/>
      </w:pPr>
      <w:r>
        <w:separator/>
      </w:r>
    </w:p>
  </w:footnote>
  <w:footnote w:type="continuationSeparator" w:id="0">
    <w:p w14:paraId="7900BE66" w14:textId="77777777" w:rsidR="003C172D" w:rsidRDefault="003C17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209968">
    <w:abstractNumId w:val="8"/>
  </w:num>
  <w:num w:numId="2" w16cid:durableId="1235386180">
    <w:abstractNumId w:val="6"/>
  </w:num>
  <w:num w:numId="3" w16cid:durableId="700127105">
    <w:abstractNumId w:val="5"/>
  </w:num>
  <w:num w:numId="4" w16cid:durableId="2043046908">
    <w:abstractNumId w:val="4"/>
  </w:num>
  <w:num w:numId="5" w16cid:durableId="936138774">
    <w:abstractNumId w:val="7"/>
  </w:num>
  <w:num w:numId="6" w16cid:durableId="546113327">
    <w:abstractNumId w:val="3"/>
  </w:num>
  <w:num w:numId="7" w16cid:durableId="348063074">
    <w:abstractNumId w:val="2"/>
  </w:num>
  <w:num w:numId="8" w16cid:durableId="729230985">
    <w:abstractNumId w:val="1"/>
  </w:num>
  <w:num w:numId="9" w16cid:durableId="1173715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188"/>
    <w:rsid w:val="001B1F6F"/>
    <w:rsid w:val="0029639D"/>
    <w:rsid w:val="00326F90"/>
    <w:rsid w:val="003C172D"/>
    <w:rsid w:val="00652D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E2D25"/>
  <w14:defaultImageDpi w14:val="300"/>
  <w15:docId w15:val="{5ACD7F00-60AB-4CC2-8DC5-C6222CB7C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4820</Words>
  <Characters>27475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Irrigation Africa Coaching Notes</dc:title>
  <dc:subject>Coaching notes</dc:subject>
  <dc:creator>OpenAI</dc:creator>
  <cp:keywords>solar irrigation, SPIS, SunCulture, IWMI, S4I</cp:keywords>
  <dc:description>generated by python-docx</dc:description>
  <cp:lastModifiedBy>Otieno, Felix Owino (Alliance Bioversity-CIAT)</cp:lastModifiedBy>
  <cp:revision>2</cp:revision>
  <dcterms:created xsi:type="dcterms:W3CDTF">2013-12-23T23:15:00Z</dcterms:created>
  <dcterms:modified xsi:type="dcterms:W3CDTF">2026-07-06T22:12:00Z</dcterms:modified>
  <cp:category/>
</cp:coreProperties>
</file>