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B54C5" w14:textId="77777777" w:rsidR="00227793" w:rsidRDefault="00227793">
      <w:pPr>
        <w:spacing w:after="60"/>
        <w:jc w:val="center"/>
        <w:rPr>
          <w:b/>
          <w:sz w:val="32"/>
        </w:rPr>
      </w:pPr>
    </w:p>
    <w:p w14:paraId="1653DE75" w14:textId="77777777" w:rsidR="00227793" w:rsidRDefault="00227793">
      <w:pPr>
        <w:spacing w:after="60"/>
        <w:jc w:val="center"/>
        <w:rPr>
          <w:b/>
          <w:sz w:val="32"/>
        </w:rPr>
      </w:pPr>
    </w:p>
    <w:p w14:paraId="7384E192" w14:textId="77777777" w:rsidR="00227793" w:rsidRDefault="00227793">
      <w:pPr>
        <w:spacing w:after="60"/>
        <w:jc w:val="center"/>
        <w:rPr>
          <w:b/>
          <w:sz w:val="32"/>
          <w:u w:val="single"/>
        </w:rPr>
      </w:pPr>
    </w:p>
    <w:p w14:paraId="4D9724EE" w14:textId="77777777" w:rsidR="00227793" w:rsidRDefault="00227793">
      <w:pPr>
        <w:spacing w:after="60"/>
        <w:jc w:val="center"/>
        <w:rPr>
          <w:b/>
          <w:sz w:val="32"/>
          <w:u w:val="single"/>
        </w:rPr>
      </w:pPr>
    </w:p>
    <w:p w14:paraId="0C53365D" w14:textId="77777777" w:rsidR="00227793" w:rsidRDefault="00227793">
      <w:pPr>
        <w:spacing w:after="60"/>
        <w:jc w:val="center"/>
        <w:rPr>
          <w:b/>
          <w:sz w:val="32"/>
          <w:u w:val="single"/>
        </w:rPr>
      </w:pPr>
    </w:p>
    <w:p w14:paraId="2564F09D" w14:textId="3A7096BA" w:rsidR="005568FB" w:rsidRPr="00227793" w:rsidRDefault="00C82495">
      <w:pPr>
        <w:spacing w:after="60"/>
        <w:jc w:val="center"/>
        <w:rPr>
          <w:u w:val="single"/>
        </w:rPr>
      </w:pPr>
      <w:r w:rsidRPr="00227793">
        <w:rPr>
          <w:b/>
          <w:sz w:val="32"/>
          <w:u w:val="single"/>
        </w:rPr>
        <w:t>Egypt Barley-Enriched Balady Bread Scaling Solution</w:t>
      </w:r>
    </w:p>
    <w:p w14:paraId="5581DC49" w14:textId="77777777" w:rsidR="00227793" w:rsidRDefault="00227793">
      <w:pPr>
        <w:spacing w:after="60"/>
        <w:jc w:val="center"/>
        <w:rPr>
          <w:b/>
          <w:sz w:val="26"/>
        </w:rPr>
      </w:pPr>
    </w:p>
    <w:p w14:paraId="2C6F72C1" w14:textId="738BCE9A" w:rsidR="005568FB" w:rsidRPr="00227793" w:rsidRDefault="00C82495">
      <w:pPr>
        <w:spacing w:after="60"/>
        <w:jc w:val="center"/>
        <w:rPr>
          <w:i/>
          <w:iCs/>
          <w:sz w:val="24"/>
          <w:szCs w:val="24"/>
        </w:rPr>
      </w:pPr>
      <w:r w:rsidRPr="00227793">
        <w:rPr>
          <w:b/>
          <w:i/>
          <w:iCs/>
          <w:sz w:val="28"/>
          <w:szCs w:val="24"/>
        </w:rPr>
        <w:t>Scaling Coaching Assessment, Bottlenecks, and Recommendations</w:t>
      </w:r>
    </w:p>
    <w:p w14:paraId="58BC7E9A" w14:textId="77777777" w:rsidR="00227793" w:rsidRDefault="00227793">
      <w:pPr>
        <w:spacing w:after="60"/>
        <w:jc w:val="center"/>
      </w:pPr>
    </w:p>
    <w:p w14:paraId="5F4EE562" w14:textId="16F57438" w:rsidR="00227793" w:rsidRPr="00227793" w:rsidRDefault="00227793">
      <w:pPr>
        <w:spacing w:after="60"/>
        <w:jc w:val="center"/>
        <w:rPr>
          <w:i/>
          <w:iCs/>
          <w:sz w:val="24"/>
          <w:szCs w:val="24"/>
        </w:rPr>
      </w:pPr>
      <w:r w:rsidRPr="00227793">
        <w:rPr>
          <w:i/>
          <w:iCs/>
          <w:sz w:val="24"/>
          <w:szCs w:val="24"/>
        </w:rPr>
        <w:t>Submitted to the CGIAR Scaling for Impact team</w:t>
      </w:r>
    </w:p>
    <w:p w14:paraId="5F8FB6F2" w14:textId="35BEDC08" w:rsidR="00227793" w:rsidRPr="00227793" w:rsidRDefault="00227793">
      <w:pPr>
        <w:spacing w:after="60"/>
        <w:jc w:val="center"/>
        <w:rPr>
          <w:sz w:val="24"/>
          <w:szCs w:val="24"/>
        </w:rPr>
      </w:pPr>
    </w:p>
    <w:p w14:paraId="41644AD0" w14:textId="34F99B74" w:rsidR="00227793" w:rsidRPr="00227793" w:rsidRDefault="00227793">
      <w:pPr>
        <w:spacing w:after="60"/>
        <w:jc w:val="center"/>
        <w:rPr>
          <w:sz w:val="24"/>
          <w:szCs w:val="24"/>
        </w:rPr>
      </w:pPr>
      <w:proofErr w:type="gramStart"/>
      <w:r w:rsidRPr="00227793">
        <w:rPr>
          <w:sz w:val="24"/>
          <w:szCs w:val="24"/>
        </w:rPr>
        <w:t>B</w:t>
      </w:r>
      <w:r>
        <w:rPr>
          <w:sz w:val="24"/>
          <w:szCs w:val="24"/>
        </w:rPr>
        <w:t>y</w:t>
      </w:r>
      <w:proofErr w:type="gramEnd"/>
    </w:p>
    <w:p w14:paraId="26E60F9A" w14:textId="77777777" w:rsidR="00227793" w:rsidRPr="00227793" w:rsidRDefault="00227793">
      <w:pPr>
        <w:spacing w:after="60"/>
        <w:jc w:val="center"/>
        <w:rPr>
          <w:sz w:val="24"/>
          <w:szCs w:val="24"/>
        </w:rPr>
      </w:pPr>
    </w:p>
    <w:p w14:paraId="0D2EF74E" w14:textId="77777777" w:rsidR="00227793" w:rsidRDefault="00227793">
      <w:pPr>
        <w:spacing w:after="60"/>
        <w:jc w:val="center"/>
        <w:rPr>
          <w:sz w:val="24"/>
          <w:szCs w:val="24"/>
        </w:rPr>
      </w:pPr>
    </w:p>
    <w:p w14:paraId="4A922709" w14:textId="5DD229F9" w:rsidR="005568FB" w:rsidRDefault="00C82495">
      <w:pPr>
        <w:spacing w:after="60"/>
        <w:jc w:val="center"/>
        <w:rPr>
          <w:sz w:val="24"/>
          <w:szCs w:val="24"/>
        </w:rPr>
      </w:pPr>
      <w:r w:rsidRPr="00227793">
        <w:rPr>
          <w:sz w:val="24"/>
          <w:szCs w:val="24"/>
        </w:rPr>
        <w:t xml:space="preserve">Dr. Richard Kohl, </w:t>
      </w:r>
      <w:r w:rsidR="00227793">
        <w:rPr>
          <w:sz w:val="24"/>
          <w:szCs w:val="24"/>
        </w:rPr>
        <w:br/>
      </w:r>
      <w:r w:rsidRPr="00227793">
        <w:rPr>
          <w:sz w:val="24"/>
          <w:szCs w:val="24"/>
        </w:rPr>
        <w:t>Strategy and Scale LLC</w:t>
      </w:r>
    </w:p>
    <w:p w14:paraId="5CB9EFE5" w14:textId="77777777" w:rsidR="00227793" w:rsidRDefault="00227793">
      <w:pPr>
        <w:spacing w:after="60"/>
        <w:jc w:val="center"/>
        <w:rPr>
          <w:sz w:val="24"/>
          <w:szCs w:val="24"/>
        </w:rPr>
      </w:pPr>
    </w:p>
    <w:p w14:paraId="60E2807D" w14:textId="77777777" w:rsidR="00227793" w:rsidRPr="00227793" w:rsidRDefault="00227793">
      <w:pPr>
        <w:spacing w:after="60"/>
        <w:jc w:val="center"/>
        <w:rPr>
          <w:sz w:val="24"/>
          <w:szCs w:val="24"/>
        </w:rPr>
      </w:pPr>
    </w:p>
    <w:p w14:paraId="63F064B3" w14:textId="70DBAA6D" w:rsidR="005568FB" w:rsidRPr="00227793" w:rsidRDefault="00C82495">
      <w:pPr>
        <w:spacing w:after="60"/>
        <w:jc w:val="center"/>
        <w:rPr>
          <w:sz w:val="24"/>
          <w:szCs w:val="24"/>
        </w:rPr>
      </w:pPr>
      <w:r w:rsidRPr="00227793">
        <w:rPr>
          <w:sz w:val="24"/>
          <w:szCs w:val="24"/>
        </w:rPr>
        <w:t>1</w:t>
      </w:r>
      <w:r w:rsidR="00271250">
        <w:rPr>
          <w:sz w:val="24"/>
          <w:szCs w:val="24"/>
        </w:rPr>
        <w:t>5</w:t>
      </w:r>
      <w:r w:rsidRPr="00227793">
        <w:rPr>
          <w:sz w:val="24"/>
          <w:szCs w:val="24"/>
        </w:rPr>
        <w:t xml:space="preserve"> July 2026</w:t>
      </w:r>
    </w:p>
    <w:p w14:paraId="40843DD3" w14:textId="77777777" w:rsidR="00227793" w:rsidRDefault="00227793">
      <w:pPr>
        <w:spacing w:after="200" w:line="276" w:lineRule="auto"/>
        <w:rPr>
          <w:rFonts w:cstheme="majorBidi"/>
          <w:b/>
          <w:bCs/>
          <w:szCs w:val="28"/>
        </w:rPr>
      </w:pPr>
      <w:r>
        <w:br w:type="page"/>
      </w:r>
    </w:p>
    <w:p w14:paraId="18541E77" w14:textId="5EFA39B2" w:rsidR="005568FB" w:rsidRPr="00271250" w:rsidRDefault="00C82495">
      <w:pPr>
        <w:pStyle w:val="Heading1"/>
      </w:pPr>
      <w:r w:rsidRPr="00271250">
        <w:lastRenderedPageBreak/>
        <w:t>Executive Summary</w:t>
      </w:r>
    </w:p>
    <w:p w14:paraId="6E21833C" w14:textId="77777777" w:rsidR="005568FB" w:rsidRDefault="00C82495" w:rsidP="00271250">
      <w:pPr>
        <w:pStyle w:val="ListBullet"/>
        <w:spacing w:after="120" w:line="264" w:lineRule="auto"/>
        <w:contextualSpacing w:val="0"/>
      </w:pPr>
      <w:r>
        <w:rPr>
          <w:b/>
        </w:rPr>
        <w:t>Strong concept, real national relevance.</w:t>
      </w:r>
      <w:r>
        <w:t xml:space="preserve"> The barley-enriched balady bread innovation addresses one of the most important food-system issues in Egypt: dependence on imported wheat for the subsidized bread system. The core idea is strategically attractive because it links climate-resilient barley production on marginal or saline land with the possibility of reducing wheat imports, easing foreign-exchange pressure, improving dietary fiber, and creating a new market for farmers in governorates where wheat is less well suited.</w:t>
      </w:r>
    </w:p>
    <w:p w14:paraId="11617850" w14:textId="0456EE4B" w:rsidR="007541B2" w:rsidRDefault="00C82495" w:rsidP="00271250">
      <w:pPr>
        <w:pStyle w:val="ListBullet"/>
        <w:spacing w:after="120" w:line="264" w:lineRule="auto"/>
        <w:contextualSpacing w:val="0"/>
      </w:pPr>
      <w:r w:rsidRPr="00841CAE">
        <w:rPr>
          <w:b/>
          <w:bCs/>
        </w:rPr>
        <w:t xml:space="preserve">The </w:t>
      </w:r>
      <w:r w:rsidR="00841CAE" w:rsidRPr="00841CAE">
        <w:rPr>
          <w:b/>
          <w:bCs/>
        </w:rPr>
        <w:t>Scaling Strategy and Goals</w:t>
      </w:r>
      <w:r w:rsidRPr="00841CAE">
        <w:rPr>
          <w:b/>
          <w:bCs/>
        </w:rPr>
        <w:t xml:space="preserve"> </w:t>
      </w:r>
      <w:r w:rsidR="00841CAE" w:rsidRPr="00841CAE">
        <w:rPr>
          <w:b/>
          <w:bCs/>
        </w:rPr>
        <w:t>have</w:t>
      </w:r>
      <w:r w:rsidRPr="00841CAE">
        <w:rPr>
          <w:b/>
          <w:bCs/>
        </w:rPr>
        <w:t xml:space="preserve"> changed substantially</w:t>
      </w:r>
      <w:r>
        <w:t xml:space="preserve"> since the Expression of Interest and </w:t>
      </w:r>
      <w:proofErr w:type="gramStart"/>
      <w:r>
        <w:t>inception</w:t>
      </w:r>
      <w:proofErr w:type="gramEnd"/>
      <w:r>
        <w:t xml:space="preserve"> workshop. The original proposal was framed as a national scaling track built around integration into the balady bread subsidy system, with MoSIT and the national bread value chain as central actors and a target of reaching 1.5 million consumers. </w:t>
      </w:r>
      <w:r w:rsidR="00135C64">
        <w:t>While that remains the long-term approach, t</w:t>
      </w:r>
      <w:r>
        <w:t xml:space="preserve">he current practical strategy </w:t>
      </w:r>
      <w:r w:rsidR="00135C64">
        <w:t xml:space="preserve">for the next year </w:t>
      </w:r>
      <w:r>
        <w:t>has shifted toward testing</w:t>
      </w:r>
      <w:r w:rsidR="00027DA9">
        <w:t xml:space="preserve"> in</w:t>
      </w:r>
      <w:r>
        <w:t xml:space="preserve"> two pilot governorates </w:t>
      </w:r>
      <w:proofErr w:type="gramStart"/>
      <w:r w:rsidR="00027DA9">
        <w:t>a</w:t>
      </w:r>
      <w:r>
        <w:t xml:space="preserve"> 50-acre production demonstrations</w:t>
      </w:r>
      <w:r w:rsidR="00027DA9">
        <w:t xml:space="preserve"> (financed by ICARDA)</w:t>
      </w:r>
      <w:proofErr w:type="gramEnd"/>
      <w:r w:rsidR="00027DA9">
        <w:t xml:space="preserve"> combined with</w:t>
      </w:r>
      <w:r>
        <w:t xml:space="preserve"> consumer acceptance work</w:t>
      </w:r>
      <w:r w:rsidR="00503419">
        <w:t xml:space="preserve"> and improvements in the barley seed system (quantity and improved varieties)</w:t>
      </w:r>
      <w:r w:rsidR="00BD6254">
        <w:t xml:space="preserve">.  </w:t>
      </w:r>
      <w:r w:rsidR="003927F9">
        <w:t>This is not a minor implementation adjustment. It is a major change in the scaling pathway and stage of readiness.</w:t>
      </w:r>
    </w:p>
    <w:p w14:paraId="26387008" w14:textId="5430247A" w:rsidR="005568FB" w:rsidRDefault="00C82495" w:rsidP="00271250">
      <w:pPr>
        <w:pStyle w:val="ListBullet"/>
        <w:spacing w:after="120" w:line="264" w:lineRule="auto"/>
        <w:contextualSpacing w:val="0"/>
      </w:pPr>
      <w:r>
        <w:t>The strongest evidence is technical and plausibility evidence, not yet scaling evidence. ICARDA and ARC/FTRI appear to have evidence that 10-20 percent barley blends can be technically produced, that barley can be milled and blended with wheat, that consumer acceptance is plausible at low blend levels, and that barley is agronomically suitable for some marginal and saline areas. That is enough to justify continued work</w:t>
      </w:r>
      <w:r w:rsidR="009274D3">
        <w:t>, though whether this</w:t>
      </w:r>
      <w:r w:rsidR="00E902ED">
        <w:t xml:space="preserve"> long-term work</w:t>
      </w:r>
      <w:r w:rsidR="009274D3">
        <w:t xml:space="preserve"> should be funded by AoW2</w:t>
      </w:r>
      <w:r w:rsidR="00E902ED">
        <w:t xml:space="preserve"> or even S4I is another question</w:t>
      </w:r>
      <w:r>
        <w:t>. It is not enough to justify claims that the model is ready for national scaling or that the Egyptian state will integrate barley into the subsidized bread value chain.</w:t>
      </w:r>
    </w:p>
    <w:p w14:paraId="5E2EA4B1" w14:textId="4FBECC2C" w:rsidR="005568FB" w:rsidRDefault="00C82495" w:rsidP="00271250">
      <w:pPr>
        <w:pStyle w:val="ListBullet"/>
        <w:spacing w:after="120" w:line="264" w:lineRule="auto"/>
        <w:contextualSpacing w:val="0"/>
      </w:pPr>
      <w:r>
        <w:rPr>
          <w:b/>
        </w:rPr>
        <w:t>The binding bottleneck is political economy, not agronomy.</w:t>
      </w:r>
      <w:r>
        <w:t xml:space="preserve"> The crucial question is not whether barley can grow, whether ICARDA has promising varieties, or whether researchers can bake acceptable bread. The crucial question is whether the Egyptian government will decide to treat barley as a strategic commodity, contract farmers, procure barley, permit or require mills to process and blend it, allow subsidized bakeries to sell it, and take the political risk of changing the composition of the most sensitive food product in the country. That decision is likely to require support from actors well above the governorate Directorates of Agriculture and ARC.</w:t>
      </w:r>
      <w:r w:rsidR="00DD7211">
        <w:t xml:space="preserve"> It is not clear what decisions would need to be made, who the ultimate decision makers are, what their concerns, considerations or interests are, what evidence or information they would need to see, </w:t>
      </w:r>
      <w:r w:rsidR="001D2447">
        <w:t>i.e.</w:t>
      </w:r>
      <w:r w:rsidR="00DD7211">
        <w:t xml:space="preserve"> the overall political economy of the situation. </w:t>
      </w:r>
      <w:r w:rsidR="00091495">
        <w:t>Importantly, the only actual investment the government has made at any level is that the two governates have each allocated 50 acres of reclaimed land to the barley trials in the two governates.  There are strong indications that moving on from the production and consumer trials would require approval at the highest levels, but precisely by whom and on what basis is unclear.</w:t>
      </w:r>
    </w:p>
    <w:p w14:paraId="3E710693" w14:textId="0BBF45E9" w:rsidR="005568FB" w:rsidRDefault="003732DF" w:rsidP="00271250">
      <w:pPr>
        <w:pStyle w:val="ListBullet"/>
        <w:spacing w:after="120" w:line="264" w:lineRule="auto"/>
        <w:contextualSpacing w:val="0"/>
      </w:pPr>
      <w:r>
        <w:rPr>
          <w:b/>
        </w:rPr>
        <w:t>ICARDA’s</w:t>
      </w:r>
      <w:r w:rsidR="00C82495">
        <w:rPr>
          <w:b/>
        </w:rPr>
        <w:t xml:space="preserve"> current stakeholder base is useful but</w:t>
      </w:r>
      <w:r>
        <w:rPr>
          <w:b/>
        </w:rPr>
        <w:t xml:space="preserve"> likely</w:t>
      </w:r>
      <w:r w:rsidR="00C82495">
        <w:rPr>
          <w:b/>
        </w:rPr>
        <w:t xml:space="preserve"> insufficient</w:t>
      </w:r>
      <w:r>
        <w:rPr>
          <w:b/>
        </w:rPr>
        <w:t xml:space="preserve"> for national scaling</w:t>
      </w:r>
      <w:r w:rsidR="00C82495">
        <w:rPr>
          <w:b/>
        </w:rPr>
        <w:t>.</w:t>
      </w:r>
      <w:r w:rsidR="00C82495">
        <w:t xml:space="preserve"> </w:t>
      </w:r>
      <w:r w:rsidR="00893C0F">
        <w:t>Egypt’s Agricultural Research Center (</w:t>
      </w:r>
      <w:r w:rsidR="00C82495">
        <w:t>ARC</w:t>
      </w:r>
      <w:r w:rsidR="00893C0F">
        <w:t>)</w:t>
      </w:r>
      <w:r w:rsidR="00C82495">
        <w:t>, governorate agriculture departments, extension, monitoring units, local supply representatives, mills, and bakers are all relevant. But the likely scaling pathway requires national-level Ministry of Supply and Internal Trade leadership</w:t>
      </w:r>
      <w:r w:rsidR="001D2447">
        <w:t xml:space="preserve"> (probably by the Minister himself)</w:t>
      </w:r>
      <w:r w:rsidR="00C82495">
        <w:t xml:space="preserve">, Ministry of Agriculture </w:t>
      </w:r>
      <w:r w:rsidR="00296EE1">
        <w:t>(</w:t>
      </w:r>
      <w:proofErr w:type="spellStart"/>
      <w:r w:rsidR="00296EE1">
        <w:t>MoA</w:t>
      </w:r>
      <w:proofErr w:type="spellEnd"/>
      <w:r w:rsidR="00296EE1">
        <w:t xml:space="preserve">) </w:t>
      </w:r>
      <w:r w:rsidR="00C82495">
        <w:t>support, fiscal and foreign-exchange analysis</w:t>
      </w:r>
      <w:r w:rsidR="001D2447">
        <w:t xml:space="preserve"> involving the Ministry of Finance and the Central Bank</w:t>
      </w:r>
      <w:r w:rsidR="00C82495">
        <w:t>, and probably approval or at least non-objection from the highest political-security levels of the Egyptian state</w:t>
      </w:r>
      <w:r w:rsidR="005527B2">
        <w:t>, e.g. the President and the military</w:t>
      </w:r>
      <w:r w:rsidR="00C82495">
        <w:t xml:space="preserve">. </w:t>
      </w:r>
      <w:r w:rsidR="00C82495" w:rsidRPr="00296EE1">
        <w:rPr>
          <w:u w:val="single"/>
        </w:rPr>
        <w:t xml:space="preserve">ICARDA </w:t>
      </w:r>
      <w:r w:rsidR="00C82495" w:rsidRPr="00296EE1">
        <w:rPr>
          <w:u w:val="single"/>
        </w:rPr>
        <w:lastRenderedPageBreak/>
        <w:t xml:space="preserve">appears to have strong technical relationships </w:t>
      </w:r>
      <w:r w:rsidR="00893C0F" w:rsidRPr="00296EE1">
        <w:rPr>
          <w:u w:val="single"/>
        </w:rPr>
        <w:t xml:space="preserve">with the ARC </w:t>
      </w:r>
      <w:r w:rsidR="00296EE1" w:rsidRPr="00296EE1">
        <w:rPr>
          <w:u w:val="single"/>
        </w:rPr>
        <w:t xml:space="preserve">and the </w:t>
      </w:r>
      <w:proofErr w:type="spellStart"/>
      <w:r w:rsidR="00296EE1" w:rsidRPr="00296EE1">
        <w:rPr>
          <w:u w:val="single"/>
        </w:rPr>
        <w:t>MoA</w:t>
      </w:r>
      <w:proofErr w:type="spellEnd"/>
      <w:r w:rsidR="00296EE1" w:rsidRPr="00296EE1">
        <w:rPr>
          <w:u w:val="single"/>
        </w:rPr>
        <w:t xml:space="preserve"> </w:t>
      </w:r>
      <w:r w:rsidR="00C82495" w:rsidRPr="00296EE1">
        <w:rPr>
          <w:u w:val="single"/>
        </w:rPr>
        <w:t xml:space="preserve">but </w:t>
      </w:r>
      <w:r w:rsidR="00296EE1" w:rsidRPr="00296EE1">
        <w:rPr>
          <w:u w:val="single"/>
        </w:rPr>
        <w:t xml:space="preserve">little or no relationship, connection </w:t>
      </w:r>
      <w:r w:rsidR="00C82495" w:rsidRPr="00296EE1">
        <w:rPr>
          <w:u w:val="single"/>
        </w:rPr>
        <w:t xml:space="preserve"> with the actors who can decide whether barley enters subsidized bread</w:t>
      </w:r>
      <w:r w:rsidR="00C82495">
        <w:t>.</w:t>
      </w:r>
      <w:r w:rsidR="00296EE1">
        <w:t xml:space="preserve">  While ICARDA has</w:t>
      </w:r>
      <w:r w:rsidR="005527B2">
        <w:t>, appropriately,</w:t>
      </w:r>
      <w:r w:rsidR="00296EE1">
        <w:t xml:space="preserve"> asked </w:t>
      </w:r>
      <w:r w:rsidR="005527B2">
        <w:t xml:space="preserve">IFPRI to conduct a stakeholder analysis, whether this will prove productive or ICARDA given the secretive and highly politicized nature of the issue, or has the relationships to leverage any findings is </w:t>
      </w:r>
      <w:r w:rsidR="00464A26">
        <w:t>at best uncertain</w:t>
      </w:r>
      <w:r w:rsidR="005527B2">
        <w:t>.</w:t>
      </w:r>
    </w:p>
    <w:p w14:paraId="1115FAF0" w14:textId="1F435464" w:rsidR="005568FB" w:rsidRDefault="00C82495" w:rsidP="00271250">
      <w:pPr>
        <w:pStyle w:val="ListBullet"/>
        <w:spacing w:after="120" w:line="264" w:lineRule="auto"/>
        <w:contextualSpacing w:val="0"/>
      </w:pPr>
      <w:r>
        <w:rPr>
          <w:b/>
        </w:rPr>
        <w:t>The project is between proof of concept and transition to scale.</w:t>
      </w:r>
      <w:r>
        <w:t xml:space="preserve"> It is no longer only a laboratory idea because there is promising technical evidence and real policy relevance. But it is not yet scaling, and it is not fully transition-to-scale in the strict sense because the political pathway, economic case, contracting mechanism, government co-investment, consumer acceptance evidence, and institutional driver are not yet established. It is best described as a promising system innovation at the proof-of-policy-and-system-concept stage.</w:t>
      </w:r>
    </w:p>
    <w:p w14:paraId="1348923F" w14:textId="44583747" w:rsidR="005568FB" w:rsidRDefault="00C82495" w:rsidP="00271250">
      <w:pPr>
        <w:pStyle w:val="ListBullet"/>
        <w:spacing w:after="120" w:line="264" w:lineRule="auto"/>
        <w:contextualSpacing w:val="0"/>
      </w:pPr>
      <w:r>
        <w:rPr>
          <w:b/>
        </w:rPr>
        <w:t xml:space="preserve">S4I </w:t>
      </w:r>
      <w:r w:rsidR="00C17457">
        <w:rPr>
          <w:b/>
        </w:rPr>
        <w:t>might</w:t>
      </w:r>
      <w:r>
        <w:rPr>
          <w:b/>
        </w:rPr>
        <w:t xml:space="preserve"> consider funding another year</w:t>
      </w:r>
      <w:r w:rsidR="00C17457">
        <w:rPr>
          <w:b/>
        </w:rPr>
        <w:t xml:space="preserve"> recognizing that this is a long-term high-risk, </w:t>
      </w:r>
      <w:proofErr w:type="gramStart"/>
      <w:r w:rsidR="00C17457">
        <w:rPr>
          <w:b/>
        </w:rPr>
        <w:t>high return</w:t>
      </w:r>
      <w:proofErr w:type="gramEnd"/>
      <w:r w:rsidR="00C17457">
        <w:rPr>
          <w:b/>
        </w:rPr>
        <w:t xml:space="preserve"> investment</w:t>
      </w:r>
      <w:r w:rsidR="00FB034B">
        <w:rPr>
          <w:b/>
        </w:rPr>
        <w:t>, but preferably under AoW3</w:t>
      </w:r>
      <w:r>
        <w:rPr>
          <w:b/>
        </w:rPr>
        <w:t>.</w:t>
      </w:r>
      <w:r>
        <w:t xml:space="preserve"> Continued funding is justified if it is explicitly reframed as a political-economy, implementation-science, and transition-to-scale investment rather than a standard scaling grant expected to produce large beneficiary numbers quickly. Funding should be conditional on a revised scaling strategy, a verified policy roadmap, a full actor and decision map, </w:t>
      </w:r>
      <w:r w:rsidR="00577698">
        <w:t>a</w:t>
      </w:r>
      <w:r>
        <w:t xml:space="preserve"> co-investment or written pilot authorization</w:t>
      </w:r>
      <w:r w:rsidR="00577698">
        <w:t xml:space="preserve"> with the two </w:t>
      </w:r>
      <w:r w:rsidR="00C814AD">
        <w:t>governorates</w:t>
      </w:r>
      <w:r>
        <w:t xml:space="preserve">, robust consumer and bakery trials, </w:t>
      </w:r>
      <w:r w:rsidR="00C814AD" w:rsidRPr="00A1000F">
        <w:rPr>
          <w:u w:val="single"/>
        </w:rPr>
        <w:t xml:space="preserve">a </w:t>
      </w:r>
      <w:r w:rsidRPr="00A1000F">
        <w:rPr>
          <w:u w:val="single"/>
        </w:rPr>
        <w:t xml:space="preserve">dedicated in-country </w:t>
      </w:r>
      <w:r w:rsidR="00A1000F" w:rsidRPr="00A1000F">
        <w:rPr>
          <w:u w:val="single"/>
        </w:rPr>
        <w:t xml:space="preserve">project leadership or management </w:t>
      </w:r>
      <w:r w:rsidRPr="00A1000F">
        <w:rPr>
          <w:u w:val="single"/>
        </w:rPr>
        <w:t>capacity with access to decision makers</w:t>
      </w:r>
      <w:r>
        <w:t>.</w:t>
      </w:r>
      <w:r w:rsidR="00A1000F">
        <w:t xml:space="preserve">  Given the political economy nature of the challenge, the latter is probably the most </w:t>
      </w:r>
      <w:r w:rsidR="00624548">
        <w:t>important and</w:t>
      </w:r>
      <w:r w:rsidR="00A1000F">
        <w:t xml:space="preserve"> would need to be preferably someone such as a former senior or retired MOSIT official.</w:t>
      </w:r>
    </w:p>
    <w:p w14:paraId="621F322F" w14:textId="2E709308" w:rsidR="005568FB" w:rsidRDefault="00C82495" w:rsidP="00271250">
      <w:pPr>
        <w:pStyle w:val="ListBullet"/>
        <w:spacing w:after="120" w:line="264" w:lineRule="auto"/>
        <w:contextualSpacing w:val="0"/>
      </w:pPr>
      <w:r>
        <w:rPr>
          <w:b/>
        </w:rPr>
        <w:t>The wider lesson for CGIAR is important.</w:t>
      </w:r>
      <w:r>
        <w:t xml:space="preserve"> This case shows both the promise and the danger of CGIAR scaling. The promise is that a technical innovation can be connected to a major national food-system opportunity. The danger is that research organizations can mistake technical plausibility and policy alignment </w:t>
      </w:r>
      <w:r w:rsidR="00624548">
        <w:t>on paper or based on an</w:t>
      </w:r>
      <w:r w:rsidR="008516D6">
        <w:t xml:space="preserve"> objective</w:t>
      </w:r>
      <w:r w:rsidR="00624548">
        <w:t xml:space="preserve"> analysis of the government’s financial interests with </w:t>
      </w:r>
      <w:r w:rsidR="008516D6">
        <w:t xml:space="preserve">a real political economy analysis and a proven </w:t>
      </w:r>
      <w:proofErr w:type="gramStart"/>
      <w:r>
        <w:t>a scaling</w:t>
      </w:r>
      <w:proofErr w:type="gramEnd"/>
      <w:r>
        <w:t xml:space="preserve"> pathway. For system innovations embedded in state-controlled food systems, the driver is not the researcher, the variety, or even the farmer. The driver is the institution with authority, budget, political mandate, and willingness to take risk.</w:t>
      </w:r>
    </w:p>
    <w:p w14:paraId="61D510DC" w14:textId="77777777" w:rsidR="005568FB" w:rsidRPr="00271250" w:rsidRDefault="00C82495">
      <w:pPr>
        <w:pStyle w:val="Heading1"/>
      </w:pPr>
      <w:r w:rsidRPr="00271250">
        <w:t>1. Intervention Summary and Components</w:t>
      </w:r>
    </w:p>
    <w:p w14:paraId="45F4B551" w14:textId="0EAF6E90" w:rsidR="005568FB" w:rsidRDefault="00C82495">
      <w:r>
        <w:rPr>
          <w:b/>
        </w:rPr>
        <w:t>The core intervention.</w:t>
      </w:r>
      <w:r>
        <w:t xml:space="preserve"> The barley-enriched balady bread solution seeks to substitute a share of wheat flour in Egypt's traditional subsidized balady bread with barley flour, most likely beginning at 10 percent and possibly moving toward 15 or 20 percent if quality, consumer acceptance, economics, and policy approval allow. The underlying logic is straightforward. Egypt imports a large share of the wheat used in its bread system; balady bread is a politically sensitive national staple; barley can be grown under more marginal, saline, or water-stressed conditions than wheat; and barley flour may improve nutritional value and water absorption in dough. If a portion of wheat could be replaced with domestic barley without reducing consumer acceptance or increasing fiscal costs, the national benefits could be substantial</w:t>
      </w:r>
      <w:r w:rsidR="00726BEB">
        <w:t xml:space="preserve"> in terms of national food security, savings on foreign exchange, increased </w:t>
      </w:r>
      <w:r w:rsidR="00D864D6">
        <w:t>utilization of marginal lands, and health benefits</w:t>
      </w:r>
      <w:r>
        <w:t>.</w:t>
      </w:r>
    </w:p>
    <w:p w14:paraId="57DCC5C2" w14:textId="6C0BAEC1" w:rsidR="005568FB" w:rsidRDefault="00C82495">
      <w:r>
        <w:rPr>
          <w:b/>
        </w:rPr>
        <w:t>The innovation bundle.</w:t>
      </w:r>
      <w:r>
        <w:t xml:space="preserve"> The bundle is not simply a new barley variety. It includes improved or hull-less barley seed, seed multiplication, farmer production and contracting, post-harvest handling, hulling or dehulling, milling, blending barley flour with wheat flour, bakery protocols, consumer </w:t>
      </w:r>
      <w:r w:rsidR="00EA022D">
        <w:t xml:space="preserve">awareness building </w:t>
      </w:r>
      <w:r w:rsidR="00EA022D">
        <w:lastRenderedPageBreak/>
        <w:t xml:space="preserve">and </w:t>
      </w:r>
      <w:r>
        <w:t xml:space="preserve">acceptance, nutrition messaging, regulatory approval, procurement rules, pricing, subsidy management, and political authorization. </w:t>
      </w:r>
      <w:r w:rsidRPr="00EA022D">
        <w:rPr>
          <w:u w:val="single"/>
        </w:rPr>
        <w:t>This makes the intervention a classic system innovation rather than a conventional agricultural technology</w:t>
      </w:r>
      <w:r w:rsidR="00EA022D">
        <w:rPr>
          <w:u w:val="single"/>
        </w:rPr>
        <w:t xml:space="preserve">; the new varieties </w:t>
      </w:r>
      <w:r w:rsidR="00670AB9">
        <w:rPr>
          <w:u w:val="single"/>
        </w:rPr>
        <w:t xml:space="preserve">and other agronomic components </w:t>
      </w:r>
      <w:r w:rsidR="00EA022D">
        <w:rPr>
          <w:u w:val="single"/>
        </w:rPr>
        <w:t>are important but not critical</w:t>
      </w:r>
      <w:r w:rsidRPr="00EA022D">
        <w:rPr>
          <w:u w:val="single"/>
        </w:rPr>
        <w:t>.</w:t>
      </w:r>
      <w:r>
        <w:t xml:space="preserve"> The innovation only becomes meaningful at scale if barley can move through the bread production value chain and into the subsidized bread system in a way that is technically feasible, fiscally attractive, politically safe, and acceptable to consumers.</w:t>
      </w:r>
    </w:p>
    <w:p w14:paraId="4B9B7B71" w14:textId="702B7CC7" w:rsidR="005568FB" w:rsidRDefault="00C82495">
      <w:r>
        <w:rPr>
          <w:b/>
        </w:rPr>
        <w:t>The original concept.</w:t>
      </w:r>
      <w:r>
        <w:t xml:space="preserve"> The Expression of Interest and inception materials framed the innovation as a national food-security and subsidy-system opportunity. They described a broad system transformation: improved barley genetics, seed supply, production on marginal lands, barley procurement, milling and blending, standards, consumer communication, and integration into the subsidized balady bread system. They also included ambitious targets, including </w:t>
      </w:r>
      <w:r w:rsidR="00FE085A">
        <w:t>“</w:t>
      </w:r>
      <w:r>
        <w:t>reaching 1.5 million consumers in 2026</w:t>
      </w:r>
      <w:r w:rsidR="00FE085A">
        <w:t>” (which it turned out meant creating consumer awareness of a product that would not likely be available, let alone widely available for years</w:t>
      </w:r>
      <w:r>
        <w:t>. The implied scaling pathway was that ICARDA and Egyptian partners would generate enough evidence and policy momentum to persuade the Ministry of Supply and Internal Trade and related national actors to integrate barley into the existing wheat and bread system.</w:t>
      </w:r>
    </w:p>
    <w:p w14:paraId="26DB8155" w14:textId="62F91629" w:rsidR="005568FB" w:rsidRDefault="00C82495">
      <w:r>
        <w:rPr>
          <w:b/>
        </w:rPr>
        <w:t>The current operational reality.</w:t>
      </w:r>
      <w:r>
        <w:t xml:space="preserve"> The field discussions suggest that the practical pathway has changed substantially. Rather than a clear national MoSIT-led pathway, the work now appears to be moving through two governorates, ARC, governorate-level agriculture structures, extension and monitoring departments, and some engagement with supply actors and bakeries. </w:t>
      </w:r>
      <w:r w:rsidR="007B0F2C">
        <w:t xml:space="preserve">ICARDA has agreement with the two governorates to conduct </w:t>
      </w:r>
      <w:proofErr w:type="gramStart"/>
      <w:r w:rsidR="007B0F2C">
        <w:t xml:space="preserve">a </w:t>
      </w:r>
      <w:r>
        <w:t xml:space="preserve"> 50</w:t>
      </w:r>
      <w:proofErr w:type="gramEnd"/>
      <w:r>
        <w:t xml:space="preserve">-acre production effort </w:t>
      </w:r>
      <w:r w:rsidR="007B0F2C">
        <w:t>on reclaimed land provided by the governates. All inputs will be financed by ICARDA</w:t>
      </w:r>
      <w:r w:rsidR="003807A2">
        <w:t xml:space="preserve">, along with joint extension and technical support. This will likely be accompanied by </w:t>
      </w:r>
      <w:r>
        <w:t xml:space="preserve">consumer acceptance </w:t>
      </w:r>
      <w:r w:rsidR="00D079A1">
        <w:t xml:space="preserve">trials in </w:t>
      </w:r>
      <w:proofErr w:type="gramStart"/>
      <w:r w:rsidR="00D079A1">
        <w:t>a number of</w:t>
      </w:r>
      <w:proofErr w:type="gramEnd"/>
      <w:r w:rsidR="00D079A1">
        <w:t xml:space="preserve"> bakeries in each governorate over several months</w:t>
      </w:r>
      <w:r>
        <w:t xml:space="preserve">, </w:t>
      </w:r>
      <w:r w:rsidR="00D079A1">
        <w:t>work on barley seed systems to ensure an adequate supply of certified seed in a few years should scaling proceed apace</w:t>
      </w:r>
      <w:r w:rsidR="005460E0">
        <w:t xml:space="preserve">, </w:t>
      </w:r>
      <w:r>
        <w:t>and a possible governorate-level interagency coordination mechanism. But it means the project is much earlier in the scaling process than the original proposal implied. It is now trying to prove and organize the pathway that the proposal appeared to assume was already largely identified.</w:t>
      </w:r>
    </w:p>
    <w:p w14:paraId="4DFD6734" w14:textId="507CD2EC" w:rsidR="005568FB" w:rsidRDefault="00C82495">
      <w:r>
        <w:rPr>
          <w:b/>
        </w:rPr>
        <w:t>Why this matters.</w:t>
      </w:r>
      <w:r>
        <w:t xml:space="preserve"> The difference is not cosmetic. A national scaling pathway requires different actors, evidence, authority, and financing than a governorate pilot. </w:t>
      </w:r>
      <w:proofErr w:type="gramStart"/>
      <w:r>
        <w:t xml:space="preserve">A </w:t>
      </w:r>
      <w:r w:rsidR="0090785D">
        <w:t>production</w:t>
      </w:r>
      <w:proofErr w:type="gramEnd"/>
      <w:r w:rsidR="0090785D">
        <w:t xml:space="preserve"> on marginalized, saline lands and new </w:t>
      </w:r>
      <w:r>
        <w:t>variety</w:t>
      </w:r>
      <w:r w:rsidR="0090785D">
        <w:t xml:space="preserve"> </w:t>
      </w:r>
      <w:r>
        <w:t xml:space="preserve">demonstration </w:t>
      </w:r>
      <w:proofErr w:type="gramStart"/>
      <w:r>
        <w:t>project</w:t>
      </w:r>
      <w:proofErr w:type="gramEnd"/>
      <w:r>
        <w:t xml:space="preserve"> can be led through ARC and agriculture departments. A bread-system transformation cannot. It requires explicit answers to who can authorize barley procurement, who can classify barley as a strategic commodity or create a pilot exception, who can require or permit mills to blend flour, who can authorize subsidized bakeries to sell barley-enriched bread, who carries the fiscal risk, and who takes political responsibility if consumers object.</w:t>
      </w:r>
      <w:r w:rsidR="0090785D">
        <w:t xml:space="preserve"> Who this is as of this writing unknown, but likely to be at the very highest levels of the Egyptian government given the political sensitivity of the bread supply. </w:t>
      </w:r>
      <w:r>
        <w:t xml:space="preserve"> Until those questions are answered, the innovation remains promising but not yet anchored in a credible scaling pathway.</w:t>
      </w:r>
    </w:p>
    <w:p w14:paraId="0D6D211E" w14:textId="77777777" w:rsidR="005568FB" w:rsidRPr="00271250" w:rsidRDefault="00C82495">
      <w:pPr>
        <w:pStyle w:val="Heading1"/>
      </w:pPr>
      <w:r w:rsidRPr="00271250">
        <w:t>2. Evidence of Impact and Business Case</w:t>
      </w:r>
    </w:p>
    <w:p w14:paraId="2E9C2C9A" w14:textId="77777777" w:rsidR="005568FB" w:rsidRDefault="00C82495">
      <w:r>
        <w:rPr>
          <w:b/>
        </w:rPr>
        <w:t>Agronomic evidence.</w:t>
      </w:r>
      <w:r>
        <w:t xml:space="preserve"> The agronomic case is credible but incomplete from a scaling standpoint. Barley is well known to tolerate harsher conditions than wheat and appears particularly relevant for governorates such as Matrouh and New Valley, where some land is marginal, saline, rainfed, newly reclaimed, or otherwise less suitable for wheat. ICARDA and ARC have relevant barley breeding and seed work, including demonstration plots and seed multiplication. Stakeholders repeatedly emphasized that barley is already important in some areas, used for food, feed, and local consumption, and that farmers in some </w:t>
      </w:r>
      <w:r>
        <w:lastRenderedPageBreak/>
        <w:t>zones understand the crop. This is a real strength. The project is not trying to introduce an entirely unfamiliar crop into a landscape where it has no history.</w:t>
      </w:r>
    </w:p>
    <w:p w14:paraId="3867EC55" w14:textId="77777777" w:rsidR="005568FB" w:rsidRDefault="00C82495">
      <w:r>
        <w:t>But agronomic suitability is not the same as economic substitutability. The central evidence gap is the cost of producing, aggregating, processing, and delivering barley into the bread system compared with the cost of procuring wheat. The coaching discussion revealed inconsistent information about barley production costs, market prices, subsidies, yields, and opportunity costs. One set of claims implied barley could be grown cheaply on marginal land and therefore should be attractive. Another set suggested that local barley prices may be high, although the market is thin and not necessarily representative of what prices would be under a contract production system. There was also uncertainty about whether comparisons were properly accounting for fertilizer subsidies, seed subsidies, irrigation, land quality, mechanization, transport, hulling, milling, storage, and farmer profit margins.</w:t>
      </w:r>
    </w:p>
    <w:p w14:paraId="05E2514C" w14:textId="6C88EF3B" w:rsidR="005568FB" w:rsidRDefault="00C82495">
      <w:r>
        <w:rPr>
          <w:b/>
        </w:rPr>
        <w:t>Consumer evidence.</w:t>
      </w:r>
      <w:r>
        <w:t xml:space="preserve"> The project has some encouraging </w:t>
      </w:r>
      <w:r w:rsidR="001F30D1">
        <w:t xml:space="preserve">preliminary, small-scale </w:t>
      </w:r>
      <w:r>
        <w:t xml:space="preserve">evidence that consumers can accept barley-enriched bread, particularly at </w:t>
      </w:r>
      <w:r w:rsidR="008F4924">
        <w:t>the proposed</w:t>
      </w:r>
      <w:r>
        <w:t xml:space="preserve"> substitution levels</w:t>
      </w:r>
      <w:r w:rsidR="008F4924">
        <w:t xml:space="preserve"> of 10-20%</w:t>
      </w:r>
      <w:r>
        <w:t>. But the evidence appears too limited for the political decision that would be required. It is one thing to show acceptability in small tests or among selected consumers. It is quite another to introduce a change into subsidized balady bread, eaten daily by millions of people, in a context where bread quality is politically sensitive. The relevant question is not whether consumers can tolerate barley bread in principle. It is whether ordinary consumers will continue buying it through the subsidized system, whether they notice differences in taste, smell, color, pliability, texture, or shelf life, and whether acceptance holds after the bread has been stored for several hours or day</w:t>
      </w:r>
      <w:r w:rsidR="001B1AC6">
        <w:t>s</w:t>
      </w:r>
      <w:r>
        <w:t>. Reports that barley bread can become hard or crusty more quickly should be treated as a serious adoption risk, not a minor technical complaint.</w:t>
      </w:r>
    </w:p>
    <w:p w14:paraId="565590F9" w14:textId="7A6B6F54" w:rsidR="005568FB" w:rsidRDefault="00C82495">
      <w:r>
        <w:rPr>
          <w:b/>
        </w:rPr>
        <w:t>Bakery and milling evidence.</w:t>
      </w:r>
      <w:r>
        <w:t xml:space="preserve"> The value-chain evidence is promising but also under-tested. Stakeholders suggested that mills can process and blend barley, that bakers can bake the bread, and that the hulling constraint can be solved with machinery. That is plausible. But a hulling machine is not only a machine; it is a business and governance question. How does barley move from farmers to storage to hulling to milling to bakeries? What happens if barley flour behaves differently in bakeries of different </w:t>
      </w:r>
      <w:proofErr w:type="gramStart"/>
      <w:r>
        <w:t>size</w:t>
      </w:r>
      <w:proofErr w:type="gramEnd"/>
      <w:r>
        <w:t xml:space="preserve"> and equipment quality? </w:t>
      </w:r>
      <w:r w:rsidR="0027127C">
        <w:t xml:space="preserve">How are losses, moisture, quality grades, and initial consumer testing managed? Will barley-blended bread be clearly identified and initially given away as samples for free? </w:t>
      </w:r>
      <w:r>
        <w:t>These are not reasons to stop. They are exactly the questions a</w:t>
      </w:r>
      <w:r w:rsidR="009B7705">
        <w:t xml:space="preserve"> proof-of-concept/early</w:t>
      </w:r>
      <w:r>
        <w:t xml:space="preserve"> transition-to-scale pilot must answer.</w:t>
      </w:r>
    </w:p>
    <w:p w14:paraId="2BA77B6C" w14:textId="48C28951" w:rsidR="005568FB" w:rsidRDefault="00C82495">
      <w:r>
        <w:rPr>
          <w:b/>
        </w:rPr>
        <w:t>State and fiscal business case.</w:t>
      </w:r>
      <w:r>
        <w:t xml:space="preserve"> The strongest potential business case is not at the household level but at the state level. The Egyptian government may benefit if domestic barley substitution reduces wheat import dependence, saves foreign exchange, reduces fiscal exposure to global wheat price volatility, increases domestic cereal resilience, and produces more loaves per ton of flour because of water absorption. That is the strategic case. However, it must be converted into a robust economic model</w:t>
      </w:r>
      <w:r w:rsidR="00FD3530">
        <w:t xml:space="preserve"> and value proposition</w:t>
      </w:r>
      <w:r>
        <w:t>. The model should compare full-system costs and benefits: barley production price, farmer incentive price, seed and input subsidy, transport, hulling, milling, blending, storage, bakery adjustments, consumer communication, potential loaf output gains, nutrition benefits, foreign-exchange savings, and fiscal implications under different wheat and barley price scenarios. Without this model, the project is relying on a compelling national narrative rather than a decision-grade investment case.</w:t>
      </w:r>
      <w:r w:rsidR="00FD3530">
        <w:t xml:space="preserve">  It does not appear that ICARDA has </w:t>
      </w:r>
      <w:proofErr w:type="gramStart"/>
      <w:r w:rsidR="00FD3530">
        <w:t>actually rigorously</w:t>
      </w:r>
      <w:proofErr w:type="gramEnd"/>
      <w:r w:rsidR="00FD3530">
        <w:t xml:space="preserve"> “</w:t>
      </w:r>
      <w:proofErr w:type="spellStart"/>
      <w:r w:rsidR="00FD3530">
        <w:t>pencilled</w:t>
      </w:r>
      <w:proofErr w:type="spellEnd"/>
      <w:r w:rsidR="00FD3530">
        <w:t xml:space="preserve"> out” this case in terms of the value proposition, which frankly was a bit surprising.</w:t>
      </w:r>
    </w:p>
    <w:p w14:paraId="5336A557" w14:textId="097093CC" w:rsidR="005568FB" w:rsidRDefault="00C82495">
      <w:r>
        <w:rPr>
          <w:b/>
        </w:rPr>
        <w:lastRenderedPageBreak/>
        <w:t>Farmer value proposition.</w:t>
      </w:r>
      <w:r>
        <w:t xml:space="preserve"> Farmers will not grow barley for the bread system merely because it is agronomically suitable or nationally desirable. They will grow </w:t>
      </w:r>
      <w:proofErr w:type="gramStart"/>
      <w:r>
        <w:t>barley</w:t>
      </w:r>
      <w:proofErr w:type="gramEnd"/>
      <w:r>
        <w:t xml:space="preserve"> if the expected return, risk profile, and payment reliability are attractive. Several stakeholders correctly noted that farmers need an assured buyer. This is critical. A barley bread system cannot be built on voluntary farmer production into a thin market unless someone guarantees purchase</w:t>
      </w:r>
      <w:r w:rsidR="00F60BBA">
        <w:t xml:space="preserve"> i.e. the government explicitly contracts for it at remunerative prices</w:t>
      </w:r>
      <w:r>
        <w:t>. The wheat model works because the government contracts or procures wheat at a known price. If barley is to substitute for wheat in a state-controlled system, farmers will likely require a similar contract price, input support, and confidence that payment will occur. Without that, the production base will remain a project demonstration, not a scaling pathway.</w:t>
      </w:r>
    </w:p>
    <w:p w14:paraId="7271E2E7" w14:textId="77777777" w:rsidR="005568FB" w:rsidRPr="00271250" w:rsidRDefault="00C82495">
      <w:pPr>
        <w:pStyle w:val="Heading1"/>
      </w:pPr>
      <w:r w:rsidRPr="00271250">
        <w:t>3. Scaling Ambition</w:t>
      </w:r>
    </w:p>
    <w:p w14:paraId="161AB221" w14:textId="77777777" w:rsidR="005568FB" w:rsidRDefault="00C82495">
      <w:r>
        <w:rPr>
          <w:b/>
        </w:rPr>
        <w:t>The original ambition.</w:t>
      </w:r>
      <w:r>
        <w:t xml:space="preserve"> The original ambition was transformational: to integrate barley flour into Egypt's subsidized balady bread system and thereby reduce wheat import dependence, improve nutritional quality, create markets for barley producers, and potentially influence national food-security policy. This is exactly the kind of ambition CGIAR should be willing to consider. It is not a small technology demonstration. It connects crop science to national food policy, public finance, climate adaptation, nutrition, and the daily food system of low-income households. The ambition is bold, and that is a strength.</w:t>
      </w:r>
    </w:p>
    <w:p w14:paraId="1930595B" w14:textId="03C2C014" w:rsidR="005568FB" w:rsidRDefault="00C82495">
      <w:r>
        <w:rPr>
          <w:b/>
        </w:rPr>
        <w:t>Ambition versus readiness.</w:t>
      </w:r>
      <w:r>
        <w:t xml:space="preserve"> The problem is that the</w:t>
      </w:r>
      <w:r w:rsidR="00CF7C69">
        <w:t xml:space="preserve"> original (remaining long-term)</w:t>
      </w:r>
      <w:r>
        <w:t xml:space="preserve"> ambition is far ahead of the demonstrated pathway. A national target such as 1.5 million consumers may be useful rhetorically, but it is not yet grounded in a </w:t>
      </w:r>
      <w:r w:rsidR="00A67D82">
        <w:t>scaling strategy to get there</w:t>
      </w:r>
      <w:r>
        <w:t>.</w:t>
      </w:r>
    </w:p>
    <w:p w14:paraId="6EE0C8D4" w14:textId="6609FDC1" w:rsidR="005568FB" w:rsidRDefault="00C82495">
      <w:r>
        <w:rPr>
          <w:b/>
        </w:rPr>
        <w:t>What should count as scaling.</w:t>
      </w:r>
      <w:r>
        <w:t xml:space="preserve"> </w:t>
      </w:r>
      <w:r w:rsidR="00A03EAB">
        <w:t>Consumer a</w:t>
      </w:r>
      <w:r>
        <w:t xml:space="preserve">wareness </w:t>
      </w:r>
      <w:r w:rsidR="00A03EAB">
        <w:t>or acceptance</w:t>
      </w:r>
      <w:r>
        <w:t xml:space="preserve"> is not scaling. </w:t>
      </w:r>
      <w:r w:rsidR="00A03EAB">
        <w:t>Two</w:t>
      </w:r>
      <w:r>
        <w:t xml:space="preserve"> 50-acre barley pilot</w:t>
      </w:r>
      <w:r w:rsidR="00A03EAB">
        <w:t>s</w:t>
      </w:r>
      <w:r>
        <w:t xml:space="preserve"> </w:t>
      </w:r>
      <w:proofErr w:type="gramStart"/>
      <w:r w:rsidR="00A03EAB">
        <w:t xml:space="preserve">are </w:t>
      </w:r>
      <w:r>
        <w:t xml:space="preserve"> not</w:t>
      </w:r>
      <w:proofErr w:type="gramEnd"/>
      <w:r>
        <w:t xml:space="preserve"> scaling. These are potentially useful steps toward transition to scale, but they should be measured honestly. Scaling in this case should mean that barley is being produced under a real procurement or contracting mechanism, processed through the actual value chain, blended into flour, baked under commercial or subsidized bakery conditions, accepted by consumers, and purchased or distributed through an authorized system without ICARDA having to pay for or manually coordinate each step. Until that happens, the project is not scaling the bread system; it is testing whether the system can be changed.</w:t>
      </w:r>
    </w:p>
    <w:p w14:paraId="408565E0" w14:textId="6EB79ECC" w:rsidR="005568FB" w:rsidRDefault="00C82495">
      <w:r>
        <w:rPr>
          <w:b/>
        </w:rPr>
        <w:t>A more realistic ambition.</w:t>
      </w:r>
      <w:r>
        <w:t xml:space="preserve"> The next 12 to 18 months should not aim to show national scale. It should aim to produce decision-quality evidence for a governorate-to-national policy pathway. A realistic ambition would be: first, complete a consumer and bakery acceptance trial at 10, 15, and possibly 20 percent barley under real bakery conditions; second, complete one or two real production pilots in the governorates; third, produce a verified economic and fiscal model; fourth, secure a clear policy roadmap for declaring barley a strategic commodity or obtaining a pilot exception</w:t>
      </w:r>
      <w:r w:rsidR="008C5AC7">
        <w:t xml:space="preserve"> that allows for state contracting of barely production and entry into the bread production chain</w:t>
      </w:r>
      <w:r>
        <w:t>; and fifth, identify the national actor willing to champion or authorize the next stage. If those are achieved, the project will have made real transition-to-scale progress.</w:t>
      </w:r>
    </w:p>
    <w:p w14:paraId="58A21BC3" w14:textId="77777777" w:rsidR="005568FB" w:rsidRDefault="00C82495">
      <w:r>
        <w:rPr>
          <w:b/>
        </w:rPr>
        <w:t>The denominator problem.</w:t>
      </w:r>
      <w:r>
        <w:t xml:space="preserve"> A transformational ambition should begin with the denominator: what share of the bread system could realistically use barley, under what blend ratio, in which regions, and with what production base? The project should distinguish three possible end states. One is a niche or regional barley bread model in governorates where barley already has production and cultural relevance. The second is a partial national substitution model, perhaps 10 percent barley in selected parts of the </w:t>
      </w:r>
      <w:r>
        <w:lastRenderedPageBreak/>
        <w:t>subsidized system. The third is a broader national food-security model. These are different ambitions. Each requires different evidence, government appetite, procurement rules, and political risk tolerance.</w:t>
      </w:r>
    </w:p>
    <w:p w14:paraId="041DD00D" w14:textId="1AF4E25D" w:rsidR="005568FB" w:rsidRPr="004B2B69" w:rsidRDefault="004B2B69" w:rsidP="004B2B69">
      <w:pPr>
        <w:pStyle w:val="Heading1"/>
      </w:pPr>
      <w:r>
        <w:t>4</w:t>
      </w:r>
      <w:r w:rsidR="00C82495" w:rsidRPr="004B2B69">
        <w:t>. Strengths from a Scaling Perspective</w:t>
      </w:r>
    </w:p>
    <w:p w14:paraId="06C33F45" w14:textId="77777777" w:rsidR="005568FB" w:rsidRDefault="00C82495">
      <w:r>
        <w:rPr>
          <w:b/>
        </w:rPr>
        <w:t>Strategic relevance.</w:t>
      </w:r>
      <w:r>
        <w:t xml:space="preserve"> The first strength is that the problem is real and nationally important. Many CGIAR innovations are technically interesting but marginal to national decision makers. This one is not. Wheat imports, bread subsidies, foreign exchange, climate adaptation, land and water constraints, and nutrition are all central to Egypt's food-security strategy. If the model works, it could matter far beyond the immediate project sites.</w:t>
      </w:r>
    </w:p>
    <w:p w14:paraId="0B5EE48E" w14:textId="77777777" w:rsidR="005568FB" w:rsidRDefault="00C82495">
      <w:r>
        <w:rPr>
          <w:b/>
        </w:rPr>
        <w:t>System ambition.</w:t>
      </w:r>
      <w:r>
        <w:t xml:space="preserve"> The second strength is that the team has recognized, at least conceptually, that the innovation must be a system bundle. The inception materials did not stop at seed or agronomy. They recognized the need for seed production, procurement, milling, baking, standards, consumer communication, and policy change. This is exactly the right way to think about scaling in a state-controlled food system.</w:t>
      </w:r>
    </w:p>
    <w:p w14:paraId="5272CEB0" w14:textId="77777777" w:rsidR="005568FB" w:rsidRDefault="00C82495">
      <w:r>
        <w:rPr>
          <w:b/>
        </w:rPr>
        <w:t>Technical foundation.</w:t>
      </w:r>
      <w:r>
        <w:t xml:space="preserve"> The third strength is the existence of a credible technical base. ICARDA and ARC have relevant barley expertise; FTRI has food technology capacity; preliminary flour-blend evidence appears promising; and the governorate discussions suggest there are areas where barley is familiar and agronomically appropriate. The project is not inventing the concept from nothing.</w:t>
      </w:r>
    </w:p>
    <w:p w14:paraId="19700B22" w14:textId="7207A05C" w:rsidR="005568FB" w:rsidRDefault="00C82495">
      <w:r>
        <w:rPr>
          <w:b/>
        </w:rPr>
        <w:t>Emerging realism.</w:t>
      </w:r>
      <w:r>
        <w:t xml:space="preserve"> The fourth strength is that the project appears to be becoming more realistic. The pivot from a national MoSIT-led concept to governorate pilots, the discussion of consumer acceptance trials, the interest in a policy roadmap, and the recognition that the system must be tested are all positive. A good scaling process often requires </w:t>
      </w:r>
      <w:r w:rsidR="003C09C4">
        <w:t xml:space="preserve">adaptive management and strategic pivots; </w:t>
      </w:r>
      <w:r>
        <w:t>abandoning the original theory of change and confronting messy institutional reality.</w:t>
      </w:r>
    </w:p>
    <w:p w14:paraId="7A67DEFB" w14:textId="77777777" w:rsidR="005568FB" w:rsidRDefault="00C82495">
      <w:r>
        <w:rPr>
          <w:b/>
        </w:rPr>
        <w:t>S4I value added.</w:t>
      </w:r>
      <w:r>
        <w:t xml:space="preserve"> The fifth strength is that S4I coaching has clearly added value. The coaching surfaced that the original proposal may have overstated readiness; that the key bottleneck is political economy; that cost and business-case evidence remain unclear; that consumer testing must be more rigorous; and that a policy roadmap is essential. This is exactly the kind of value S4I should bring. It may be uncomfortable, but it moves the project from enthusiasm toward decision-quality strategy.</w:t>
      </w:r>
    </w:p>
    <w:p w14:paraId="7DE235E5" w14:textId="7669B6AD" w:rsidR="005568FB" w:rsidRPr="004B2B69" w:rsidRDefault="004B2B69" w:rsidP="004B2B69">
      <w:pPr>
        <w:pStyle w:val="Heading1"/>
      </w:pPr>
      <w:r>
        <w:t>5</w:t>
      </w:r>
      <w:r w:rsidR="00C82495" w:rsidRPr="004B2B69">
        <w:t>. Weaknesses and Bottlenecks Relative to Ambition</w:t>
      </w:r>
    </w:p>
    <w:p w14:paraId="6A3A95FD" w14:textId="08385F8A" w:rsidR="005568FB" w:rsidRDefault="00C82495">
      <w:r>
        <w:rPr>
          <w:b/>
        </w:rPr>
        <w:t xml:space="preserve">Political economy is </w:t>
      </w:r>
      <w:proofErr w:type="gramStart"/>
      <w:r>
        <w:rPr>
          <w:b/>
        </w:rPr>
        <w:t>the</w:t>
      </w:r>
      <w:proofErr w:type="gramEnd"/>
      <w:r>
        <w:rPr>
          <w:b/>
        </w:rPr>
        <w:t xml:space="preserve"> binding bottleneck.</w:t>
      </w:r>
      <w:r>
        <w:t xml:space="preserve"> The weakest link is not barley productivity. It is whether the Egyptian state will authorize and support a change in the subsidized bread system. Bread is politically sensitive. Changing its composition, even for good reasons, creates risk. The actors who matter will ask questions that are not purely scientific: Will consumers complain? Will bakeries comply? Will it save money or increase costs? What happens if bread quality falls? Who takes responsibility? </w:t>
      </w:r>
      <w:r w:rsidR="00CC2F28">
        <w:t xml:space="preserve">Will the change be blamed on the government? </w:t>
      </w:r>
      <w:r>
        <w:t>These are political-economy questions, and they must be the center of the scaling strategy.</w:t>
      </w:r>
    </w:p>
    <w:p w14:paraId="6498F83B" w14:textId="0428ADDA" w:rsidR="005568FB" w:rsidRDefault="00C82495">
      <w:r>
        <w:rPr>
          <w:b/>
        </w:rPr>
        <w:t>Decision-making authority is unclear.</w:t>
      </w:r>
      <w:r>
        <w:t xml:space="preserve"> The project still lacks a verified map of who can authorize what. Can a governor authorize</w:t>
      </w:r>
      <w:r w:rsidR="00D35247">
        <w:t xml:space="preserve"> contracting for barley growing? </w:t>
      </w:r>
      <w:r>
        <w:t xml:space="preserve"> </w:t>
      </w:r>
      <w:r w:rsidR="00D35247">
        <w:t xml:space="preserve">without national approval? </w:t>
      </w:r>
      <w:r>
        <w:t xml:space="preserve">Can the governorate Directorate of Supply permit bakeries to sell barley-enriched subsidized bread? Is </w:t>
      </w:r>
      <w:proofErr w:type="gramStart"/>
      <w:r>
        <w:t>barley</w:t>
      </w:r>
      <w:proofErr w:type="gramEnd"/>
      <w:r>
        <w:t xml:space="preserve"> legally eligible for strategic procurement? Does a pilot require national MoSIT approval? Does it require approval by the Prime Minister, Presidency, or security/military-linked food authorities? Without these answers, the project is still navigating by assumptions.</w:t>
      </w:r>
    </w:p>
    <w:p w14:paraId="5B77C9CC" w14:textId="77777777" w:rsidR="005568FB" w:rsidRDefault="00C82495">
      <w:r>
        <w:rPr>
          <w:b/>
        </w:rPr>
        <w:lastRenderedPageBreak/>
        <w:t>The strategic commodity question may be decisive.</w:t>
      </w:r>
      <w:r>
        <w:t xml:space="preserve"> If barley must be declared a strategic commodity before farmers can be contracted and subsidized through the bread system, then the project is much more political than technical. A strategic commodity designation is not a workshop output. It requires a decision by actors with formal authority, budget implications, and political responsibility. The project should not treat this as a detail to be solved later. It is potentially the central gate between proof of concept and scaling.</w:t>
      </w:r>
    </w:p>
    <w:p w14:paraId="1D857333" w14:textId="77777777" w:rsidR="005568FB" w:rsidRDefault="00C82495">
      <w:r>
        <w:rPr>
          <w:b/>
        </w:rPr>
        <w:t>The economic case is not yet decision-grade.</w:t>
      </w:r>
      <w:r>
        <w:t xml:space="preserve"> The current evidence does not yet seem to answer whether barley substitution saves money under realistic conditions. The analysis must include production cost, subsidy cost, yield, land quality, farmer profit margin, transport, hulling, milling, storage, blending, bakery adjustments, loaf output, wheat import price, foreign-exchange cost, and risks. If barley is more expensive than wheat when all costs are included, the national case weakens unless there are large strategic, nutrition, or foreign-exchange benefits. If barley is cheaper under contract production on marginal land, that must be proven with credible numbers.</w:t>
      </w:r>
    </w:p>
    <w:p w14:paraId="23A12812" w14:textId="24653451" w:rsidR="005568FB" w:rsidRDefault="00C82495">
      <w:r>
        <w:rPr>
          <w:b/>
        </w:rPr>
        <w:t>Consumer acceptance has been under-evidenced.</w:t>
      </w:r>
      <w:r>
        <w:t xml:space="preserve"> Preliminary acceptance evidence is useful but not adequate for national policy. The project should test multiple blends, multiple bakeries, different geographies, different </w:t>
      </w:r>
      <w:r w:rsidR="00EA6E3F">
        <w:t>demographic</w:t>
      </w:r>
      <w:r>
        <w:t xml:space="preserve"> segments, immediate and delayed consumption, and both sensory and revealed behavior. It should also test whether consumers perceive barley bread as inferior, healthier, more traditional, or a government attempt to stretch wheat. Messaging matters, but messaging cannot compensate for bread that becomes hard, crusty, or less acceptable after a few hours.</w:t>
      </w:r>
    </w:p>
    <w:p w14:paraId="6BECF5E4" w14:textId="161B0E24" w:rsidR="00CE127C" w:rsidRDefault="00C82495">
      <w:r w:rsidRPr="00634AB3">
        <w:rPr>
          <w:b/>
          <w:bCs/>
        </w:rPr>
        <w:t xml:space="preserve">The production pilot </w:t>
      </w:r>
      <w:r w:rsidR="00634AB3">
        <w:rPr>
          <w:b/>
          <w:bCs/>
        </w:rPr>
        <w:t>will likely need to be followed by a second, contracting pilot</w:t>
      </w:r>
      <w:r>
        <w:t xml:space="preserve">. A 50-acre governorate pilot can be useful if it is explicitly designed as a real-life cost-discovery exercise. It is not useful if treated as proof of </w:t>
      </w:r>
      <w:r w:rsidR="00CE127C">
        <w:t xml:space="preserve">contracting or </w:t>
      </w:r>
      <w:r>
        <w:t xml:space="preserve">national feasibility. The pilot should answer specific questions: What </w:t>
      </w:r>
      <w:proofErr w:type="gramStart"/>
      <w:r>
        <w:t>inputs are</w:t>
      </w:r>
      <w:proofErr w:type="gramEnd"/>
      <w:r>
        <w:t xml:space="preserve"> needed? What yields occur under real conditions? What quality issues arise? </w:t>
      </w:r>
      <w:r w:rsidR="00CE127C">
        <w:t xml:space="preserve"> </w:t>
      </w:r>
      <w:r w:rsidR="00110DB9" w:rsidRPr="00634AB3">
        <w:rPr>
          <w:u w:val="single"/>
        </w:rPr>
        <w:t xml:space="preserve">It is also not clear if this pilot </w:t>
      </w:r>
      <w:proofErr w:type="gramStart"/>
      <w:r w:rsidR="00110DB9" w:rsidRPr="00634AB3">
        <w:rPr>
          <w:u w:val="single"/>
        </w:rPr>
        <w:t>takes into account</w:t>
      </w:r>
      <w:proofErr w:type="gramEnd"/>
      <w:r w:rsidR="00110DB9" w:rsidRPr="00634AB3">
        <w:rPr>
          <w:u w:val="single"/>
        </w:rPr>
        <w:t xml:space="preserve"> issues of water supply and irrigation that would likely b</w:t>
      </w:r>
      <w:r w:rsidR="00634AB3" w:rsidRPr="00634AB3">
        <w:rPr>
          <w:u w:val="single"/>
        </w:rPr>
        <w:t>ecome binding at any kind of scale.</w:t>
      </w:r>
      <w:r w:rsidR="00634AB3">
        <w:t xml:space="preserve"> </w:t>
      </w:r>
      <w:r w:rsidR="00CF4446">
        <w:t>If it only shows that barley can grow, it adds little.</w:t>
      </w:r>
    </w:p>
    <w:p w14:paraId="788B0B62" w14:textId="34B4C5F5" w:rsidR="005568FB" w:rsidRDefault="00CE127C">
      <w:proofErr w:type="gramStart"/>
      <w:r>
        <w:t>However</w:t>
      </w:r>
      <w:proofErr w:type="gramEnd"/>
      <w:r>
        <w:t xml:space="preserve"> a further pilot of contracting is essential and will not likely be able to occur until the following barley season.  That pilot would ask: </w:t>
      </w:r>
      <w:r w:rsidR="006C252F">
        <w:t xml:space="preserve">What prices would the government need to pay to </w:t>
      </w:r>
      <w:r w:rsidR="00110DB9">
        <w:t>sufficiently</w:t>
      </w:r>
      <w:r w:rsidR="006C252F">
        <w:t xml:space="preserve"> motivate farmers to grow barley?  How does that </w:t>
      </w:r>
      <w:r w:rsidR="00944730">
        <w:t>consider</w:t>
      </w:r>
      <w:r w:rsidR="006C252F">
        <w:t xml:space="preserve"> government supplied </w:t>
      </w:r>
      <w:r w:rsidR="00944730">
        <w:t xml:space="preserve">reclaimed land and subsidized inputs?  Would subsidized inputs be supplied in the same measure as they are for wheat, i.e. several bags of fertilizer? </w:t>
      </w:r>
      <w:r>
        <w:t xml:space="preserve">What is the </w:t>
      </w:r>
      <w:proofErr w:type="gramStart"/>
      <w:r>
        <w:t>delivered</w:t>
      </w:r>
      <w:proofErr w:type="gramEnd"/>
      <w:r>
        <w:t xml:space="preserve"> cost per ton after harvest and transport? </w:t>
      </w:r>
      <w:r w:rsidR="00C82495">
        <w:t xml:space="preserve">Can governorate systems </w:t>
      </w:r>
      <w:r w:rsidR="00CF4446">
        <w:t xml:space="preserve">or the MOSIT at that level </w:t>
      </w:r>
      <w:r w:rsidR="00C82495">
        <w:t xml:space="preserve">manage contracts and payments? </w:t>
      </w:r>
    </w:p>
    <w:p w14:paraId="0940AE6F" w14:textId="77777777" w:rsidR="005568FB" w:rsidRDefault="00C82495">
      <w:r>
        <w:rPr>
          <w:b/>
        </w:rPr>
        <w:t>The project lacks a clear scaling driver.</w:t>
      </w:r>
      <w:r>
        <w:t xml:space="preserve"> For scaling to continue after S4I, some institution must have the mandate, incentive, resources, and authority to drive it. At present, that actor is unclear. ICARDA wants the model to work; ARC can support technical implementation; governorates may host pilots; agriculture departments can mobilize farmers; supply directorates may participate; bakeries can comply if authorized. But none of these actors yet appears to own the national scaling pathway. Without a driver, the project will remain a coordinated experiment.</w:t>
      </w:r>
    </w:p>
    <w:p w14:paraId="1170874F" w14:textId="76C94038" w:rsidR="005568FB" w:rsidRDefault="00C82495">
      <w:r>
        <w:rPr>
          <w:b/>
        </w:rPr>
        <w:t>Implementation capacity is thin</w:t>
      </w:r>
      <w:r w:rsidR="00292B8F">
        <w:rPr>
          <w:b/>
        </w:rPr>
        <w:t>, especially for the political economy and advocacy needed</w:t>
      </w:r>
      <w:r>
        <w:t xml:space="preserve"> </w:t>
      </w:r>
      <w:proofErr w:type="gramStart"/>
      <w:r>
        <w:t>The</w:t>
      </w:r>
      <w:proofErr w:type="gramEnd"/>
      <w:r>
        <w:t xml:space="preserve"> coaching discussion raised a crucial managerial question: who </w:t>
      </w:r>
      <w:r w:rsidR="006A69BF">
        <w:t xml:space="preserve">on the ICARDA team </w:t>
      </w:r>
      <w:r>
        <w:t xml:space="preserve">is on the ground full-time, with the political </w:t>
      </w:r>
      <w:r w:rsidR="00292B8F">
        <w:t xml:space="preserve">relationships and </w:t>
      </w:r>
      <w:r>
        <w:t xml:space="preserve">access, technical knowledge, and implementation authority needed to move this forward? The answer appears to be that no one is fully dedicated, which is common in CGIAR but dangerous here. This is not a part-time agronomic project. It requires continuous follow-up, stakeholder </w:t>
      </w:r>
      <w:r w:rsidR="006A69BF">
        <w:t xml:space="preserve">and relationship </w:t>
      </w:r>
      <w:r>
        <w:t>management, evidence generation, policy analysis</w:t>
      </w:r>
      <w:r w:rsidR="00292B8F">
        <w:t xml:space="preserve"> advocacy</w:t>
      </w:r>
      <w:r>
        <w:t>, and political navigation in Egypt.</w:t>
      </w:r>
    </w:p>
    <w:p w14:paraId="250390E8" w14:textId="6EC34DA5" w:rsidR="005568FB" w:rsidRDefault="00C82495">
      <w:r>
        <w:lastRenderedPageBreak/>
        <w:t>The project may be funding the wrong functions. If S4I money is mainly used for technical research, small demonstrations, travel, or activities that ARC and ICARDA would do anyway, the value added is weak. The scarce resource is not another technical test. It is the ability to create the policy, institutional, and business evidence needed for the government to decide. S4I should fund what the project otherwise lacks: political economy analysis, policy roadmap, consumer and bakery evidence, contracting proof, economic modeling, a credible stakeholder coordination mechanism</w:t>
      </w:r>
      <w:r w:rsidR="002C309F">
        <w:t xml:space="preserve"> and ultimately policy advocacy</w:t>
      </w:r>
      <w:r>
        <w:t>.</w:t>
      </w:r>
    </w:p>
    <w:p w14:paraId="1E1F6340" w14:textId="295B701B" w:rsidR="005568FB" w:rsidRPr="00C30184" w:rsidRDefault="00C30184" w:rsidP="00C30184">
      <w:pPr>
        <w:pStyle w:val="Heading1"/>
      </w:pPr>
      <w:r w:rsidRPr="00C30184">
        <w:t>6</w:t>
      </w:r>
      <w:r w:rsidR="00C82495" w:rsidRPr="00C30184">
        <w:t>. Scaling Pathway and Stage of Readiness</w:t>
      </w:r>
    </w:p>
    <w:p w14:paraId="352F5C8D" w14:textId="77777777" w:rsidR="005568FB" w:rsidRDefault="00C82495">
      <w:r>
        <w:rPr>
          <w:b/>
        </w:rPr>
        <w:t>The current pathway.</w:t>
      </w:r>
      <w:r>
        <w:t xml:space="preserve"> The emerging pathway seems to be: build evidence at governorate level; use governors to convene relevant local actors; test consumer acceptance and bakery performance; conduct small-scale barley production under real-life contracting conditions; generate economic and political evidence; use that evidence to persuade national actors to authorize a larger pilot; and eventually integrate barley into the strategic bread system. This is a plausible pathway if it is made explicit and resourced correctly.</w:t>
      </w:r>
    </w:p>
    <w:p w14:paraId="74FE5FF1" w14:textId="7E5A3879" w:rsidR="005568FB" w:rsidRDefault="00C82495">
      <w:r>
        <w:rPr>
          <w:b/>
        </w:rPr>
        <w:t>What is missing.</w:t>
      </w:r>
      <w:r>
        <w:t xml:space="preserve"> The missing elements are decision rules and actor commitments. What evidence would convince the governor to fund the next stage? What evidence would convince MoSIT? What evidence would convince the Ministry of Agriculture? What price would persuade farmers? What result would persuade bakers? What level of consumer acceptance is enough? What blend ratio is the target? What is the maximum acceptable cost differential? What political approval is needed before moving from 50 acres to 2,000 tons, 10,000 tons, or a governorate-wide pilot? </w:t>
      </w:r>
      <w:r w:rsidR="003476AB">
        <w:t xml:space="preserve">What are the implications for allocations of reclaimed land and the water and irrigation needs of barley production at these levels?  How would they </w:t>
      </w:r>
      <w:proofErr w:type="gramStart"/>
      <w:r w:rsidR="003476AB">
        <w:t>be met</w:t>
      </w:r>
      <w:proofErr w:type="gramEnd"/>
      <w:r w:rsidR="003476AB">
        <w:t xml:space="preserve">? </w:t>
      </w:r>
      <w:r>
        <w:t>These should be written down before the pilots are run.</w:t>
      </w:r>
    </w:p>
    <w:p w14:paraId="5DB38EC5" w14:textId="27CC1A06" w:rsidR="005568FB" w:rsidRDefault="00C82495">
      <w:r>
        <w:rPr>
          <w:b/>
        </w:rPr>
        <w:t>Stage of readiness.</w:t>
      </w:r>
      <w:r w:rsidR="00DD2425">
        <w:rPr>
          <w:b/>
        </w:rPr>
        <w:t xml:space="preserve">  </w:t>
      </w:r>
      <w:r>
        <w:t>The best classification is early transition to scale for the technical package, but proof-</w:t>
      </w:r>
      <w:proofErr w:type="gramStart"/>
      <w:r>
        <w:t>of--concept</w:t>
      </w:r>
      <w:proofErr w:type="gramEnd"/>
      <w:r>
        <w:t xml:space="preserve"> for the </w:t>
      </w:r>
      <w:r w:rsidR="00DD2425">
        <w:t xml:space="preserve">systems components and </w:t>
      </w:r>
      <w:r>
        <w:t>scaling pathway. In simpler terms, the bread may work; the barley may grow; the system has not yet shown that it will adopt the innovation.</w:t>
      </w:r>
    </w:p>
    <w:p w14:paraId="588ADB85" w14:textId="4E13289A" w:rsidR="005568FB" w:rsidRPr="00C30184" w:rsidRDefault="00C30184" w:rsidP="00C30184">
      <w:pPr>
        <w:pStyle w:val="Heading1"/>
      </w:pPr>
      <w:r>
        <w:t>7</w:t>
      </w:r>
      <w:r w:rsidR="00C82495" w:rsidRPr="00C30184">
        <w:t>. Recommendations for the Project Team</w:t>
      </w:r>
    </w:p>
    <w:p w14:paraId="62146098" w14:textId="77777777" w:rsidR="005568FB" w:rsidRDefault="00C82495">
      <w:r>
        <w:rPr>
          <w:b/>
        </w:rPr>
        <w:t>Reframe the project.</w:t>
      </w:r>
      <w:r>
        <w:t xml:space="preserve"> The team should explicitly reframe the solution as a public-sector food-system and policy innovation with a barley production component, not as a barley variety or bakery innovation with policy implications. This shift matters because it changes what evidence is prioritized and who must be engaged.</w:t>
      </w:r>
    </w:p>
    <w:p w14:paraId="42CA9AE8" w14:textId="77777777" w:rsidR="005568FB" w:rsidRDefault="00C82495">
      <w:r>
        <w:rPr>
          <w:b/>
        </w:rPr>
        <w:t>Develop a verified policy roadmap.</w:t>
      </w:r>
      <w:r>
        <w:t xml:space="preserve"> The first priority should be a practical decision map: who can authorize a governorate pilot, who can authorize subsidized bakery participation, who can approve barley procurement, whether barley must become a strategic commodity, who controls the budget, and what national-level approvals are needed. This should be done by an Egyptian policy/political-economy specialist with real access, not only by technical staff.</w:t>
      </w:r>
    </w:p>
    <w:p w14:paraId="71A5A180" w14:textId="77777777" w:rsidR="005568FB" w:rsidRDefault="00C82495">
      <w:r>
        <w:rPr>
          <w:b/>
        </w:rPr>
        <w:t>Create a formal governorate coordination mechanism.</w:t>
      </w:r>
      <w:r>
        <w:t xml:space="preserve"> If the governorate pathway is real, each pilot governorate should have a formal mechanism chaired or authorized by the governor, including agriculture, supply, extension, monitoring, ARC/FTRI, mills, bakeries, and relevant procurement actors. The purpose is not another meeting. It is to assign responsibilities, unblock decisions, and create accountability.</w:t>
      </w:r>
    </w:p>
    <w:p w14:paraId="7A31A8ED" w14:textId="77777777" w:rsidR="005568FB" w:rsidRDefault="00C82495">
      <w:r>
        <w:t xml:space="preserve">Run a consumer and bakery acceptance pilot before claiming demand. The project should test 10, 15, and possibly 20 percent blends under real bakery conditions. It should include immediate and delayed </w:t>
      </w:r>
      <w:r>
        <w:lastRenderedPageBreak/>
        <w:t>consumption, shelf-life and texture measures, consumer purchase behavior, baker feedback, and complaint monitoring. The pilot should not be designed to prove acceptance; it should be designed to discover the boundary conditions of acceptance.</w:t>
      </w:r>
    </w:p>
    <w:p w14:paraId="5E2A8EFF" w14:textId="44B004D0" w:rsidR="005568FB" w:rsidRDefault="00C82495">
      <w:r>
        <w:t>Design the production pilot as a cost pilot. The 50-acre pilots should measure real costs and real institutional performance. They should track farmer selection, contract terms, seed and fertilizer provision, irrigation, labor, mechanization, yield, payment, quality, transport, hulling, milling, and delivered cost. If the government or governorate cannot co-invest or authorize the pilot, that itself is evidence about the pathway.</w:t>
      </w:r>
    </w:p>
    <w:p w14:paraId="21BCB311" w14:textId="77777777" w:rsidR="005568FB" w:rsidRDefault="00C82495">
      <w:r>
        <w:rPr>
          <w:b/>
        </w:rPr>
        <w:t>Build the economic model.</w:t>
      </w:r>
      <w:r>
        <w:t xml:space="preserve"> ICARDA should produce a simple but rigorous model comparing wheat-only bread and barley-enriched bread under several scenarios. It should include domestic barley contract prices, wheat import prices, milling and hulling costs, yield assumptions, subsidy implications, loaf output, and foreign-exchange savings. This should be updated as pilot data come in.</w:t>
      </w:r>
    </w:p>
    <w:p w14:paraId="5F2E5244" w14:textId="77777777" w:rsidR="005568FB" w:rsidRDefault="00C82495">
      <w:r>
        <w:rPr>
          <w:b/>
        </w:rPr>
        <w:t>Secure high-level engagement.</w:t>
      </w:r>
      <w:r>
        <w:t xml:space="preserve"> ICARDA and ARC should not rely only on technical relationships. If the theory of change ultimately depends on the President, national Ministry of Supply, Ministry of Agriculture, and possibly military or strategic food-security institutions, the project needs an engagement strategy for those actors. This may require a local senior adviser, not just scientific staff.</w:t>
      </w:r>
    </w:p>
    <w:p w14:paraId="228D3733" w14:textId="1DF15167" w:rsidR="000A561E" w:rsidRDefault="000A561E">
      <w:r w:rsidRPr="000A561E">
        <w:rPr>
          <w:b/>
          <w:bCs/>
        </w:rPr>
        <w:t>Develop an agreement in principle with the governorates on a contracting pilot</w:t>
      </w:r>
      <w:r>
        <w:t xml:space="preserve">.  Unless there is testing of the viability of contracting farmers to grow barley, and the attendant regulatory and political permissions can be granted at least on a trial basis, this program has no future.  </w:t>
      </w:r>
      <w:r w:rsidRPr="00A917A4">
        <w:rPr>
          <w:b/>
          <w:bCs/>
          <w:u w:val="single"/>
        </w:rPr>
        <w:t>This is the crux of the problem</w:t>
      </w:r>
      <w:proofErr w:type="gramStart"/>
      <w:r w:rsidRPr="00A917A4">
        <w:rPr>
          <w:b/>
          <w:bCs/>
          <w:u w:val="single"/>
        </w:rPr>
        <w:t>:  the</w:t>
      </w:r>
      <w:proofErr w:type="gramEnd"/>
      <w:r w:rsidR="00A917A4" w:rsidRPr="00A917A4">
        <w:rPr>
          <w:b/>
          <w:bCs/>
          <w:u w:val="single"/>
        </w:rPr>
        <w:t xml:space="preserve"> needed</w:t>
      </w:r>
      <w:r w:rsidRPr="00A917A4">
        <w:rPr>
          <w:b/>
          <w:bCs/>
          <w:u w:val="single"/>
        </w:rPr>
        <w:t xml:space="preserve"> permissions are highly political sensitive and governorates seem unlikely to be either willing or able to move forward with political support from above, but it is not clear whether national actors will approve without evidence of the viability of contracting for barley production. Without a clear pathway out of this bottleneck, national scaling of barley </w:t>
      </w:r>
      <w:proofErr w:type="spellStart"/>
      <w:r w:rsidRPr="00A917A4">
        <w:rPr>
          <w:b/>
          <w:bCs/>
          <w:u w:val="single"/>
        </w:rPr>
        <w:t>balady</w:t>
      </w:r>
      <w:proofErr w:type="spellEnd"/>
      <w:r w:rsidRPr="00A917A4">
        <w:rPr>
          <w:b/>
          <w:bCs/>
          <w:u w:val="single"/>
        </w:rPr>
        <w:t xml:space="preserve"> bread cannot proceed</w:t>
      </w:r>
      <w:r>
        <w:t>.</w:t>
      </w:r>
    </w:p>
    <w:p w14:paraId="0F16D24C" w14:textId="77777777" w:rsidR="005568FB" w:rsidRDefault="00C82495">
      <w:r>
        <w:rPr>
          <w:b/>
        </w:rPr>
        <w:t>Use stage gates.</w:t>
      </w:r>
      <w:r>
        <w:t xml:space="preserve"> The project should establish clear go/no-go criteria. If consumer acceptance fails at 15 or 20 percent, scale at 10 percent or stop. If delivered barley cost is too high, revisit the production model. If governorates cannot authorize contracting, shift to national policy engagement. If no national actor is willing to champion the pathway, do not pretend scaling is imminent.</w:t>
      </w:r>
    </w:p>
    <w:p w14:paraId="798E6E0B" w14:textId="189353B1" w:rsidR="005568FB" w:rsidRPr="00C30184" w:rsidRDefault="00C30184" w:rsidP="00C30184">
      <w:pPr>
        <w:pStyle w:val="Heading1"/>
      </w:pPr>
      <w:r w:rsidRPr="00C30184">
        <w:t>8</w:t>
      </w:r>
      <w:r w:rsidR="00C82495" w:rsidRPr="00C30184">
        <w:t>. Recommendation on S4I Funding</w:t>
      </w:r>
    </w:p>
    <w:p w14:paraId="6820A44A" w14:textId="398B7B4D" w:rsidR="005568FB" w:rsidRDefault="00C82495">
      <w:r>
        <w:rPr>
          <w:b/>
        </w:rPr>
        <w:t>Fund</w:t>
      </w:r>
      <w:r w:rsidR="00C30184">
        <w:rPr>
          <w:b/>
        </w:rPr>
        <w:t xml:space="preserve"> through AoW3 or a fund for early Transition-to-Scale</w:t>
      </w:r>
      <w:r>
        <w:rPr>
          <w:b/>
        </w:rPr>
        <w:t>, but conditionally.</w:t>
      </w:r>
      <w:r>
        <w:t xml:space="preserve"> S4I </w:t>
      </w:r>
      <w:r w:rsidR="00737E74">
        <w:t xml:space="preserve">AoW3 </w:t>
      </w:r>
      <w:r>
        <w:t>should consider funding the project for another year, but only if the funding is tied to a revised scope and stage-appropriate outputs. The innovation is strategically important enough to justify continued investment, and S4I has already added value by revealing the real bottlenecks. However, funding should not be justified by near-term beneficiary numbers or national reach. It should be justified as a high-value implementation-science and policy-scaling case.</w:t>
      </w:r>
    </w:p>
    <w:p w14:paraId="474B944F" w14:textId="32CC3CA4" w:rsidR="005568FB" w:rsidRDefault="00C82495">
      <w:r>
        <w:rPr>
          <w:b/>
        </w:rPr>
        <w:t>What S4I should fund.</w:t>
      </w:r>
      <w:r>
        <w:t xml:space="preserve"> S4I should fund </w:t>
      </w:r>
      <w:r w:rsidR="00737E74">
        <w:t>six</w:t>
      </w:r>
      <w:r>
        <w:t xml:space="preserve"> outputs. First, a verified political-economy and policy roadmap for barley integration into the subsidized bread system. Second, a decision-quality economic and fiscal model. Third, consumer, bakery, and shelf-life trials under real conditions. Fourth, one or two </w:t>
      </w:r>
      <w:proofErr w:type="gramStart"/>
      <w:r>
        <w:t>production</w:t>
      </w:r>
      <w:proofErr w:type="gramEnd"/>
      <w:r w:rsidR="00737E74">
        <w:t xml:space="preserve">. Fifth, agreement to proceed with </w:t>
      </w:r>
      <w:r>
        <w:t>contracting pilots that test institutional feasibility, not just yield</w:t>
      </w:r>
      <w:r w:rsidR="00737E74">
        <w:t>, assuming the other pilots and tests are successful</w:t>
      </w:r>
      <w:r>
        <w:t xml:space="preserve">. </w:t>
      </w:r>
      <w:r w:rsidR="00737E74">
        <w:t>Six</w:t>
      </w:r>
      <w:r w:rsidR="00E30762">
        <w:t xml:space="preserve">th, development of an advocacy strategy </w:t>
      </w:r>
      <w:r w:rsidR="00E30762" w:rsidRPr="00F86CE1">
        <w:rPr>
          <w:u w:val="single"/>
        </w:rPr>
        <w:t xml:space="preserve">and staffing of </w:t>
      </w:r>
      <w:r w:rsidR="00F86CE1" w:rsidRPr="00F86CE1">
        <w:rPr>
          <w:u w:val="single"/>
        </w:rPr>
        <w:t>politically connected</w:t>
      </w:r>
      <w:r w:rsidR="00E30762" w:rsidRPr="00F86CE1">
        <w:rPr>
          <w:u w:val="single"/>
        </w:rPr>
        <w:t xml:space="preserve"> project leadership </w:t>
      </w:r>
      <w:r w:rsidR="00E30762">
        <w:t>that can implement that strategy.</w:t>
      </w:r>
    </w:p>
    <w:p w14:paraId="398563FB" w14:textId="77777777" w:rsidR="005568FB" w:rsidRDefault="00C82495">
      <w:r>
        <w:rPr>
          <w:b/>
        </w:rPr>
        <w:lastRenderedPageBreak/>
        <w:t>Conditions for funding.</w:t>
      </w:r>
      <w:r>
        <w:t xml:space="preserve"> The project should submit a revised workplan showing who is responsible for each output, how much time they will spend, what Egyptian institutions will co-invest, what decisions are expected from which actors, and what evidence will be available by key dates. </w:t>
      </w:r>
      <w:r w:rsidRPr="00F86CE1">
        <w:rPr>
          <w:u w:val="single"/>
        </w:rPr>
        <w:t>At least one dedicated Egypt-based scaling or policy lead should be included.</w:t>
      </w:r>
      <w:r>
        <w:t xml:space="preserve"> ARC should remain central, but it should not be treated as the sole pathway to the decision makers who matter.</w:t>
      </w:r>
    </w:p>
    <w:p w14:paraId="4D596063" w14:textId="188B94F5" w:rsidR="005568FB" w:rsidRDefault="00C82495">
      <w:r>
        <w:rPr>
          <w:b/>
        </w:rPr>
        <w:t>Funding level.</w:t>
      </w:r>
      <w:r>
        <w:t xml:space="preserve"> If S4I resources are limited, a smaller targeted grant may be more appropriate than a full standard scaling grant. The objective should be to de-risk the pathway and determine whether a larger investment is warranted. If the project can secure clear government authorization and co-investment</w:t>
      </w:r>
      <w:r w:rsidR="00F86CE1">
        <w:t xml:space="preserve"> to a contracting pilot in principle</w:t>
      </w:r>
      <w:r>
        <w:t>, a larger grant could be justified. If it cannot, S4I should not continue funding as if national scaling were likely.</w:t>
      </w:r>
    </w:p>
    <w:p w14:paraId="65B1157B" w14:textId="65FE9C8D" w:rsidR="005568FB" w:rsidRPr="00C30184" w:rsidRDefault="00C30184" w:rsidP="00C30184">
      <w:pPr>
        <w:pStyle w:val="Heading1"/>
      </w:pPr>
      <w:r>
        <w:t>9</w:t>
      </w:r>
      <w:r w:rsidR="00C82495" w:rsidRPr="00C30184">
        <w:t>. Lessons for S4I and CGIAR</w:t>
      </w:r>
    </w:p>
    <w:p w14:paraId="55920CE3" w14:textId="77777777" w:rsidR="005568FB" w:rsidRDefault="00C82495">
      <w:r>
        <w:rPr>
          <w:b/>
        </w:rPr>
        <w:t>System innovations need different due diligence.</w:t>
      </w:r>
      <w:r>
        <w:t xml:space="preserve"> CGIAR is comfortable assessing varieties, agronomy, and yield. It is less comfortable assessing whether a state-controlled value chain will change. S4I should develop a due-diligence process for system innovations that begins with decision rights, incentives, political economy, fiscal implications, and implementation capacity.</w:t>
      </w:r>
    </w:p>
    <w:p w14:paraId="5F054E4F" w14:textId="16DEF8AA" w:rsidR="005568FB" w:rsidRDefault="00C82495">
      <w:r>
        <w:rPr>
          <w:b/>
        </w:rPr>
        <w:t>Policy alignment is not enough.</w:t>
      </w:r>
      <w:r>
        <w:t xml:space="preserve"> The fact that an innovation aligns with food security, nutrition, climate resilience, or import substitution does not mean government will adopt it. Governments have many priorities and limited political bandwidth</w:t>
      </w:r>
      <w:r w:rsidR="00D2325A">
        <w:t xml:space="preserve"> and in an </w:t>
      </w:r>
      <w:r w:rsidR="00F750FD">
        <w:t>authoritarian system political economy consideration of regime stability</w:t>
      </w:r>
      <w:r w:rsidR="00D2325A">
        <w:t xml:space="preserve"> may dominate</w:t>
      </w:r>
      <w:r>
        <w:t xml:space="preserve">. Scaling depends on whether the relevant actors have a reason to spend money, take </w:t>
      </w:r>
      <w:r w:rsidR="00F750FD">
        <w:t xml:space="preserve">financial and political </w:t>
      </w:r>
      <w:r>
        <w:t>risk</w:t>
      </w:r>
      <w:r w:rsidR="00F750FD">
        <w:t>s</w:t>
      </w:r>
      <w:r>
        <w:t>, issue regulations, and defend the change.</w:t>
      </w:r>
    </w:p>
    <w:p w14:paraId="699A117A" w14:textId="77777777" w:rsidR="005568FB" w:rsidRDefault="00C82495">
      <w:r>
        <w:rPr>
          <w:b/>
        </w:rPr>
        <w:t>Technical proof is not proof of scalability.</w:t>
      </w:r>
      <w:r>
        <w:t xml:space="preserve"> Barley can grow, flour can be blended, and consumers can like a test product. None of that proves that a subsidized national bread system will integrate barley. CGIAR proposals need to distinguish evidence of efficacy from evidence of institutional feasibility and political adoption.</w:t>
      </w:r>
    </w:p>
    <w:p w14:paraId="569D5AEC" w14:textId="77777777" w:rsidR="005568FB" w:rsidRDefault="00C82495">
      <w:r>
        <w:t>S4I should fund bottleneck resolution, not activity expansion. The value of S4I is not to pay for more demonstrations. It is to identify the binding bottleneck and help solve it. In this case, the binding bottleneck is the policy and procurement pathway. If S4I funds this project, it should fund the work that answers whether the pathway exists.</w:t>
      </w:r>
    </w:p>
    <w:p w14:paraId="6DB5F542" w14:textId="75C71AB6" w:rsidR="005568FB" w:rsidRDefault="00C82495">
      <w:r>
        <w:rPr>
          <w:b/>
        </w:rPr>
        <w:t>Implementation science is a CGIAR gap.</w:t>
      </w:r>
      <w:r>
        <w:t xml:space="preserve"> This case sits between research and policy. It is not traditional agronomy, but it is also not simply policy advocacy. It asks how evidence, institutions, contracts, procurement, subsidies, bakeries, consumers, and political approval can be sequenced into a viable scaling pathway. CGIAR needs more capability </w:t>
      </w:r>
      <w:proofErr w:type="gramStart"/>
      <w:r>
        <w:t>in exactly</w:t>
      </w:r>
      <w:proofErr w:type="gramEnd"/>
      <w:r>
        <w:t xml:space="preserve"> this space.</w:t>
      </w:r>
    </w:p>
    <w:p w14:paraId="70B34455" w14:textId="0271E2B1" w:rsidR="00D71153" w:rsidRDefault="00D71153">
      <w:r w:rsidRPr="00D71153">
        <w:rPr>
          <w:b/>
          <w:bCs/>
        </w:rPr>
        <w:t xml:space="preserve">Policy Advocacy </w:t>
      </w:r>
      <w:r w:rsidR="00785BFF">
        <w:rPr>
          <w:b/>
          <w:bCs/>
        </w:rPr>
        <w:t xml:space="preserve">and relationships are </w:t>
      </w:r>
      <w:r w:rsidRPr="00D71153">
        <w:rPr>
          <w:b/>
          <w:bCs/>
        </w:rPr>
        <w:t>needed</w:t>
      </w:r>
      <w:r>
        <w:t xml:space="preserve"> </w:t>
      </w:r>
      <w:r w:rsidRPr="00D71153">
        <w:rPr>
          <w:b/>
          <w:bCs/>
        </w:rPr>
        <w:t>and is a CGIAR gap</w:t>
      </w:r>
      <w:r>
        <w:t xml:space="preserve">.   Evidence for advocacy that addresses both technical and political economy concerns is necessary but not sufficient.  Such advocacy cannot take place if there is not a clear understanding of who the decision makers are and what their concerns and interests </w:t>
      </w:r>
      <w:proofErr w:type="gramStart"/>
      <w:r>
        <w:t>are;  this</w:t>
      </w:r>
      <w:proofErr w:type="gramEnd"/>
      <w:r>
        <w:t xml:space="preserve"> information may not be readily available in authoritarian systems with little transparency or formal accountability. Both the knowledge necessary to understand the system and advocate within it are ones that in most cases CGIAR project leadership lacks, as they are based on insider relationships, networks, and informal patron-client and political coalitions.  Ultimately if the CGIAR wants to scale successfully in these kinds of political economy environments and scale systems change models generally, it needs to cultivate relationships and hire and put in place leadership with these kinds of characteristics and not agronomic expertise.</w:t>
      </w:r>
    </w:p>
    <w:p w14:paraId="788EE9E5" w14:textId="46F5D2E9" w:rsidR="005568FB" w:rsidRDefault="009E57EA">
      <w:r>
        <w:rPr>
          <w:b/>
        </w:rPr>
        <w:lastRenderedPageBreak/>
        <w:t>Proposal evaluation and renewal s</w:t>
      </w:r>
      <w:r w:rsidR="00C82495">
        <w:rPr>
          <w:b/>
        </w:rPr>
        <w:t>tage-gating should be more honest.</w:t>
      </w:r>
      <w:r w:rsidR="00C82495">
        <w:t xml:space="preserve"> The original EOI was attractive because the potential payoff was large. But the due diligence now suggests the project was earlier than assumed. S4I should use this as a learning case. </w:t>
      </w:r>
      <w:proofErr w:type="gramStart"/>
      <w:r w:rsidR="00C82495">
        <w:t>Large potential impact</w:t>
      </w:r>
      <w:r w:rsidR="005374B2">
        <w:t>,</w:t>
      </w:r>
      <w:proofErr w:type="gramEnd"/>
      <w:r w:rsidR="005374B2">
        <w:t xml:space="preserve"> especially claims that focus “reach” or “awareness building”, whether by consumer, producers or both, </w:t>
      </w:r>
      <w:r w:rsidR="00C82495">
        <w:t>should not override the need to assess pathway readiness. A project can be worth funding precisely because the pathway is uncertain, but it should then be funded and managed as a learning and de-risking investment, not as a near-scaling investment.</w:t>
      </w:r>
    </w:p>
    <w:p w14:paraId="1DAFFF63" w14:textId="3A6CD26F" w:rsidR="005568FB" w:rsidRPr="00C30184" w:rsidRDefault="00C30184" w:rsidP="00C30184">
      <w:pPr>
        <w:pStyle w:val="Heading1"/>
      </w:pPr>
      <w:r>
        <w:t xml:space="preserve">10. </w:t>
      </w:r>
      <w:r w:rsidR="00C82495" w:rsidRPr="00C30184">
        <w:t>Conclusion</w:t>
      </w:r>
    </w:p>
    <w:p w14:paraId="03E542EC" w14:textId="0BC33983" w:rsidR="005568FB" w:rsidRDefault="00C82495">
      <w:r>
        <w:t xml:space="preserve">The barley-enriched </w:t>
      </w:r>
      <w:proofErr w:type="spellStart"/>
      <w:r>
        <w:t>balady</w:t>
      </w:r>
      <w:proofErr w:type="spellEnd"/>
      <w:r>
        <w:t xml:space="preserve"> bread solution is one of the most interesting and potentially consequential S4I investments because it connects CGIAR science to a national staple food system</w:t>
      </w:r>
      <w:r w:rsidR="003274C0">
        <w:t xml:space="preserve"> and could revolutionize bread system in Egypt with serious macroeconomic, financial and national security consequences</w:t>
      </w:r>
      <w:r>
        <w:t>. The idea is compelling. If barley can replace even a modest share of wheat in Egypt's balady bread system without consumer rejection or fiscal loss, the benefits could be large: lower wheat import dependence, better use of marginal land, domestic cereal resilience, improved nutrition, and a new market for farmers.</w:t>
      </w:r>
    </w:p>
    <w:p w14:paraId="0D4515EE" w14:textId="5EF1236B" w:rsidR="005568FB" w:rsidRDefault="00C82495">
      <w:r>
        <w:t xml:space="preserve">But the field evidence also shows that this is not yet a scalable model. It is a promising </w:t>
      </w:r>
      <w:r w:rsidR="00A354F7">
        <w:t xml:space="preserve">systems change </w:t>
      </w:r>
      <w:r>
        <w:t xml:space="preserve">concept searching for a political and institutional pathway. The original proposal appears to have assumed that the pathway through MoSIT and the national bread system was clearer than it is. The current governorate-level pivot is sensible, but it changes the nature of the work. The project must now prove not only that barley bread works, but that the Egyptian state has a feasible, authorized, and </w:t>
      </w:r>
      <w:r w:rsidRPr="00785BFF">
        <w:rPr>
          <w:u w:val="single"/>
        </w:rPr>
        <w:t xml:space="preserve">politically acceptable </w:t>
      </w:r>
      <w:r>
        <w:t>way to integrate barley into the subsidized bread value chain.</w:t>
      </w:r>
    </w:p>
    <w:p w14:paraId="2E66F5CC" w14:textId="4C612B6D" w:rsidR="005568FB" w:rsidRDefault="00C82495">
      <w:r>
        <w:t>The practical recommendation is to continue</w:t>
      </w:r>
      <w:r w:rsidR="00840859">
        <w:t xml:space="preserve"> if S4I decides to fund </w:t>
      </w:r>
      <w:proofErr w:type="gramStart"/>
      <w:r w:rsidR="00840859">
        <w:t>early stage</w:t>
      </w:r>
      <w:proofErr w:type="gramEnd"/>
      <w:r w:rsidR="00840859">
        <w:t xml:space="preserve"> Transition-to-Scale projects</w:t>
      </w:r>
      <w:r>
        <w:t xml:space="preserve">, but with discipline. Separate technical proof from system proof. Stop treating agriculture stakeholders as sufficient. Map the decision pathway. Test consumers and bakeries rigorously. Use production </w:t>
      </w:r>
      <w:r w:rsidR="00701BEC">
        <w:t xml:space="preserve">and </w:t>
      </w:r>
      <w:r w:rsidR="008A0B15" w:rsidRPr="008A0B15">
        <w:rPr>
          <w:u w:val="single"/>
        </w:rPr>
        <w:t xml:space="preserve">especially </w:t>
      </w:r>
      <w:r w:rsidR="00701BEC" w:rsidRPr="008A0B15">
        <w:rPr>
          <w:u w:val="single"/>
        </w:rPr>
        <w:t xml:space="preserve">contracting </w:t>
      </w:r>
      <w:r w:rsidRPr="008A0B15">
        <w:rPr>
          <w:u w:val="single"/>
        </w:rPr>
        <w:t>pilots</w:t>
      </w:r>
      <w:r>
        <w:t xml:space="preserve"> to discover costs and contracting feasibility. Build the economic case. Secure high-level political engagement. </w:t>
      </w:r>
      <w:r w:rsidRPr="008A0B15">
        <w:rPr>
          <w:u w:val="single"/>
        </w:rPr>
        <w:t>Require government co-investment</w:t>
      </w:r>
      <w:r w:rsidR="008A0B15" w:rsidRPr="008A0B15">
        <w:rPr>
          <w:u w:val="single"/>
        </w:rPr>
        <w:t xml:space="preserve"> in contracting pilots or at least a commitment to a pathway that includes them</w:t>
      </w:r>
      <w:r w:rsidR="008A0B15">
        <w:rPr>
          <w:u w:val="single"/>
        </w:rPr>
        <w:t xml:space="preserve"> should explicit preconditions be met</w:t>
      </w:r>
      <w:r>
        <w:t>. And be honest that this is early transition to scale at best, not national scaling.</w:t>
      </w:r>
    </w:p>
    <w:p w14:paraId="3EF05EA3" w14:textId="4100FF11" w:rsidR="00625AC2" w:rsidRDefault="00B70BD5">
      <w:r w:rsidRPr="00B70BD5">
        <w:rPr>
          <w:b/>
          <w:bCs/>
        </w:rPr>
        <w:t>Continued funding is highly risky with only long-term potential for significant returns, but those returns are very high – impact the entire base of the Egyptian food system</w:t>
      </w:r>
      <w:r>
        <w:t xml:space="preserve">. </w:t>
      </w:r>
      <w:r w:rsidR="00C82495">
        <w:t xml:space="preserve">If S4I funds another year, it should fund the bottleneck that matters: the political economy and implementation pathway. That would be a good investment even if national scaling </w:t>
      </w:r>
      <w:r w:rsidR="00840859">
        <w:t xml:space="preserve">is risk and </w:t>
      </w:r>
      <w:r w:rsidR="00C82495">
        <w:t>takes longer than hoped, because it would create a high-value case study for CGIAR on how to approach system innovations. If the project can produce a credible roadmap, government commitments, and real pilot evidence, it could become one of the most useful examples in the S4I portfolio. If it cannot, the lesson is equally valuable: no amount of agronomic promise substitutes for a scaling driver with authority, incentives, resources, and political permission to act.</w:t>
      </w:r>
    </w:p>
    <w:p w14:paraId="3E728DE2" w14:textId="77777777" w:rsidR="00625AC2" w:rsidRDefault="00625AC2">
      <w:pPr>
        <w:spacing w:after="200" w:line="276" w:lineRule="auto"/>
      </w:pPr>
      <w:r>
        <w:br w:type="page"/>
      </w:r>
    </w:p>
    <w:sectPr w:rsidR="00625AC2"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23584" w14:textId="77777777" w:rsidR="00FF44A1" w:rsidRDefault="00FF44A1">
      <w:pPr>
        <w:spacing w:after="0" w:line="240" w:lineRule="auto"/>
      </w:pPr>
      <w:r>
        <w:separator/>
      </w:r>
    </w:p>
  </w:endnote>
  <w:endnote w:type="continuationSeparator" w:id="0">
    <w:p w14:paraId="39F8F4E8" w14:textId="77777777" w:rsidR="00FF44A1" w:rsidRDefault="00FF4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A4A6" w14:textId="77777777" w:rsidR="005568FB" w:rsidRDefault="005568FB">
    <w:pPr>
      <w:pStyle w:val="Foote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5568FB" w14:paraId="0258B4E4" w14:textId="77777777">
      <w:trPr>
        <w:jc w:val="center"/>
      </w:trPr>
      <w:tc>
        <w:tcPr>
          <w:tcW w:w="3120" w:type="dxa"/>
          <w:tcMar>
            <w:top w:w="0" w:type="dxa"/>
            <w:left w:w="0" w:type="dxa"/>
            <w:bottom w:w="0" w:type="dxa"/>
            <w:right w:w="0" w:type="dxa"/>
          </w:tcMar>
          <w:vAlign w:val="center"/>
        </w:tcPr>
        <w:p w14:paraId="4A1D57F6" w14:textId="77777777" w:rsidR="005568FB" w:rsidRDefault="00C82495">
          <w:pPr>
            <w:spacing w:after="0" w:line="240" w:lineRule="auto"/>
          </w:pPr>
          <w:r>
            <w:rPr>
              <w:sz w:val="18"/>
            </w:rPr>
            <w:t>Author: Richard Kohl</w:t>
          </w:r>
        </w:p>
      </w:tc>
      <w:tc>
        <w:tcPr>
          <w:tcW w:w="3120" w:type="dxa"/>
          <w:tcMar>
            <w:top w:w="0" w:type="dxa"/>
            <w:left w:w="0" w:type="dxa"/>
            <w:bottom w:w="0" w:type="dxa"/>
            <w:right w:w="0" w:type="dxa"/>
          </w:tcMar>
          <w:vAlign w:val="center"/>
        </w:tcPr>
        <w:p w14:paraId="62C4422B" w14:textId="77777777" w:rsidR="005568FB" w:rsidRDefault="00C82495">
          <w:pPr>
            <w:spacing w:after="0" w:line="240" w:lineRule="auto"/>
            <w:jc w:val="center"/>
          </w:pPr>
          <w:r>
            <w:rPr>
              <w:sz w:val="18"/>
            </w:rPr>
            <w:t xml:space="preserve">Page </w:t>
          </w:r>
          <w:r>
            <w:rPr>
              <w:sz w:val="18"/>
            </w:rPr>
            <w:fldChar w:fldCharType="begin"/>
          </w:r>
          <w:r>
            <w:rPr>
              <w:sz w:val="18"/>
            </w:rPr>
            <w:instrText>PAGE</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w:t>
          </w:r>
          <w:r>
            <w:rPr>
              <w:sz w:val="18"/>
            </w:rPr>
            <w:fldChar w:fldCharType="end"/>
          </w:r>
        </w:p>
      </w:tc>
      <w:tc>
        <w:tcPr>
          <w:tcW w:w="3120" w:type="dxa"/>
          <w:tcMar>
            <w:top w:w="0" w:type="dxa"/>
            <w:left w:w="0" w:type="dxa"/>
            <w:bottom w:w="0" w:type="dxa"/>
            <w:right w:w="0" w:type="dxa"/>
          </w:tcMar>
          <w:vAlign w:val="center"/>
        </w:tcPr>
        <w:p w14:paraId="1E2B689B" w14:textId="6DF60A98" w:rsidR="005568FB" w:rsidRDefault="00C82495">
          <w:pPr>
            <w:spacing w:after="0" w:line="240" w:lineRule="auto"/>
            <w:jc w:val="right"/>
          </w:pPr>
          <w:r>
            <w:rPr>
              <w:sz w:val="18"/>
            </w:rPr>
            <w:t>1</w:t>
          </w:r>
          <w:r w:rsidR="00271250">
            <w:rPr>
              <w:sz w:val="18"/>
            </w:rPr>
            <w:t>5</w:t>
          </w:r>
          <w:r>
            <w:rPr>
              <w:sz w:val="18"/>
            </w:rPr>
            <w:t xml:space="preserve"> July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1C442" w14:textId="77777777" w:rsidR="00FF44A1" w:rsidRDefault="00FF44A1">
      <w:pPr>
        <w:spacing w:after="0" w:line="240" w:lineRule="auto"/>
      </w:pPr>
      <w:r>
        <w:separator/>
      </w:r>
    </w:p>
  </w:footnote>
  <w:footnote w:type="continuationSeparator" w:id="0">
    <w:p w14:paraId="75591F78" w14:textId="77777777" w:rsidR="00FF44A1" w:rsidRDefault="00FF4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DA8B" w14:textId="2C6061AF" w:rsidR="005E5AC5" w:rsidRPr="00271250" w:rsidRDefault="00271250" w:rsidP="00271250">
    <w:pPr>
      <w:pStyle w:val="Header"/>
      <w:jc w:val="right"/>
      <w:rPr>
        <w:sz w:val="20"/>
        <w:szCs w:val="20"/>
      </w:rPr>
    </w:pPr>
    <w:r w:rsidRPr="00271250">
      <w:rPr>
        <w:sz w:val="20"/>
        <w:szCs w:val="20"/>
      </w:rPr>
      <w:t>Egypt Balady Bread S4I Scaling Assessment and Coaching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276430">
    <w:abstractNumId w:val="8"/>
  </w:num>
  <w:num w:numId="2" w16cid:durableId="928345495">
    <w:abstractNumId w:val="6"/>
  </w:num>
  <w:num w:numId="3" w16cid:durableId="1111122409">
    <w:abstractNumId w:val="5"/>
  </w:num>
  <w:num w:numId="4" w16cid:durableId="31657175">
    <w:abstractNumId w:val="4"/>
  </w:num>
  <w:num w:numId="5" w16cid:durableId="1845515605">
    <w:abstractNumId w:val="7"/>
  </w:num>
  <w:num w:numId="6" w16cid:durableId="1052116280">
    <w:abstractNumId w:val="3"/>
  </w:num>
  <w:num w:numId="7" w16cid:durableId="1393655521">
    <w:abstractNumId w:val="2"/>
  </w:num>
  <w:num w:numId="8" w16cid:durableId="1765151621">
    <w:abstractNumId w:val="1"/>
  </w:num>
  <w:num w:numId="9" w16cid:durableId="2005015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DA9"/>
    <w:rsid w:val="00034616"/>
    <w:rsid w:val="0006063C"/>
    <w:rsid w:val="00091495"/>
    <w:rsid w:val="000A561E"/>
    <w:rsid w:val="00110DB9"/>
    <w:rsid w:val="00135C64"/>
    <w:rsid w:val="0015074B"/>
    <w:rsid w:val="001B1AC6"/>
    <w:rsid w:val="001D2447"/>
    <w:rsid w:val="001F30D1"/>
    <w:rsid w:val="00227793"/>
    <w:rsid w:val="00242DD2"/>
    <w:rsid w:val="00271250"/>
    <w:rsid w:val="0027127C"/>
    <w:rsid w:val="00292B8F"/>
    <w:rsid w:val="0029639D"/>
    <w:rsid w:val="00296EE1"/>
    <w:rsid w:val="002B2285"/>
    <w:rsid w:val="002C2BED"/>
    <w:rsid w:val="002C309F"/>
    <w:rsid w:val="002C770D"/>
    <w:rsid w:val="00326F90"/>
    <w:rsid w:val="003274C0"/>
    <w:rsid w:val="003476AB"/>
    <w:rsid w:val="003732DF"/>
    <w:rsid w:val="003807A2"/>
    <w:rsid w:val="00382830"/>
    <w:rsid w:val="003927F9"/>
    <w:rsid w:val="0039359C"/>
    <w:rsid w:val="003C09C4"/>
    <w:rsid w:val="003F009C"/>
    <w:rsid w:val="00464A26"/>
    <w:rsid w:val="004A25F8"/>
    <w:rsid w:val="004A72BC"/>
    <w:rsid w:val="004B2B69"/>
    <w:rsid w:val="00503419"/>
    <w:rsid w:val="00531F27"/>
    <w:rsid w:val="005374B2"/>
    <w:rsid w:val="005460E0"/>
    <w:rsid w:val="005520D7"/>
    <w:rsid w:val="005527B2"/>
    <w:rsid w:val="005568FB"/>
    <w:rsid w:val="00577698"/>
    <w:rsid w:val="005E5AC5"/>
    <w:rsid w:val="006113B3"/>
    <w:rsid w:val="00624548"/>
    <w:rsid w:val="00625AC2"/>
    <w:rsid w:val="00634AB3"/>
    <w:rsid w:val="00670AB9"/>
    <w:rsid w:val="006A69BF"/>
    <w:rsid w:val="006C252F"/>
    <w:rsid w:val="00701BEC"/>
    <w:rsid w:val="00726BEB"/>
    <w:rsid w:val="00735283"/>
    <w:rsid w:val="00737E74"/>
    <w:rsid w:val="007541B2"/>
    <w:rsid w:val="00785BFF"/>
    <w:rsid w:val="007B0F2C"/>
    <w:rsid w:val="00840859"/>
    <w:rsid w:val="00841CAE"/>
    <w:rsid w:val="008516D6"/>
    <w:rsid w:val="00880277"/>
    <w:rsid w:val="00893C0F"/>
    <w:rsid w:val="008A0B15"/>
    <w:rsid w:val="008C5AC7"/>
    <w:rsid w:val="008F4924"/>
    <w:rsid w:val="0090785D"/>
    <w:rsid w:val="009274D3"/>
    <w:rsid w:val="009346B4"/>
    <w:rsid w:val="00936D05"/>
    <w:rsid w:val="00944730"/>
    <w:rsid w:val="009B4A4E"/>
    <w:rsid w:val="009B7705"/>
    <w:rsid w:val="009E57EA"/>
    <w:rsid w:val="00A03EAB"/>
    <w:rsid w:val="00A1000F"/>
    <w:rsid w:val="00A14D65"/>
    <w:rsid w:val="00A354F7"/>
    <w:rsid w:val="00A67D82"/>
    <w:rsid w:val="00A917A4"/>
    <w:rsid w:val="00AA1D8D"/>
    <w:rsid w:val="00B42B9E"/>
    <w:rsid w:val="00B44F23"/>
    <w:rsid w:val="00B47730"/>
    <w:rsid w:val="00B70BD5"/>
    <w:rsid w:val="00BC23D6"/>
    <w:rsid w:val="00BD6254"/>
    <w:rsid w:val="00BD66E1"/>
    <w:rsid w:val="00C17457"/>
    <w:rsid w:val="00C30184"/>
    <w:rsid w:val="00C5223C"/>
    <w:rsid w:val="00C814AD"/>
    <w:rsid w:val="00C82495"/>
    <w:rsid w:val="00CB0664"/>
    <w:rsid w:val="00CC2827"/>
    <w:rsid w:val="00CC2F28"/>
    <w:rsid w:val="00CE127C"/>
    <w:rsid w:val="00CF4446"/>
    <w:rsid w:val="00CF7C69"/>
    <w:rsid w:val="00D079A1"/>
    <w:rsid w:val="00D2325A"/>
    <w:rsid w:val="00D35247"/>
    <w:rsid w:val="00D5166D"/>
    <w:rsid w:val="00D71153"/>
    <w:rsid w:val="00D864D6"/>
    <w:rsid w:val="00D9603A"/>
    <w:rsid w:val="00DD2425"/>
    <w:rsid w:val="00DD7211"/>
    <w:rsid w:val="00E30762"/>
    <w:rsid w:val="00E902ED"/>
    <w:rsid w:val="00EA022D"/>
    <w:rsid w:val="00EA6E3F"/>
    <w:rsid w:val="00F60BBA"/>
    <w:rsid w:val="00F750FD"/>
    <w:rsid w:val="00F86CE1"/>
    <w:rsid w:val="00FB034B"/>
    <w:rsid w:val="00FC693F"/>
    <w:rsid w:val="00FD3530"/>
    <w:rsid w:val="00FE085A"/>
    <w:rsid w:val="00FE576D"/>
    <w:rsid w:val="00FF44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50677F3D-F270-4FF5-A3B7-FEBD7405B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6320</Words>
  <Characters>36594</Characters>
  <Application>Microsoft Office Word</Application>
  <DocSecurity>0</DocSecurity>
  <Lines>475</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Egypt Barley-Enriched Balady Bread Scaling Coaching Assessment</dc:title>
  <dc:subject>CGIAR Scaling for Impact Coaching Assessment</dc:subject>
  <dc:creator>Richard Kohl</dc:creator>
  <cp:keywords/>
  <dc:description/>
  <cp:lastModifiedBy>Richard Kohl</cp:lastModifiedBy>
  <cp:revision>2</cp:revision>
  <dcterms:created xsi:type="dcterms:W3CDTF">2026-07-15T05:35:00Z</dcterms:created>
  <dcterms:modified xsi:type="dcterms:W3CDTF">2026-07-15T05:35:00Z</dcterms:modified>
  <cp:category/>
</cp:coreProperties>
</file>