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3DEB" w14:textId="77777777" w:rsidR="00942648" w:rsidRDefault="00CD31A5">
      <w:pPr>
        <w:jc w:val="center"/>
      </w:pPr>
      <w:r>
        <w:rPr>
          <w:b/>
          <w:sz w:val="30"/>
        </w:rPr>
        <w:t>CGIAR Scaling Solutions Coaching Summary</w:t>
      </w:r>
    </w:p>
    <w:p w14:paraId="4D904899" w14:textId="77777777" w:rsidR="00942648" w:rsidRDefault="00CD31A5">
      <w:pPr>
        <w:jc w:val="center"/>
      </w:pPr>
      <w:r>
        <w:rPr>
          <w:b/>
          <w:sz w:val="28"/>
        </w:rPr>
        <w:t>Scaling Climate-Smart Mechanized DSR and Zero-Till Wheat in Eastern Uttar Pradesh</w:t>
      </w:r>
    </w:p>
    <w:p w14:paraId="333DE276" w14:textId="77777777" w:rsidR="00942648" w:rsidRDefault="00CD31A5">
      <w:pPr>
        <w:jc w:val="center"/>
      </w:pPr>
      <w:r>
        <w:rPr>
          <w:b/>
          <w:sz w:val="26"/>
        </w:rPr>
        <w:t>Field Assessment and Scaling Recommendations</w:t>
      </w:r>
    </w:p>
    <w:p w14:paraId="68258A47" w14:textId="6474BAAE" w:rsidR="00942648" w:rsidRDefault="00DF6AA5">
      <w:pPr>
        <w:jc w:val="center"/>
      </w:pPr>
      <w:r>
        <w:t>Submitted to</w:t>
      </w:r>
      <w:r w:rsidR="00CD31A5">
        <w:t xml:space="preserve"> </w:t>
      </w:r>
      <w:r>
        <w:t xml:space="preserve">the </w:t>
      </w:r>
      <w:r w:rsidR="00CD31A5">
        <w:t>CGIAR Scaling for Impact</w:t>
      </w:r>
      <w:r>
        <w:t xml:space="preserve"> program</w:t>
      </w:r>
    </w:p>
    <w:p w14:paraId="1241E86F" w14:textId="77777777" w:rsidR="00DF6AA5" w:rsidRDefault="00CD31A5">
      <w:pPr>
        <w:jc w:val="center"/>
      </w:pPr>
      <w:proofErr w:type="gramStart"/>
      <w:r>
        <w:t>By</w:t>
      </w:r>
      <w:proofErr w:type="gramEnd"/>
      <w:r>
        <w:t xml:space="preserve"> </w:t>
      </w:r>
    </w:p>
    <w:p w14:paraId="0336B597" w14:textId="057E981C" w:rsidR="00942648" w:rsidRDefault="00CD31A5">
      <w:pPr>
        <w:jc w:val="center"/>
      </w:pPr>
      <w:r>
        <w:t xml:space="preserve">Dr. Richard Kohl, </w:t>
      </w:r>
      <w:r w:rsidR="00DF6AA5">
        <w:br/>
      </w:r>
      <w:r>
        <w:t>Strategy and Scale LLC</w:t>
      </w:r>
    </w:p>
    <w:p w14:paraId="64E115A1" w14:textId="77777777" w:rsidR="00942648" w:rsidRDefault="00CD31A5">
      <w:pPr>
        <w:jc w:val="center"/>
      </w:pPr>
      <w:r>
        <w:t>June 23, 2026</w:t>
      </w:r>
    </w:p>
    <w:p w14:paraId="2A07AF0A" w14:textId="77777777" w:rsidR="00942648" w:rsidRPr="00DF6AA5" w:rsidRDefault="00CD31A5" w:rsidP="00DF6AA5">
      <w:pPr>
        <w:pStyle w:val="Heading1"/>
      </w:pPr>
      <w:r w:rsidRPr="00DF6AA5">
        <w:t>Executive summary</w:t>
      </w:r>
    </w:p>
    <w:p w14:paraId="20CA5C25" w14:textId="77777777" w:rsidR="00DF6AA5" w:rsidRDefault="00CD31A5" w:rsidP="00DF6AA5">
      <w:pPr>
        <w:pStyle w:val="Heading2"/>
      </w:pPr>
      <w:r>
        <w:t xml:space="preserve">What is going well: </w:t>
      </w:r>
    </w:p>
    <w:p w14:paraId="03D2CC2F" w14:textId="53BA5F9A" w:rsidR="00942648" w:rsidRDefault="00DF6AA5">
      <w:pPr>
        <w:pStyle w:val="ListBullet"/>
        <w:spacing w:after="80" w:line="240" w:lineRule="auto"/>
      </w:pPr>
      <w:r>
        <w:t>T</w:t>
      </w:r>
      <w:r w:rsidR="00CD31A5">
        <w:t>he core agronomic and systems problem is real. The Eastern Uttar Pradesh rice-wheat system is a legitimate scaling target because late rice establishment and late rice harvest push wheat outside the optimal sowing window, reduce system productivity, and expose farmers to water, labor, energy, and climate risks. The DSR-ZTW proposition is strongest when framed not as a cheaper rice technology but as a calendar-shifting rice-wheat system optimization strategy.</w:t>
      </w:r>
    </w:p>
    <w:p w14:paraId="48EFC75E" w14:textId="6FCFCCC3" w:rsidR="00942648" w:rsidRDefault="008A1E89">
      <w:pPr>
        <w:pStyle w:val="ListBullet"/>
        <w:spacing w:after="80" w:line="240" w:lineRule="auto"/>
      </w:pPr>
      <w:r>
        <w:t>T</w:t>
      </w:r>
      <w:r w:rsidR="00CD31A5">
        <w:t>he proposed innovation bundle is directionally correct. The team is not offering a single machine or practice but a bundled system: mechanized direct-seeded rice, zero-till wheat, best-bet agronomy, DSR-suitable varieties, mechanization service provision, clusters, CHCs, FPOs, demonstrations, extension, policy alignment, and public-private platforms. This is the right level of ambition because DSR only works at scale if the surrounding machinery, input, advisory, repair, finance, and timing systems work.</w:t>
      </w:r>
    </w:p>
    <w:p w14:paraId="31C04601" w14:textId="2308491A" w:rsidR="00942648" w:rsidRDefault="008A1E89">
      <w:pPr>
        <w:pStyle w:val="ListBullet"/>
        <w:spacing w:after="80" w:line="240" w:lineRule="auto"/>
      </w:pPr>
      <w:proofErr w:type="gramStart"/>
      <w:r>
        <w:t xml:space="preserve">The </w:t>
      </w:r>
      <w:r w:rsidR="00CD31A5">
        <w:t xml:space="preserve"> project</w:t>
      </w:r>
      <w:proofErr w:type="gramEnd"/>
      <w:r w:rsidR="00CD31A5">
        <w:t xml:space="preserve"> has large aligned public investment and a clear institutional anchor. The track benefits from the broader UP-AGREES/UP-ADDRESS ecosystem, Government of Uttar Pradesh interest, IRRI/CIMMYT technical credibility, and established DSR network relationships. This gives the project a better starting point than many CGIAR scaling candidates because there is already a public program, institutional demand, and a potential implementation apparatus.</w:t>
      </w:r>
    </w:p>
    <w:p w14:paraId="00BCEF6A" w14:textId="6B396682" w:rsidR="008A1E89" w:rsidRDefault="00CD31A5" w:rsidP="008A1E89">
      <w:pPr>
        <w:pStyle w:val="Heading2"/>
      </w:pPr>
      <w:r>
        <w:t>Main concern</w:t>
      </w:r>
      <w:r w:rsidR="008A1E89">
        <w:t>s</w:t>
      </w:r>
      <w:r>
        <w:t xml:space="preserve">: </w:t>
      </w:r>
    </w:p>
    <w:p w14:paraId="384A5A92" w14:textId="1C1A11C2" w:rsidR="00942648" w:rsidRDefault="008A1E89">
      <w:pPr>
        <w:pStyle w:val="ListBullet"/>
        <w:spacing w:after="80" w:line="240" w:lineRule="auto"/>
      </w:pPr>
      <w:r>
        <w:t>The</w:t>
      </w:r>
      <w:r w:rsidR="00CD31A5">
        <w:t xml:space="preserve"> scaling case is much weaker than the agronomic case. The evidence supports that DSR-ZTW can perform well under good management and timely service conditions. It does not yet prove that one million smallholders can adopt the package profitably, with sufficient fidelity, under normal farmer constraints, through post-subsidy service and input markets.</w:t>
      </w:r>
    </w:p>
    <w:p w14:paraId="17817473" w14:textId="0E64724C" w:rsidR="00942648" w:rsidRDefault="00B75A03">
      <w:pPr>
        <w:pStyle w:val="ListBullet"/>
        <w:spacing w:after="80" w:line="240" w:lineRule="auto"/>
      </w:pPr>
      <w:r>
        <w:t>T</w:t>
      </w:r>
      <w:r w:rsidR="00CD31A5">
        <w:t xml:space="preserve">he theory of change remains too </w:t>
      </w:r>
      <w:proofErr w:type="gramStart"/>
      <w:r w:rsidR="00CD31A5">
        <w:t>activity-driven</w:t>
      </w:r>
      <w:proofErr w:type="gramEnd"/>
      <w:r w:rsidR="00CD31A5">
        <w:t xml:space="preserve">. The current pathway relies heavily on demonstrations, awareness, cluster formation, training, subsidized machinery, FPO/CHC </w:t>
      </w:r>
      <w:r w:rsidR="00CD31A5">
        <w:lastRenderedPageBreak/>
        <w:t>engagement, and technical backstopping. Those are useful activities, but they do not yet add up to a self-propelling scaling system unless there is a much clearer actor-driven pathway showing who profits, who invests, who coordinates, who repairs, who finances, who supplies inputs, and who continues delivery after project support ends.</w:t>
      </w:r>
    </w:p>
    <w:p w14:paraId="5C5D1859" w14:textId="6DBD9C6D" w:rsidR="00942648" w:rsidRDefault="00B75A03">
      <w:pPr>
        <w:pStyle w:val="ListBullet"/>
        <w:spacing w:after="80" w:line="240" w:lineRule="auto"/>
      </w:pPr>
      <w:r>
        <w:t>T</w:t>
      </w:r>
      <w:r w:rsidR="00CD31A5">
        <w:t>he weakest link is the service economy, not the seed drill. The machinery can work, but scaling depends on a dense, reliable, profitable, and trusted service market. CHCs, private service providers, machinery dealers, operators, mechanics, spare-parts suppliers, financiers, and FPO demand aggregators must all have viable roles. A machine without repair capacity, operator skill, utilization, and a customer pipeline is not a scaling asset; it is a future bottleneck.</w:t>
      </w:r>
    </w:p>
    <w:p w14:paraId="7A7BED7D" w14:textId="627B53DC" w:rsidR="00942648" w:rsidRDefault="00B75A03">
      <w:pPr>
        <w:pStyle w:val="ListBullet"/>
        <w:spacing w:after="80" w:line="240" w:lineRule="auto"/>
      </w:pPr>
      <w:r>
        <w:t>T</w:t>
      </w:r>
      <w:r w:rsidR="00CD31A5">
        <w:t xml:space="preserve">he farmer risk profile is under-specified. DSR can lower total production costs while </w:t>
      </w:r>
      <w:r>
        <w:t xml:space="preserve">at the same time </w:t>
      </w:r>
      <w:r w:rsidR="00CD31A5" w:rsidRPr="00B75A03">
        <w:rPr>
          <w:u w:val="single"/>
        </w:rPr>
        <w:t>increasing exposure to cash, timing, herbicide, service, and management risk</w:t>
      </w:r>
      <w:r w:rsidR="00CD31A5">
        <w:t>. This matters especially for smallholders with fragmented plots, limited cash flow, weak bargaining power over service providers, and low tolerance for yield loss from weeds, delayed seeding, machine breakdown, or poor establishment.</w:t>
      </w:r>
    </w:p>
    <w:p w14:paraId="179EF818" w14:textId="77777777" w:rsidR="00B75A03" w:rsidRDefault="00CD31A5" w:rsidP="00B75A03">
      <w:pPr>
        <w:pStyle w:val="Heading2"/>
      </w:pPr>
      <w:r>
        <w:t xml:space="preserve">Recommendation to S4I: </w:t>
      </w:r>
    </w:p>
    <w:p w14:paraId="7F52C878" w14:textId="003D88E2" w:rsidR="00942648" w:rsidRDefault="00B75A03" w:rsidP="00B75A03">
      <w:r>
        <w:t>F</w:t>
      </w:r>
      <w:r w:rsidR="00CD31A5">
        <w:t>und for another year, but conditionally and narrowly. S4I should support this track as a transition-to-scale investment focused on bottleneck resolution and market-system de-risking, not as general co-financing of a large government-led dissemination program. Continued funding should be tied to proof points on CHC/PSP economics, machinery dealer commitment, repair and parts systems, adoption fidelity, farmer profitability under partial adoption, input supply, weed management, and post-subsidy sustainability</w:t>
      </w:r>
      <w:r w:rsidR="00CD31A5">
        <w:t>.</w:t>
      </w:r>
    </w:p>
    <w:p w14:paraId="3FFE7AA8" w14:textId="77777777" w:rsidR="00B75A03" w:rsidRDefault="00CD31A5" w:rsidP="00B75A03">
      <w:pPr>
        <w:pStyle w:val="Heading2"/>
      </w:pPr>
      <w:r>
        <w:t xml:space="preserve">Lesson for CGIAR: </w:t>
      </w:r>
    </w:p>
    <w:p w14:paraId="25E1B1BC" w14:textId="59D1B41A" w:rsidR="00942648" w:rsidRDefault="00B75A03" w:rsidP="00B75A03">
      <w:r>
        <w:t>T</w:t>
      </w:r>
      <w:r w:rsidR="00CD31A5">
        <w:t xml:space="preserve">echnical maturity is not scaling readiness. The DSR-ZTW case is a good example of a CGIAR innovation with strong agronomic logic but unresolved scaling-system risks. The lesson is not to slow down good innovations; it is to be much more disciplined about distinguishing </w:t>
      </w:r>
      <w:r w:rsidR="0003056A">
        <w:t xml:space="preserve">technical </w:t>
      </w:r>
      <w:r w:rsidR="0003056A">
        <w:t>performance</w:t>
      </w:r>
      <w:r w:rsidR="0003056A">
        <w:t xml:space="preserve"> in the </w:t>
      </w:r>
      <w:r w:rsidR="00CD31A5">
        <w:t>field</w:t>
      </w:r>
      <w:r w:rsidR="0003056A">
        <w:t xml:space="preserve"> (even under uncontrolled conditions) and </w:t>
      </w:r>
      <w:r w:rsidR="00CD31A5">
        <w:t>activity expansion</w:t>
      </w:r>
      <w:r w:rsidR="0003056A">
        <w:t xml:space="preserve"> with</w:t>
      </w:r>
      <w:r w:rsidR="00CD31A5">
        <w:t xml:space="preserve"> market-system formation</w:t>
      </w:r>
      <w:r w:rsidR="00CD31A5">
        <w:t xml:space="preserve"> and sustained adoption at scale.</w:t>
      </w:r>
    </w:p>
    <w:p w14:paraId="5E6C42CD" w14:textId="77777777" w:rsidR="00942648" w:rsidRDefault="00CD31A5">
      <w:pPr>
        <w:pStyle w:val="Heading1"/>
      </w:pPr>
      <w:r>
        <w:rPr>
          <w:rFonts w:ascii="Calibri" w:hAnsi="Calibri"/>
        </w:rPr>
        <w:t>The intervention and its components</w:t>
      </w:r>
    </w:p>
    <w:p w14:paraId="7A4B9394" w14:textId="1693A398" w:rsidR="00942648" w:rsidRDefault="00CD31A5">
      <w:r>
        <w:t>The CGIAR Scaling Solution under review seeks to scale climate-smart mechanized innovations to optimize rice-wheat systems in Eastern India, with Eastern Uttar Pradesh as the principal geography. The core technical package is mechanized direct-seeded rice followed by zero-till or early-sown wheat, bundled with best-bet agronomy and suitable rice varieties or hybrids. The stated purpose is to shift the rice-wheat system away from delayed, labor-intensive, water-intensive puddled transplanted rice followed by</w:t>
      </w:r>
      <w:r>
        <w:t xml:space="preserve"> late wheat, toward a more timely and resource-efficient annual rotation. </w:t>
      </w:r>
      <w:r w:rsidR="004151AE">
        <w:t>As such</w:t>
      </w:r>
      <w:r>
        <w:t xml:space="preserve">, DSR is not simply a rice establishment method. It is a lever for system-level change because it can shorten the rice season, avoid delays caused by transplanting labor bottlenecks, and create an earlier window for wheat sowing. </w:t>
      </w:r>
      <w:r w:rsidR="005A41B9">
        <w:t xml:space="preserve">The greatest value proposition, and the one most cited by farmers and other </w:t>
      </w:r>
      <w:proofErr w:type="gramStart"/>
      <w:r w:rsidR="005A41B9">
        <w:t>stakeholders</w:t>
      </w:r>
      <w:proofErr w:type="gramEnd"/>
      <w:r w:rsidR="005A41B9">
        <w:t xml:space="preserve"> is this last one, </w:t>
      </w:r>
      <w:r w:rsidR="005A41B9">
        <w:lastRenderedPageBreak/>
        <w:t xml:space="preserve">allowing for earlier </w:t>
      </w:r>
      <w:proofErr w:type="gramStart"/>
      <w:r w:rsidR="005A41B9">
        <w:t>sowing</w:t>
      </w:r>
      <w:proofErr w:type="gramEnd"/>
      <w:r w:rsidR="005A41B9">
        <w:t xml:space="preserve"> of wheat. </w:t>
      </w:r>
      <w:r>
        <w:t>That is the strongest argument for the intervention and should remain the central framing.</w:t>
      </w:r>
    </w:p>
    <w:p w14:paraId="40697E31" w14:textId="78C000B6" w:rsidR="00942648" w:rsidRDefault="00CD31A5">
      <w:r>
        <w:t xml:space="preserve">The innovation is best understood as an innovation-plus-system. The core </w:t>
      </w:r>
      <w:r w:rsidR="00C42FC7">
        <w:t>innovation</w:t>
      </w:r>
      <w:r>
        <w:t xml:space="preserve"> requires </w:t>
      </w:r>
      <w:r w:rsidR="00C42FC7">
        <w:t>a large and complex set of Good Agricultural Practices</w:t>
      </w:r>
      <w:r w:rsidR="001F2288">
        <w:t xml:space="preserve"> (GAPs)</w:t>
      </w:r>
      <w:r w:rsidR="00C42FC7">
        <w:t xml:space="preserve">: </w:t>
      </w:r>
      <w:r>
        <w:t xml:space="preserve">mechanized seeding, appropriate field preparation, moisture management, weed control, timely irrigation, suitable varieties, operator skill, farmer scheduling, and a follow-on wheat system capable of capturing the time gained from rice. The delivery system requires CHCs or private service providers, FPOs or farmer groups, machinery suppliers, local dealerships, trained operators, mechanics, spare-parts networks, input suppliers, seed systems, extension agents, public subsidies, credit or equipment finance, </w:t>
      </w:r>
      <w:r>
        <w:t>cluster-based demonstrations, and policy coordination. The package therefore has multiple components, and none of the individual components is sufficient by itself. DSR without timely service delivery fails. DSR without weed management fails. DSR without suitable field conditions and correct irrigation management fails. DSR without a ZTW transition may produce some rice-side savings but misses much of the system-level gain. A scaling assessment must therefore judge whether the whole delivery system can func</w:t>
      </w:r>
      <w:r>
        <w:t>tion reliably, not whether the seed drill performs under demonstration conditions.</w:t>
      </w:r>
    </w:p>
    <w:p w14:paraId="2A1AE728" w14:textId="77777777" w:rsidR="00942648" w:rsidRDefault="00CD31A5">
      <w:r>
        <w:t>The current project design proposes to scale through a combination of public program leverage, cluster-based demonstrations, FPO and farmer group formation, CHCs and PSPs, master trainers, extension capacity building, machinery operator training, mechanics training, and engagement with machinery manufacturers from more mature mechanization geographies such as Punjab and Haryana. It also anticipates the use of DSR-fit varieties, including herbicide-tolerant varieties, and possible future incentives through c</w:t>
      </w:r>
      <w:r>
        <w:t>arbon or climate finance. This is a plausible architecture for a transition-to-scale initiative, but it also creates a complex pathway in which many functions must work simultaneously. The central analytical question is therefore not whether the project has listed the right elements. It has. The question is whether it has transformed those elements into an actor-driven scaling system with incentives, business models, performance metrics, and post-project ownership.</w:t>
      </w:r>
    </w:p>
    <w:p w14:paraId="6522BCB3" w14:textId="77777777" w:rsidR="00942648" w:rsidRDefault="00CD31A5">
      <w:pPr>
        <w:pStyle w:val="Heading1"/>
      </w:pPr>
      <w:r>
        <w:rPr>
          <w:rFonts w:ascii="Calibri" w:hAnsi="Calibri"/>
        </w:rPr>
        <w:t>Implementation experience and evidence of impact</w:t>
      </w:r>
    </w:p>
    <w:p w14:paraId="00AE10B3" w14:textId="09E14D47" w:rsidR="00942648" w:rsidRDefault="00CD31A5">
      <w:r>
        <w:t>The evidence base for DSR-ZTW is strongest on technical efficacy under favorable or well-managed conditions. The materials reviewed cite evidence that mechanized DSR can deliver yields comparable to well-managed puddled transplanted rice or higher than late-transplanted systems, while reducing labor, cultivation costs, water use, and greenhouse gas emissions. The project presentation claims reductions in cultivation costs of roughly USD 120 per hectare, labor savings of up to 80 percent, increases in net in</w:t>
      </w:r>
      <w:r>
        <w:t xml:space="preserve">come of around USD 100-120 per hectare, </w:t>
      </w:r>
      <w:r w:rsidRPr="001F2288">
        <w:rPr>
          <w:u w:val="single"/>
        </w:rPr>
        <w:t>and system-level benefits from DSR followed by timely zero-till wheat.</w:t>
      </w:r>
      <w:r w:rsidR="001F2288" w:rsidRPr="001F2288">
        <w:rPr>
          <w:u w:val="single"/>
        </w:rPr>
        <w:t xml:space="preserve"> In other words, many of the benefits may not be </w:t>
      </w:r>
      <w:proofErr w:type="gramStart"/>
      <w:r w:rsidR="001F2288" w:rsidRPr="001F2288">
        <w:rPr>
          <w:u w:val="single"/>
        </w:rPr>
        <w:t>capture</w:t>
      </w:r>
      <w:proofErr w:type="gramEnd"/>
      <w:r w:rsidR="001F2288" w:rsidRPr="001F2288">
        <w:rPr>
          <w:u w:val="single"/>
        </w:rPr>
        <w:t xml:space="preserve"> in the rice production indicators alone</w:t>
      </w:r>
      <w:r w:rsidR="001F2288">
        <w:t xml:space="preserve">. </w:t>
      </w:r>
      <w:r>
        <w:t xml:space="preserve"> It also emphasizes that more than 60 percent of farmers in Eastern UP miss the optimal wheat sowing window due to </w:t>
      </w:r>
      <w:r>
        <w:lastRenderedPageBreak/>
        <w:t>late rice harvest and that integrating DSR with ZTW can advance wheat sowing and increase system yield.</w:t>
      </w:r>
    </w:p>
    <w:p w14:paraId="30C34532" w14:textId="33465576" w:rsidR="00942648" w:rsidRDefault="00CD31A5">
      <w:r>
        <w:t xml:space="preserve">These claims are directionally credible, but they require careful interpretation. The benefits of DSR come from eliminating nursery preparation, puddling, transplanting labor, and some irrigation costs. They are not automatic. They can be reduced or reversed </w:t>
      </w:r>
      <w:r w:rsidR="001F2288">
        <w:t>by poor or incomplete adoption or implementation of the numerous GAPs</w:t>
      </w:r>
      <w:proofErr w:type="gramStart"/>
      <w:r w:rsidR="001F2288">
        <w:t xml:space="preserve">. </w:t>
      </w:r>
      <w:r>
        <w:t>.</w:t>
      </w:r>
      <w:proofErr w:type="gramEnd"/>
      <w:r>
        <w:t xml:space="preserve"> DSR may reduce average production costs while increasing dependence on purchased services and inputs. This is a critical distinction for smallholders. A farmer who previously relied on family labor, hired transplanting labor, and relatively familiar practices may now need timely access to machinery, herbicides, seed, advisory support, and irrigation management. The cost structure changes from labor-heavy and forgiving to service- and management-dependent. That can be good for commercially oriented farmers</w:t>
      </w:r>
      <w:r>
        <w:t xml:space="preserve"> and service providers, but it increases exposure to failure when the service economy is weak.</w:t>
      </w:r>
    </w:p>
    <w:p w14:paraId="4E426269" w14:textId="77777777" w:rsidR="00942648" w:rsidRDefault="00CD31A5">
      <w:r>
        <w:t xml:space="preserve">The project also draws strength from experience in Punjab, Haryana, Bihar, and Bangladesh, but those cases should be used cautiously. Punjab and Haryana show that DSR can expand quickly under water stress, labor scarcity, and policy incentives, but </w:t>
      </w:r>
      <w:r w:rsidRPr="001F2288">
        <w:rPr>
          <w:u w:val="single"/>
        </w:rPr>
        <w:t>adoption can fall when farmers experience weed, establishment, or labor-market problems</w:t>
      </w:r>
      <w:r>
        <w:t>. Bihar is particularly relevant because it illustrates the difficulty of fee-for-hire DSR service provision: service provider formation depends not merely on machine availability but on risk perception, demand density, capital, prior machinery experience, social influence, and expected profitability. Bangladesh is relevant because it demonstrates that mechanization can scale through private machinery service markets, but that success was built through long-term development of dealers, mechanics, after-sale</w:t>
      </w:r>
      <w:r>
        <w:t>s service, farmer demand, and service provider profitability. Eastern UP is likely more difficult than Bangladesh because the DSR-ZTW package is more timing-sensitive and the local service economy appears less mature.</w:t>
      </w:r>
    </w:p>
    <w:p w14:paraId="63C633EA" w14:textId="565A22FF" w:rsidR="00942648" w:rsidRDefault="00CD31A5">
      <w:r>
        <w:t>The value propositions are plausible but not yet sufficiently quantified. For farmers, the value proposition is lower cost, less labor dependence, earlier wheat, higher system profitability, and potentially improved resilience. For CHCs and PSPs, the value proposition is fee income from mechanized services and possibly a wider service portfolio beyond DSR. For FPOs, the value proposition is demand aggregation, member services, and possible machinery business revenue. For machinery companies and dealers, the</w:t>
      </w:r>
      <w:r>
        <w:t xml:space="preserve"> value proposition is equipment sales, parts, repairs, service contracts, and new market development. For seed and agrochemical suppliers, the value proposition is increased demand for suitable seed, herbicides, and related inputs. For government, the value proposition is higher productivity, climate-smart agriculture, reduced pressure on water and energy, and visible support to smallholder modernization. </w:t>
      </w:r>
      <w:r>
        <w:t>The evidence gap is that these value propositions have not yet been converted into actor-specific business cases that show who earns, who pays, who bears risk, who continues, and under what subsidy or no-subsidy conditions.</w:t>
      </w:r>
      <w:r w:rsidR="00D95667">
        <w:t xml:space="preserve">  This challenge is not peculiar or unique to DSR, unfortunately the lack of well specified, actor-specific business case is found among many Scaling Solutions. </w:t>
      </w:r>
    </w:p>
    <w:p w14:paraId="45C29164" w14:textId="77777777" w:rsidR="00942648" w:rsidRDefault="00CD31A5">
      <w:r>
        <w:lastRenderedPageBreak/>
        <w:t xml:space="preserve">The clearest evidence </w:t>
      </w:r>
      <w:proofErr w:type="gramStart"/>
      <w:r>
        <w:t>need</w:t>
      </w:r>
      <w:proofErr w:type="gramEnd"/>
      <w:r>
        <w:t xml:space="preserve"> is therefore not another agronomic demonstration. It is economic and systems evidence. The project should show farmer profitability by ecology, farm size, and adoption fidelity; CHC/PSP profitability by machine type and service calendar; repair response times and downtime; local parts availability; operator skill and certification; actual demand aggregation; repeat service purchase; unsubsidized or declining-subsidy performance; and the willingness of machinery companies, dealers, lenders, and input su</w:t>
      </w:r>
      <w:r>
        <w:t>ppliers to invest their own resources once project support declines. Without these data, the project can demonstrate that DSR-ZTW works but not that the proposed scaling pathway works.</w:t>
      </w:r>
    </w:p>
    <w:p w14:paraId="54508D0F" w14:textId="77777777" w:rsidR="00942648" w:rsidRDefault="00CD31A5">
      <w:pPr>
        <w:pStyle w:val="Heading1"/>
      </w:pPr>
      <w:r>
        <w:rPr>
          <w:rFonts w:ascii="Calibri" w:hAnsi="Calibri"/>
        </w:rPr>
        <w:t>Scaling ambition</w:t>
      </w:r>
    </w:p>
    <w:p w14:paraId="31404939" w14:textId="77777777" w:rsidR="00942648" w:rsidRDefault="00CD31A5">
      <w:r>
        <w:t xml:space="preserve">The stated scaling ambition is large: 21 districts, more than 200,000 hectares under DSR and ZTW within three years, more than one million smallholder farmers reached, more than 400 CHCs or PSPs, and several thousand rural enterprises. The ambition is appropriately bold given the size of the rice-wheat system in Eastern UP and the seriousness of the timing constraint. It also aligns with a real denominator: Eastern UP has millions of hectares in rice-wheat systems and a very large smallholder population. A </w:t>
      </w:r>
      <w:r>
        <w:t>modest pilot would not be sufficient to matter. The project is right to think in terms of system transformation rather than isolated demonstration plots.</w:t>
      </w:r>
    </w:p>
    <w:p w14:paraId="58840A45" w14:textId="77777777" w:rsidR="00B917CC" w:rsidRDefault="00CD31A5">
      <w:r>
        <w:t>However, the ambition is not yet sufficiently disciplined. The difference between farmers reached, farmers exposed, farmers trying DSR once, hectares planted under DSR, hectares planted under DSR with correct weed control, rice-wheat rotations shifted into timely wheat, and sustained post-subsidy adopters is enormous. A headline target of one million farmers can hide shallow adoption if the project counts participants, beneficiaries, awareness contacts, or farmers in cluster villages rather than high-fideli</w:t>
      </w:r>
      <w:r>
        <w:t xml:space="preserve">ty, economically rational users. </w:t>
      </w:r>
    </w:p>
    <w:p w14:paraId="0A45E235" w14:textId="16E3DE01" w:rsidR="00942648" w:rsidRDefault="00CD31A5">
      <w:r>
        <w:t xml:space="preserve">The ambition should therefore be recast around four nested metrics: reach, trial, effective adoption, and sustained system adoption. </w:t>
      </w:r>
      <w:r w:rsidR="00B917CC">
        <w:t xml:space="preserve">As with many other Scaling Solutions, there is a tendency to equate reach with impact. </w:t>
      </w:r>
      <w:r>
        <w:t>Effective adoption means</w:t>
      </w:r>
      <w:r w:rsidR="006C500A">
        <w:t xml:space="preserve"> </w:t>
      </w:r>
      <w:r>
        <w:t xml:space="preserve">implementation of the minimum viable package </w:t>
      </w:r>
      <w:r w:rsidR="006C500A">
        <w:t xml:space="preserve">(which needs to be made explicit) </w:t>
      </w:r>
      <w:r>
        <w:t>with enough fidelity to produce the expected yield, cost, and timing benefits. Sustained system adoption means repeat use over multiple seasons, ideally under reduced subsidy conditions, with service providers and input suppliers continuing commercially</w:t>
      </w:r>
      <w:r w:rsidR="006C500A">
        <w:t xml:space="preserve"> and themselves sustainable</w:t>
      </w:r>
      <w:r>
        <w:t>.</w:t>
      </w:r>
    </w:p>
    <w:p w14:paraId="3603BE35" w14:textId="77777777" w:rsidR="00942648" w:rsidRDefault="00CD31A5">
      <w:r>
        <w:t>The ambition should also distinguish between scaling out, scaling up, and scaling deep. Scaling out is expansion to more districts, villages, CHCs, service providers, and farmers. Scaling up is institutionalization through government programs, subsidy rules, extension systems, machinery procurement, and policy incentives. Scaling deep is the change in farmer and service provider practice required for the system to function: reliable timing, adoption fidelity, willingness to pay, repeat purchase, operator pr</w:t>
      </w:r>
      <w:r>
        <w:t xml:space="preserve">ofessionalism, and management of weeds, water, and residue. The current materials are strongest on scaling out and scaling up, and weaker on </w:t>
      </w:r>
      <w:r>
        <w:lastRenderedPageBreak/>
        <w:t>scaling deep. That is a common CGIAR weakness: activities and institutional partnerships expand faster than the quality and durability of adoption.</w:t>
      </w:r>
    </w:p>
    <w:p w14:paraId="48A4BE83" w14:textId="77777777" w:rsidR="00942648" w:rsidRDefault="00CD31A5">
      <w:pPr>
        <w:pStyle w:val="Heading1"/>
      </w:pPr>
      <w:r>
        <w:rPr>
          <w:rFonts w:ascii="Calibri" w:hAnsi="Calibri"/>
        </w:rPr>
        <w:t>Key stakeholders and roles</w:t>
      </w:r>
    </w:p>
    <w:p w14:paraId="732D7776" w14:textId="77777777" w:rsidR="00942648" w:rsidRDefault="00CD31A5">
      <w:r>
        <w:t>IRRI and CIMMYT provide the technical and strategic backbone of the solution. Their role is to define the agronomic package, support mechanization and cropping-system design, provide evidence, train partners, support monitoring, and help convert the large public program into a more coherent scaling platform. They are credible technical actors, but they should not become the permanent system coordinator. Their key contribution should be temporary and catalytic: generate evidence, de-risk the model, build cap</w:t>
      </w:r>
      <w:r>
        <w:t>acity, clarify business cases, and help institutional actors assume durable roles.</w:t>
      </w:r>
    </w:p>
    <w:p w14:paraId="324CDBD6" w14:textId="01079617" w:rsidR="00942648" w:rsidRDefault="00CD31A5">
      <w:r>
        <w:t>The Government of Uttar Pradesh, including relevant agriculture and mechanization agencies and the UP-AGREES/UP-ADDRESS ecosystem, is the lead institutional customer and likely the most powerful scale driver. This is a strength because public support can mobilize resources, legitimacy, extension, and subsidy channels</w:t>
      </w:r>
      <w:r w:rsidR="009C6542">
        <w:t xml:space="preserve"> leveraging a large loan from the World Bank</w:t>
      </w:r>
      <w:r>
        <w:t>. It is also a risk because public programs often prioritize target achievement, visible machinery distribution, and scheme compliance over quality, after-sales service, profitability, and adoption fidelity. The project should work with government not merely to distribute machines or conduct demonstrations but to improve the rules of the game: subsidy targeting, machine eligibility, dealer participation, service standards, repair obligations, training certification, and M&amp;E on sustained adoption.</w:t>
      </w:r>
    </w:p>
    <w:p w14:paraId="499A5EDC" w14:textId="730FE24E" w:rsidR="00942648" w:rsidRDefault="00CD31A5">
      <w:r>
        <w:t>FPOs and CHCs are proposed as major scaling vehicles, but their roles need to be differentiated. FPOs may be useful as demand aggregators, social mobilizers, demonstration hosts, and trusted local intermediaries. They should not automatically be assumed capable of owning and operating machinery service businesses</w:t>
      </w:r>
      <w:r w:rsidR="00F47F63">
        <w:t>, which seems to be the assumption</w:t>
      </w:r>
      <w:r>
        <w:t>. Machinery service provision is operationally demanding: scheduling, fee collection, operator management, maintenance, spare-parts procurement, repairs, customer service, cash flow, utilization, and quality control. Many FPOs do not have the governance, management systems, incentives, or commercial discipline to manage such businesses reliably. CHCs may work if they are treated as enterprises, but not if they are treated as subsidized assets attached to organizations with weak business incentives</w:t>
      </w:r>
      <w:r w:rsidR="00F47F63">
        <w:t xml:space="preserve"> and/or governance</w:t>
      </w:r>
      <w:r>
        <w:t>.</w:t>
      </w:r>
    </w:p>
    <w:p w14:paraId="4235E7A7" w14:textId="77777777" w:rsidR="00942648" w:rsidRDefault="00CD31A5">
      <w:r>
        <w:t>Private service providers, tractor owners, machinery dealers, and machinery manufacturers may ultimately be more important scale drivers than FPOs. Their incentives are more directly aligned with utilization, customer satisfaction, repairs, and repeat demand. The Bangladesh experience suggests that successful mechanization scaling often comes from commercially oriented service providers supported by strong dealer and repair networks. The project should therefore avoid privileging FPO ownership merely becaus</w:t>
      </w:r>
      <w:r>
        <w:t xml:space="preserve">e it fits government subsidy channels. It should test multiple enterprise archetypes: FPO-owned CHCs, individual entrepreneur PSPs, </w:t>
      </w:r>
      <w:r>
        <w:lastRenderedPageBreak/>
        <w:t>dealer-linked service providers, contractor networks, and hybrid models in which FPOs aggregate demand while private actors own and operate machines.</w:t>
      </w:r>
    </w:p>
    <w:p w14:paraId="2904C152" w14:textId="77777777" w:rsidR="00942648" w:rsidRDefault="00CD31A5">
      <w:r>
        <w:t>Input suppliers, seed companies, agrochemical firms, extension actors, mechanics, financial institutions, and aggregators also matter. DSR depends on seed, herbicides, crop advice, irrigation timing, and follow-on wheat services. Herbicide companies may have strong incentives to support DSR, but over-reliance on agrochemical-driven scaling creates environmental, resistance, and farmer-dependence risks. Seed suppliers must ensure that DSR-suitable varieties are accepted by output markets before they are push</w:t>
      </w:r>
      <w:r>
        <w:t>ed widely. Financial institutions and equipment lenders are relevant if the project expects CHCs and PSPs to expand beyond subsidy-financed machinery. Mechanics and spare-parts dealers are central but often under-recognized. They are not support actors; they are core scaling infrastructure.</w:t>
      </w:r>
    </w:p>
    <w:p w14:paraId="36791D7D" w14:textId="77777777" w:rsidR="00942648" w:rsidRDefault="00CD31A5">
      <w:pPr>
        <w:pStyle w:val="Heading1"/>
      </w:pPr>
      <w:r>
        <w:rPr>
          <w:rFonts w:ascii="Calibri" w:hAnsi="Calibri"/>
        </w:rPr>
        <w:t>Analytical assessment: scaling strengths</w:t>
      </w:r>
    </w:p>
    <w:p w14:paraId="5F6D0ED0" w14:textId="77777777" w:rsidR="00942648" w:rsidRDefault="00CD31A5">
      <w:r>
        <w:t>The first strength is strong problem-solution fit. Eastern UP’s rice-wheat system has a genuine timing problem. Late rice harvest and late wheat sowing are not marginal constraints. They reduce system productivity, increase exposure to terminal heat, and reinforce low profitability. DSR-ZTW addresses a real systems bottleneck rather than an invented donor priority. The farmer case is also intuitive where labor is scarce, irrigation is costly, and delayed wheat is a major source of lost income. This makes th</w:t>
      </w:r>
      <w:r>
        <w:t>e solution a legitimate S4I candidate.</w:t>
      </w:r>
    </w:p>
    <w:p w14:paraId="75DE298F" w14:textId="56AE876C" w:rsidR="00942648" w:rsidRDefault="00CD31A5">
      <w:r>
        <w:t>The second strength is a coherent systems logic. The project understands that the key benefit is the annual rotation, not only the rice crop. Earlier rice establishment and maturity create a more favorable wheat window. That is exactly the kind of systems optimization CGIAR should be good at: linking crop establishment, mechanization, varieties, water, labor, emissions, and farm profitability across seasons. This is a stronger proposition than technology promotion because the effect is created through the i</w:t>
      </w:r>
      <w:r>
        <w:t>nteraction of practices</w:t>
      </w:r>
      <w:r w:rsidR="002D18A0">
        <w:t xml:space="preserve"> and an uncommon one among Scaling Solutions</w:t>
      </w:r>
      <w:r>
        <w:t>.</w:t>
      </w:r>
    </w:p>
    <w:p w14:paraId="66ED57A5" w14:textId="50B20B8C" w:rsidR="00942648" w:rsidRDefault="00CD31A5">
      <w:r>
        <w:t>The third strength is institutio</w:t>
      </w:r>
      <w:r>
        <w:t>nal leverage. The project is nested within larger government and bilateral investments</w:t>
      </w:r>
      <w:r w:rsidR="002D18A0">
        <w:t xml:space="preserve"> e.g. the World Bank loan noted above</w:t>
      </w:r>
      <w:r>
        <w:t xml:space="preserve">. S4I funding therefore has the potential to be catalytic if it improves the quality, sustainability, and learning value of an already-moving system. This is a better use of S4I than funding isolated pilots. However, catalytic leverage only occurs if S4I changes the trajectory of the larger program. </w:t>
      </w:r>
      <w:r w:rsidR="008D46EA">
        <w:t xml:space="preserve">(A case can also be made that S4I has the most impact and leverage when it is a major source of </w:t>
      </w:r>
      <w:proofErr w:type="gramStart"/>
      <w:r w:rsidR="008D46EA">
        <w:t>funding;  the</w:t>
      </w:r>
      <w:proofErr w:type="gramEnd"/>
      <w:r w:rsidR="008D46EA">
        <w:t xml:space="preserve"> comparison in impact and leverage between the two alternatives needs explicit review and study by the end of 2026</w:t>
      </w:r>
      <w:r>
        <w:t>.</w:t>
      </w:r>
      <w:r w:rsidR="008D46EA">
        <w:t>)</w:t>
      </w:r>
    </w:p>
    <w:p w14:paraId="3A484928" w14:textId="77777777" w:rsidR="00942648" w:rsidRDefault="00CD31A5">
      <w:r>
        <w:t xml:space="preserve">The fourth strength is that the project has begun to recognize service economy issues. The meeting discussion indicates that the team is thinking about master trainers, mechanics, operators, service providers, cluster-based demonstrations, government machinery schemes, and spare-parts banks. This matters because mechanization scaling fails when it is reduced to </w:t>
      </w:r>
      <w:r>
        <w:lastRenderedPageBreak/>
        <w:t>machine distribution. The task now is to convert this recognition into measurable, enforceable, actor-specific commitments and evidence.</w:t>
      </w:r>
    </w:p>
    <w:p w14:paraId="022B52CF" w14:textId="77777777" w:rsidR="00942648" w:rsidRDefault="00CD31A5">
      <w:pPr>
        <w:pStyle w:val="Heading1"/>
      </w:pPr>
      <w:r>
        <w:rPr>
          <w:rFonts w:ascii="Calibri" w:hAnsi="Calibri"/>
        </w:rPr>
        <w:t>Analytical assessment: weaknesses and bottlenecks</w:t>
      </w:r>
    </w:p>
    <w:p w14:paraId="5314896B" w14:textId="77777777" w:rsidR="00942648" w:rsidRDefault="00CD31A5">
      <w:pPr>
        <w:pStyle w:val="Heading2"/>
      </w:pPr>
      <w:r>
        <w:rPr>
          <w:rFonts w:ascii="Calibri" w:hAnsi="Calibri"/>
        </w:rPr>
        <w:t>The theory of change is still too linear.</w:t>
      </w:r>
    </w:p>
    <w:p w14:paraId="55E8ACE2" w14:textId="55BC1927" w:rsidR="00942648" w:rsidRDefault="00CD31A5">
      <w:r>
        <w:t>The current theory of change is roughly that demonstrations, training, clusters, CHCs, FPOs, government support, and technical backstopping will lead to farmer adoption and eventually a service economy. That may produce activity growth, but it is not yet a self-propelling scaling pathway. The theory should instead be actor-driven: farmers adopt if they experience reliable and profitable services; service providers invest if utilization and margins justify asset ownership; machinery companies invest if deman</w:t>
      </w:r>
      <w:r>
        <w:t xml:space="preserve">d and after-sales revenue justify local dealer networks; </w:t>
      </w:r>
      <w:r w:rsidR="008D46EA">
        <w:t xml:space="preserve">and </w:t>
      </w:r>
      <w:r>
        <w:t>government supports if DSR-ZTW advances productivity, climate, and political goals; input suppliers participate if demand grows</w:t>
      </w:r>
      <w:r>
        <w:t>.</w:t>
      </w:r>
    </w:p>
    <w:p w14:paraId="5A3D30DE" w14:textId="77777777" w:rsidR="00942648" w:rsidRDefault="00CD31A5">
      <w:pPr>
        <w:pStyle w:val="Heading2"/>
      </w:pPr>
      <w:r>
        <w:rPr>
          <w:rFonts w:ascii="Calibri" w:hAnsi="Calibri"/>
        </w:rPr>
        <w:t>The service economy is the binding bottleneck.</w:t>
      </w:r>
    </w:p>
    <w:p w14:paraId="78889B86" w14:textId="77777777" w:rsidR="00942648" w:rsidRDefault="00CD31A5">
      <w:r>
        <w:t>The weakest link is not the agronomy. It is the ability of the service economy to deliver time-sensitive mechanization services with sufficient quality, density, reliability, and profitability. DSR and ZTW depend on narrow windows. A delayed machine, inexperienced operator, broken seeder, unavailable part, or poor scheduling decision can destroy the farmer value proposition. The project should therefore treat service performance as a primary outcome, not an enabling activity. Every supported CHC or PSP shou</w:t>
      </w:r>
      <w:r>
        <w:t>ld be monitored as an enterprise: number of customers, hectares served, days of utilization, service fees, gross margin, repair costs, downtime, payback period, loan repayment, repeat customers, and additional machine purchase without subsidy.</w:t>
      </w:r>
    </w:p>
    <w:p w14:paraId="2BC34C95" w14:textId="77777777" w:rsidR="00942648" w:rsidRDefault="00CD31A5">
      <w:pPr>
        <w:pStyle w:val="Heading2"/>
      </w:pPr>
      <w:r>
        <w:rPr>
          <w:rFonts w:ascii="Calibri" w:hAnsi="Calibri"/>
        </w:rPr>
        <w:t>The FPO/CHC strategy risks confusing subsidy eligibility with comparative advantage.</w:t>
      </w:r>
    </w:p>
    <w:p w14:paraId="7E5DAEFE" w14:textId="77777777" w:rsidR="00942648" w:rsidRDefault="00CD31A5">
      <w:r>
        <w:t>The use of FPOs and CHCs is understandable because government programs often channel machinery support through them. But policy convenience should not be confused with scaling suitability. Many FPOs are weakly governed and dependent on external support. Managing a machinery service business is far more demanding than aggregating farmers for training. The project should use FPOs where they have demonstrated business capacity and should otherwise separate demand aggregation from machinery ownership. The media</w:t>
      </w:r>
      <w:r>
        <w:t>n FPO, not the best FPO, determines what will happen at scale. Pilot success with exceptional FPOs is not sufficient evidence for a 21-district scaling strategy.</w:t>
      </w:r>
    </w:p>
    <w:p w14:paraId="6B0F2F52" w14:textId="77777777" w:rsidR="00942648" w:rsidRDefault="00CD31A5">
      <w:pPr>
        <w:pStyle w:val="Heading2"/>
      </w:pPr>
      <w:r>
        <w:rPr>
          <w:rFonts w:ascii="Calibri" w:hAnsi="Calibri"/>
        </w:rPr>
        <w:t>Farmer risk and partial adoption are under-measured.</w:t>
      </w:r>
    </w:p>
    <w:p w14:paraId="4097501B" w14:textId="77777777" w:rsidR="00942648" w:rsidRDefault="00CD31A5">
      <w:r>
        <w:t xml:space="preserve">The project implicitly assumes farmers will adopt enough of the package to realize the benefits. In reality, farmers often adopt partially. They may use DSR but not the recommended variety; use the machine late; under-dose or mis-time herbicide; skip land leveling; fail to manage moisture; or plant wheat conventionally after DSR. Each partial adoption pathway changes the </w:t>
      </w:r>
      <w:r>
        <w:lastRenderedPageBreak/>
        <w:t>cost-benefit calculation. The M&amp;E system should not count DSR hectares alone. It should record the components adopted, timing, quality, yields, cost, weeds, wheat sowing date, and farmer satisfaction. Without this, the project will not know whether it is scaling the intended system or only fragments of it.</w:t>
      </w:r>
    </w:p>
    <w:p w14:paraId="07E8E445" w14:textId="77777777" w:rsidR="00942648" w:rsidRDefault="00CD31A5">
      <w:pPr>
        <w:pStyle w:val="Heading2"/>
      </w:pPr>
      <w:r>
        <w:rPr>
          <w:rFonts w:ascii="Calibri" w:hAnsi="Calibri"/>
        </w:rPr>
        <w:t>Herbicide dependence is a responsible-scaling risk.</w:t>
      </w:r>
    </w:p>
    <w:p w14:paraId="0C89D0FC" w14:textId="77777777" w:rsidR="00942648" w:rsidRDefault="00CD31A5">
      <w:r>
        <w:t>DSR can reduce water use, fuel use, labor, and methane emissions, but it also increases dependence on chemical weed control. This creates risks of herbicide resistance, misuse, occupational exposure, environmental contamination, and rising weed-management costs. The project’s interest in herbicide-tolerant varieties may be technically useful, but it deepens the dependence on agrochemical systems and raises governance questions. A responsible scaling strategy should invest in integrated weed management, safe</w:t>
      </w:r>
      <w:r>
        <w:t>-use protocols, resistance monitoring, farmer training, retailer accountability, and environmental safeguards. Climate-smart claims should not be framed as automatic; they are management-dependent and may involve tradeoffs.</w:t>
      </w:r>
    </w:p>
    <w:p w14:paraId="1E230394" w14:textId="77777777" w:rsidR="00942648" w:rsidRDefault="00CD31A5">
      <w:pPr>
        <w:pStyle w:val="Heading2"/>
      </w:pPr>
      <w:r>
        <w:rPr>
          <w:rFonts w:ascii="Calibri" w:hAnsi="Calibri"/>
        </w:rPr>
        <w:t>Machinery companies are not yet treated as core scaling actors.</w:t>
      </w:r>
    </w:p>
    <w:p w14:paraId="404D08CD" w14:textId="7C01C89A" w:rsidR="00942648" w:rsidRDefault="00CD31A5">
      <w:r w:rsidRPr="00FA712D">
        <w:rPr>
          <w:u w:val="single"/>
        </w:rPr>
        <w:t xml:space="preserve">The project refers to engagement with machinery manufacturers and local dealerships, but the materials do not yet show that machinery companies are central, contractual, and performance-accountable scale partners. </w:t>
      </w:r>
      <w:r w:rsidRPr="00FA712D">
        <w:rPr>
          <w:b/>
          <w:bCs/>
          <w:u w:val="single"/>
        </w:rPr>
        <w:t>This is a serious gap</w:t>
      </w:r>
      <w:r w:rsidRPr="00FA712D">
        <w:rPr>
          <w:u w:val="single"/>
        </w:rPr>
        <w:t>.</w:t>
      </w:r>
      <w:r>
        <w:t xml:space="preserve"> In many successful mechanization markets, companies and dealers do more than sell machines: they demonstrate, finance, stock parts, train operators, maintain warranty systems, certify mechanics, and cultivate service-provider customers. If machinery companies are peripheral suppliers, the model remains project-driven. S4I should </w:t>
      </w:r>
      <w:r w:rsidR="00FA712D">
        <w:t xml:space="preserve">encourage the project to </w:t>
      </w:r>
      <w:r>
        <w:t>require explicit commitments from machinery firms and dealers on local presence, parts stock, repair response time, warranty terms, operator training, and post-project market development.</w:t>
      </w:r>
      <w:r w:rsidR="00FA712D">
        <w:t xml:space="preserve">  </w:t>
      </w:r>
      <w:r w:rsidR="00FA712D" w:rsidRPr="00FA712D">
        <w:rPr>
          <w:u w:val="single"/>
        </w:rPr>
        <w:t xml:space="preserve">A learning here may be that when large donor resources are available, there is less incentive to build strong business cases and engage with private actors as long-term owners and drivers of scaling and the </w:t>
      </w:r>
      <w:proofErr w:type="gramStart"/>
      <w:r w:rsidR="00FA712D" w:rsidRPr="00FA712D">
        <w:rPr>
          <w:u w:val="single"/>
        </w:rPr>
        <w:t>system as a whole</w:t>
      </w:r>
      <w:proofErr w:type="gramEnd"/>
      <w:r w:rsidR="00FA712D">
        <w:t xml:space="preserve">. </w:t>
      </w:r>
    </w:p>
    <w:p w14:paraId="6657779D" w14:textId="77777777" w:rsidR="00942648" w:rsidRDefault="00CD31A5">
      <w:pPr>
        <w:pStyle w:val="Heading2"/>
      </w:pPr>
      <w:r>
        <w:rPr>
          <w:rFonts w:ascii="Calibri" w:hAnsi="Calibri"/>
        </w:rPr>
        <w:t>The subsidy strategy is not yet sufficiently targeted.</w:t>
      </w:r>
    </w:p>
    <w:p w14:paraId="4494A564" w14:textId="77777777" w:rsidR="00942648" w:rsidRDefault="00CD31A5">
      <w:r>
        <w:t>Subsidies can be useful in early market formation, particularly where public benefits exceed private returns. DSR-ZTW has public goods benefits related to water, climate, energy, and system resilience. However, broad machinery subsidies can distort markets, reward quantity over quality, favor politically connected organizations, and crowd out private investment. Subsidy should be targeted to de-risk functions that matter for market formation: first movers, service gaps, repair networks, operator training, a</w:t>
      </w:r>
      <w:r>
        <w:t>nd high-potential clusters where demand density can support utilization. The project should track performance under declining-subsidy scenarios and should not use subsidized machine distribution as a proxy for scaling.</w:t>
      </w:r>
    </w:p>
    <w:p w14:paraId="1599C1A0" w14:textId="77777777" w:rsidR="00942648" w:rsidRDefault="00CD31A5">
      <w:pPr>
        <w:pStyle w:val="Heading2"/>
      </w:pPr>
      <w:r>
        <w:rPr>
          <w:rFonts w:ascii="Calibri" w:hAnsi="Calibri"/>
        </w:rPr>
        <w:lastRenderedPageBreak/>
        <w:t>S4I additionality needs sharper definition.</w:t>
      </w:r>
    </w:p>
    <w:p w14:paraId="46A5D7DD" w14:textId="77777777" w:rsidR="00942648" w:rsidRDefault="00CD31A5">
      <w:r>
        <w:t>Because scaling is already occurring through a larger government and bilateral program, S4I must be explicit about what would not happen without its funding. The most credible answer is not “more demonstrations.” It is disciplined scaling intelligence and bottleneck de-risking: enterprise analytics for CHCs and PSPs; adoption fidelity measurement; service ecosystem performance standards; repair and parts systems; responsible herbicide management; machinery company accountability; farmer risk diagnostics; so</w:t>
      </w:r>
      <w:r>
        <w:t>cial network targeting; and the design of a self-sustaining service economy. S4I should fund the functions that improve the probability that large public investment produces sustainable scaling rather than temporary activity expansion.</w:t>
      </w:r>
    </w:p>
    <w:p w14:paraId="635710BA" w14:textId="77777777" w:rsidR="00942648" w:rsidRDefault="00CD31A5">
      <w:pPr>
        <w:pStyle w:val="Heading1"/>
      </w:pPr>
      <w:r>
        <w:rPr>
          <w:rFonts w:ascii="Calibri" w:hAnsi="Calibri"/>
        </w:rPr>
        <w:t>Possible theories of change and scaling pathways</w:t>
      </w:r>
    </w:p>
    <w:p w14:paraId="1E298870" w14:textId="77777777" w:rsidR="00942648" w:rsidRDefault="00CD31A5">
      <w:r>
        <w:t>A stronger theory of change would start with the rice-wheat calendar bottleneck and work backward through the actors needed to solve it. The first pathway is a service-economy pathway. If high-potential villages and clusters have sufficient farmer demand, if service providers have profitable DSR and ZTW service calendars, if machinery dealers supply reliable equipment and repairs, and if farmers experience lower costs and earlier wheat with acceptable risk, then service provision becomes profitable enough t</w:t>
      </w:r>
      <w:r>
        <w:t>o sustain adoption and attract additional private investment. The proof points are not only farmers trained but service providers earning net profit, farmers repeating use, machines operating with low downtime, and dealers expanding parts and repair capacity.</w:t>
      </w:r>
    </w:p>
    <w:p w14:paraId="3A63F480" w14:textId="77777777" w:rsidR="00942648" w:rsidRDefault="00CD31A5">
      <w:r>
        <w:t xml:space="preserve">The second pathway is a government-enabled market pathway. If the Government of Uttar Pradesh uses subsidies, extension, policy, and public programs to create initial demand while linking support to service performance, dealer participation, operator certification, and adoption fidelity, then public investment can catalyze a market rather than substitute for it. The proof points are subsidy rules that reward quality and sustainability, government adoption of performance metrics, local service networks that </w:t>
      </w:r>
      <w:r>
        <w:t>continue under lower subsidy, and public extension that supports rather than replaces commercial service provision.</w:t>
      </w:r>
    </w:p>
    <w:p w14:paraId="27A794BD" w14:textId="77777777" w:rsidR="00942648" w:rsidRDefault="00CD31A5">
      <w:r>
        <w:t>The third pathway is a cropping-system intensification pathway. If DSR shifts the rice calendar, if farmers transition to timely zero-till wheat, if yields and system gross margins increase, and if the package is sufficiently robust under smallholder conditions, then farmer demand will grow through demonstration, peer learning, and service-market reinforcement. The proof points are earlier wheat sowing, system yield gains, net income gains, reduced water or energy use, high-fidelity adoption, and farmer-to-</w:t>
      </w:r>
      <w:r>
        <w:t>farmer diffusion beyond direct project support. This pathway is closest to the CGIAR scientific value proposition, but it depends on the service-economy and government-enabled market pathways working.</w:t>
      </w:r>
    </w:p>
    <w:p w14:paraId="6301E003" w14:textId="77777777" w:rsidR="00942648" w:rsidRDefault="00CD31A5">
      <w:pPr>
        <w:pStyle w:val="Heading1"/>
      </w:pPr>
      <w:r>
        <w:rPr>
          <w:rFonts w:ascii="Calibri" w:hAnsi="Calibri"/>
        </w:rPr>
        <w:lastRenderedPageBreak/>
        <w:t>Activities, outputs, outcomes, and evidence</w:t>
      </w:r>
    </w:p>
    <w:p w14:paraId="59FBCC9F" w14:textId="06A575A1" w:rsidR="00942648" w:rsidRDefault="00CD31A5">
      <w:r>
        <w:t xml:space="preserve">The project should translate its activities into evidence-generating outputs and outcomes. Demonstrations should not be counted </w:t>
      </w:r>
      <w:r w:rsidR="00322FDD">
        <w:t>unless they</w:t>
      </w:r>
      <w:r>
        <w:t xml:space="preserve"> produce evidence on performance under farmer conditions, adoption fidelity, input use, yield, profitability, weed pressure, and farmer willingness to repeat. Training should not be counted </w:t>
      </w:r>
      <w:r w:rsidR="00D4349B">
        <w:t>unless they</w:t>
      </w:r>
      <w:r>
        <w:t xml:space="preserve"> produce certified operators, mechanics, extension agents, and service providers who meet performance standards. CHC formation should not be counted as organizations supported; it should produce functioning service enterprises with utilization, revenue, profit, repair, and customer data. Machinery company engagement should not be counted as meetings; it should produce local dealer commitments, parts inventories, warranty systems, and response-time standards. Extension should not be counted as outreach; it s</w:t>
      </w:r>
      <w:r>
        <w:t>hould produce farmers able to make correct decisions on timing, moisture, herbicide, variety, and wheat transition.</w:t>
      </w:r>
    </w:p>
    <w:p w14:paraId="2BE5E16E" w14:textId="77777777" w:rsidR="00942648" w:rsidRDefault="00CD31A5">
      <w:r>
        <w:t>S4I should require a proof-point dashboard. At farmer level, it should track area under DSR, area under DSR followed by timely ZTW, adoption of core components, yield, cost, net margin, wheat sowing date, weed problems, and repeat intention. At service-provider level, it should track machine utilization, customers, hectares, service revenue, net profit after depreciation and interest, downtime, repairs, loan repayment, and additional purchases. At dealer level, it should track sales, parts availability, rep</w:t>
      </w:r>
      <w:r>
        <w:t>air response time, warranty claims, mechanic coverage, and local investment. At system level, it should track subsidy dependence, private investment, policy changes, institutional ownership, and who pays for coordination after project support.</w:t>
      </w:r>
    </w:p>
    <w:p w14:paraId="2D06017E" w14:textId="77777777" w:rsidR="00942648" w:rsidRDefault="00CD31A5">
      <w:pPr>
        <w:pStyle w:val="Heading1"/>
      </w:pPr>
      <w:r>
        <w:rPr>
          <w:rFonts w:ascii="Calibri" w:hAnsi="Calibri"/>
        </w:rPr>
        <w:t>IPSR and scaling tools</w:t>
      </w:r>
    </w:p>
    <w:p w14:paraId="5A741204" w14:textId="77777777" w:rsidR="00942648" w:rsidRDefault="00CD31A5">
      <w:r>
        <w:t xml:space="preserve">IPSR is useful if it helps the team define the innovation bundle, clarify scaling ambition, identify bottlenecks, and align actors around a pathway. In this case, the materials suggest that IPSR-type processes may have helped surface the idea that DSR-ZTW is not a single technology but a bundle embedded in a larger scaling system. That is positive. However, IPSR can also create false confidence if it encourages teams to describe many partners, activities, and readiness scores without forcing hard decisions </w:t>
      </w:r>
      <w:r>
        <w:t>about business models, actor incentives, and post-donor ownership.</w:t>
      </w:r>
    </w:p>
    <w:p w14:paraId="31E41C17" w14:textId="77777777" w:rsidR="00942648" w:rsidRDefault="00CD31A5">
      <w:r>
        <w:t>Future IPSR workshops for this track should be less about mapping components and more about stress testing the scaling pathway. The workshop should ask which actor drives each function, what they gain, what they pay, what risk they bear, what evidence exists that they will continue, and what happens if the component fails. It should force the team to identify the two or three binding constraints relative to the one-million-farmer ambition and to specify kill, pause, narrow, or scale decisions based on evide</w:t>
      </w:r>
      <w:r>
        <w:t>nce. IPSR would be far more useful if it produced a stage-gated scaling strategy, not a validated activity map.</w:t>
      </w:r>
    </w:p>
    <w:p w14:paraId="171662C5" w14:textId="77777777" w:rsidR="00942648" w:rsidRDefault="00CD31A5">
      <w:pPr>
        <w:pStyle w:val="Heading1"/>
      </w:pPr>
      <w:r>
        <w:rPr>
          <w:rFonts w:ascii="Calibri" w:hAnsi="Calibri"/>
        </w:rPr>
        <w:lastRenderedPageBreak/>
        <w:t>Recommendations to the project team</w:t>
      </w:r>
    </w:p>
    <w:p w14:paraId="50D7CCD3" w14:textId="77777777" w:rsidR="00942648" w:rsidRDefault="00CD31A5">
      <w:r>
        <w:t>First, reframe the project from scaling DSR-ZTW technologies to building a resilient service and input market system around a climate-smart rice-wheat calendar transition. This framing forces attention to service reliability, business models, repairs, input supply, farmer risk, and institutional ownership. It also prevents the project from claiming success through demonstrations or hectares alone.</w:t>
      </w:r>
    </w:p>
    <w:p w14:paraId="01D98968" w14:textId="77777777" w:rsidR="00942648" w:rsidRDefault="00CD31A5">
      <w:r>
        <w:t>Second, develop actor-specific value propositions and business models. For farmers, produce crop budgets by ecology, farm type, and adoption fidelity. For CHCs and PSPs, produce enterprise models with utilization, revenue, cost, downtime, payback, and subsidy sensitivity. For machinery companies and dealers, define the market volume required to justify local investment. For government, define the public benefits and the policy instruments that make sense. For S4I, define exactly what bottleneck is being de-</w:t>
      </w:r>
      <w:r>
        <w:t>risked.</w:t>
      </w:r>
    </w:p>
    <w:p w14:paraId="11790A97" w14:textId="77777777" w:rsidR="00942648" w:rsidRDefault="00CD31A5">
      <w:r>
        <w:t>Third, segment the scaling pathway. Do not target villages randomly or only by low productivity. Prioritize clusters where tractor owners lack seeders, farmer demand density is high, service gaps are real, wheat timing is a binding constraint, and demonstration effects can diffuse through credible social networks. Differentiate between villages ready for DSR-ZTW, villages needing service-market preparation, and villages where the package is not yet appropriate.</w:t>
      </w:r>
    </w:p>
    <w:p w14:paraId="6B97F1FC" w14:textId="62FB0E50" w:rsidR="00942648" w:rsidRDefault="00CD31A5">
      <w:r>
        <w:t>Fourth, treat machinery companies and dealers as core partners</w:t>
      </w:r>
      <w:r w:rsidR="001772E5">
        <w:t xml:space="preserve">, medium-term drivers of </w:t>
      </w:r>
      <w:proofErr w:type="gramStart"/>
      <w:r w:rsidR="001772E5">
        <w:t>scaling,  and</w:t>
      </w:r>
      <w:proofErr w:type="gramEnd"/>
      <w:r w:rsidR="001772E5">
        <w:t xml:space="preserve"> </w:t>
      </w:r>
      <w:proofErr w:type="gramStart"/>
      <w:r w:rsidR="001772E5">
        <w:t>in</w:t>
      </w:r>
      <w:proofErr w:type="gramEnd"/>
      <w:r w:rsidR="001772E5">
        <w:t xml:space="preserve"> the long-term owners of the system</w:t>
      </w:r>
      <w:r>
        <w:t>. Make their participation contractual and measurable. Subsidy eligibility should be linked to after-sales service, spare-parts stock, warranty terms, mechanic training, operator certification, and response-time commitments. A machine without service support should not qualify as a scaling asset.</w:t>
      </w:r>
    </w:p>
    <w:p w14:paraId="3F2B4B0E" w14:textId="0CCC6294" w:rsidR="00942648" w:rsidRPr="006B1334" w:rsidRDefault="00CD31A5">
      <w:r>
        <w:t>Fifth, create CHC/PSP enterprise dashboards and benchmark performance. Before expanding to hundreds of CHCs, test multiple enterprise archetypes</w:t>
      </w:r>
      <w:r w:rsidR="006B1334">
        <w:t xml:space="preserve">, governance and management </w:t>
      </w:r>
      <w:proofErr w:type="gramStart"/>
      <w:r w:rsidR="006B1334">
        <w:t xml:space="preserve">models, </w:t>
      </w:r>
      <w:r>
        <w:t xml:space="preserve"> and</w:t>
      </w:r>
      <w:proofErr w:type="gramEnd"/>
      <w:r>
        <w:t xml:space="preserve"> identify which </w:t>
      </w:r>
      <w:proofErr w:type="gramStart"/>
      <w:r>
        <w:t>actually works</w:t>
      </w:r>
      <w:proofErr w:type="gramEnd"/>
      <w:r>
        <w:t xml:space="preserve">. Track profit after depreciation and interest, not just turnover. Compare FPO-owned, private entrepreneur, dealer-linked, and hybrid models. Use evidence to decide which </w:t>
      </w:r>
      <w:proofErr w:type="gramStart"/>
      <w:r>
        <w:t>should scale</w:t>
      </w:r>
      <w:proofErr w:type="gramEnd"/>
      <w:r>
        <w:t>.</w:t>
      </w:r>
      <w:r w:rsidR="006B1334">
        <w:t xml:space="preserve"> If necessary, add governance, leadership and management training. </w:t>
      </w:r>
      <w:r w:rsidR="006B1334" w:rsidRPr="006B1334">
        <w:rPr>
          <w:u w:val="single"/>
        </w:rPr>
        <w:t xml:space="preserve">Also track failure rates and who </w:t>
      </w:r>
      <w:proofErr w:type="gramStart"/>
      <w:r w:rsidR="006B1334" w:rsidRPr="006B1334">
        <w:rPr>
          <w:u w:val="single"/>
        </w:rPr>
        <w:t>fails;  it</w:t>
      </w:r>
      <w:proofErr w:type="gramEnd"/>
      <w:r w:rsidR="006B1334" w:rsidRPr="006B1334">
        <w:rPr>
          <w:u w:val="single"/>
        </w:rPr>
        <w:t xml:space="preserve"> would not be surprising if half or more of CHCs </w:t>
      </w:r>
      <w:proofErr w:type="gramStart"/>
      <w:r w:rsidR="006B1334" w:rsidRPr="006B1334">
        <w:rPr>
          <w:u w:val="single"/>
        </w:rPr>
        <w:t>fail</w:t>
      </w:r>
      <w:proofErr w:type="gramEnd"/>
      <w:r w:rsidR="006B1334" w:rsidRPr="006B1334">
        <w:rPr>
          <w:u w:val="single"/>
        </w:rPr>
        <w:t xml:space="preserve"> or seriously underperform, </w:t>
      </w:r>
      <w:r w:rsidR="006B1334">
        <w:rPr>
          <w:u w:val="single"/>
        </w:rPr>
        <w:t xml:space="preserve">which would </w:t>
      </w:r>
      <w:proofErr w:type="gramStart"/>
      <w:r w:rsidR="006B1334">
        <w:rPr>
          <w:u w:val="single"/>
        </w:rPr>
        <w:t>actually be</w:t>
      </w:r>
      <w:proofErr w:type="gramEnd"/>
      <w:r w:rsidR="006B1334">
        <w:rPr>
          <w:u w:val="single"/>
        </w:rPr>
        <w:t xml:space="preserve"> a good </w:t>
      </w:r>
      <w:proofErr w:type="gramStart"/>
      <w:r w:rsidR="006B1334">
        <w:rPr>
          <w:u w:val="single"/>
        </w:rPr>
        <w:t>thing</w:t>
      </w:r>
      <w:proofErr w:type="gramEnd"/>
      <w:r w:rsidR="006B1334">
        <w:rPr>
          <w:u w:val="single"/>
        </w:rPr>
        <w:t xml:space="preserve"> weeding out low quality CHCs and ensuring quality service delivery from the remainder. </w:t>
      </w:r>
      <w:r w:rsidR="006B1334" w:rsidRPr="006B1334">
        <w:t xml:space="preserve">This suggests that more CHCs than are </w:t>
      </w:r>
      <w:proofErr w:type="gramStart"/>
      <w:r w:rsidR="006B1334" w:rsidRPr="006B1334">
        <w:t>necessary</w:t>
      </w:r>
      <w:proofErr w:type="gramEnd"/>
      <w:r w:rsidR="006B1334" w:rsidRPr="006B1334">
        <w:t xml:space="preserve"> need to be created</w:t>
      </w:r>
      <w:r w:rsidR="006B1334">
        <w:t xml:space="preserve"> </w:t>
      </w:r>
      <w:proofErr w:type="gramStart"/>
      <w:r w:rsidR="006B1334">
        <w:t>taking into account</w:t>
      </w:r>
      <w:proofErr w:type="gramEnd"/>
      <w:r w:rsidR="006B1334">
        <w:t xml:space="preserve"> attrition</w:t>
      </w:r>
      <w:r w:rsidR="006B1334" w:rsidRPr="006B1334">
        <w:t xml:space="preserve"> to arrive at meeting the need for machinery services. </w:t>
      </w:r>
    </w:p>
    <w:p w14:paraId="7AEB3152" w14:textId="77777777" w:rsidR="00942648" w:rsidRDefault="00CD31A5">
      <w:r>
        <w:t xml:space="preserve">Sixth, </w:t>
      </w:r>
      <w:r w:rsidRPr="006B1334">
        <w:rPr>
          <w:u w:val="single"/>
        </w:rPr>
        <w:t>measure adoption fidelity and partial adoption explicitly. The M&amp;E system should track the minimum viable package and each component: machine seeding, sowing date, field condition, variety, herbicide type and timing, irrigation, weed control, residue management, ZTW adoption, wheat sowing date, and profitability</w:t>
      </w:r>
      <w:r>
        <w:t>. This is the only way to distinguish technology failure from delivery failure and farmer adaptation.</w:t>
      </w:r>
    </w:p>
    <w:p w14:paraId="2BD023CE" w14:textId="77777777" w:rsidR="00942648" w:rsidRDefault="00CD31A5">
      <w:r>
        <w:lastRenderedPageBreak/>
        <w:t>Seventh, address herbicide and environmental risks directly. The project should not rely on herbicide-tolerant varieties and agrochemical supply alone. It should develop integrated weed management, safe-use training, resistance monitoring, and clear responsible-scaling safeguards. If climate-smart claims are central, then environmental tradeoffs must be managed, not ignored.</w:t>
      </w:r>
    </w:p>
    <w:p w14:paraId="6AFA69FA" w14:textId="77777777" w:rsidR="00942648" w:rsidRDefault="00CD31A5">
      <w:pPr>
        <w:pStyle w:val="Heading1"/>
      </w:pPr>
      <w:r>
        <w:rPr>
          <w:rFonts w:ascii="Calibri" w:hAnsi="Calibri"/>
        </w:rPr>
        <w:t>Recommendation on future S4I funding</w:t>
      </w:r>
    </w:p>
    <w:p w14:paraId="23C09B5A" w14:textId="182C336D" w:rsidR="00942648" w:rsidRDefault="00CD31A5">
      <w:r>
        <w:t>S4I should fund the DSR-ZTW track for another year</w:t>
      </w:r>
      <w:r w:rsidR="006B1334">
        <w:t xml:space="preserve"> </w:t>
      </w:r>
      <w:r>
        <w:t>as a focused transition-to-scale investment tied to bottleneck resolution and evidence generation. The project is more mature than proof of concept because the agronomic logic is credible and public investment is already moving. It is not yet mature enough to be treated as a fully proven scaling model because the business models, service economy, adoption fidelity, input systems, repair networks, and post-subsidy sustainability remain underdeveloped. The correct funding posture is conditional support, not u</w:t>
      </w:r>
      <w:r>
        <w:t>ncritical acceleration.</w:t>
      </w:r>
    </w:p>
    <w:p w14:paraId="2F14852B" w14:textId="77777777" w:rsidR="00942648" w:rsidRDefault="00CD31A5">
      <w:r>
        <w:t>A second year of S4I funding should prioritize five outputs. First, a service-economy proof package: enterprise dashboards, service provider archetypes, repair and parts mapping, dealer commitments, and utilization benchmarks. Second, a farmer-risk and adoption-fidelity package: crop budgets, partial-adoption analysis, component-level adoption data, and sensitivity analysis under delayed service, weed pressure, and machine breakdown. Third, a responsible-scaling package: herbicide risk management, environme</w:t>
      </w:r>
      <w:r>
        <w:t>ntal safeguards, and labor-displacement/political economy assessment. Fourth, an institutionalization package: subsidy redesign recommendations, government performance metrics, and post-project ownership of coordination. Fifth, an additionality package: evidence that S4I changes the quality and sustainability of the larger program rather than merely adding activity volume.</w:t>
      </w:r>
    </w:p>
    <w:p w14:paraId="4145824F" w14:textId="18C9BEA8" w:rsidR="00942648" w:rsidRDefault="00CD31A5">
      <w:r>
        <w:t xml:space="preserve">Funding should be contingent on evidence by the end of the </w:t>
      </w:r>
      <w:r w:rsidR="00745E78">
        <w:t xml:space="preserve">funding </w:t>
      </w:r>
      <w:r>
        <w:t xml:space="preserve">year that service providers can operate profitably, farmers repeat adoption, machinery dealers invest in service infrastructure, adoption fidelity is measurable, and government partners are willing to adopt performance-based </w:t>
      </w:r>
      <w:proofErr w:type="gramStart"/>
      <w:r>
        <w:t>subsidy</w:t>
      </w:r>
      <w:proofErr w:type="gramEnd"/>
      <w:r>
        <w:t xml:space="preserve"> and service standards. If the track cannot produce these proof points, S4I should narrow support to diagnostics and bottleneck resolution rather than expand general dissemination funding. If it can produce them, the track could become one of S4I’s stronger examples of turning a </w:t>
      </w:r>
      <w:r>
        <w:t>technical CGIAR innovation into a genuine market and institutional scaling system.</w:t>
      </w:r>
    </w:p>
    <w:p w14:paraId="22A4F9AD" w14:textId="77777777" w:rsidR="00942648" w:rsidRDefault="00CD31A5">
      <w:pPr>
        <w:pStyle w:val="Heading1"/>
      </w:pPr>
      <w:r>
        <w:rPr>
          <w:rFonts w:ascii="Calibri" w:hAnsi="Calibri"/>
        </w:rPr>
        <w:t>Lessons for CGIAR and S4I</w:t>
      </w:r>
    </w:p>
    <w:p w14:paraId="2E0B27AF" w14:textId="77777777" w:rsidR="00942648" w:rsidRDefault="00CD31A5">
      <w:r>
        <w:t xml:space="preserve">The first lesson is that scaling complex agronomic systems requires more than evidence of yield or cost advantage. DSR-ZTW is a bundled, timing-sensitive, service-dependent, input-dependent, and behavior-dependent system. The more complex the package, the more important it becomes to define the minimum viable system, adoption fidelity, actor incentives, </w:t>
      </w:r>
      <w:r>
        <w:lastRenderedPageBreak/>
        <w:t>and voltage drop under real implementation conditions. CGIAR often has strong evidence that technologies can work. It has weaker evidence that the delivery system can work.</w:t>
      </w:r>
    </w:p>
    <w:p w14:paraId="7CFE2323" w14:textId="3ABD9AD3" w:rsidR="00942648" w:rsidRDefault="00CD31A5">
      <w:r>
        <w:t xml:space="preserve">The second lesson is that public program leverage is powerful but dangerous. </w:t>
      </w:r>
      <w:r w:rsidRPr="00821ABB">
        <w:rPr>
          <w:u w:val="single"/>
        </w:rPr>
        <w:t>Large government programs</w:t>
      </w:r>
      <w:r w:rsidR="00821ABB" w:rsidRPr="00821ABB">
        <w:rPr>
          <w:u w:val="single"/>
        </w:rPr>
        <w:t>, especially with external resources</w:t>
      </w:r>
      <w:r w:rsidRPr="00821ABB">
        <w:rPr>
          <w:u w:val="single"/>
        </w:rPr>
        <w:t xml:space="preserve"> </w:t>
      </w:r>
      <w:r w:rsidR="00745E78" w:rsidRPr="00821ABB">
        <w:rPr>
          <w:u w:val="single"/>
        </w:rPr>
        <w:t>funded by donors</w:t>
      </w:r>
      <w:r w:rsidR="00821ABB" w:rsidRPr="00821ABB">
        <w:rPr>
          <w:u w:val="single"/>
        </w:rPr>
        <w:t>,</w:t>
      </w:r>
      <w:r w:rsidR="00745E78" w:rsidRPr="00821ABB">
        <w:rPr>
          <w:u w:val="single"/>
        </w:rPr>
        <w:t xml:space="preserve"> </w:t>
      </w:r>
      <w:r w:rsidRPr="00821ABB">
        <w:rPr>
          <w:u w:val="single"/>
        </w:rPr>
        <w:t xml:space="preserve">can take an innovation to scale quickly, but they can also convert scaling into target-driven activity expansion. </w:t>
      </w:r>
      <w:r>
        <w:t xml:space="preserve">S4I’s value should be to improve the quality of scaling: smarter subsidies, better monitoring, commercial incentives, service standards, responsible safeguards, and durable institutional ownership. </w:t>
      </w:r>
      <w:r w:rsidRPr="00821ABB">
        <w:rPr>
          <w:u w:val="single"/>
        </w:rPr>
        <w:t>If S4I does not change these features, it risks becoming a small technical add-on to a large public program rather than a scaling catalyst</w:t>
      </w:r>
      <w:r>
        <w:t>.</w:t>
      </w:r>
    </w:p>
    <w:p w14:paraId="3C96E941" w14:textId="19F3CAD6" w:rsidR="00942648" w:rsidRDefault="00CD31A5">
      <w:r>
        <w:t xml:space="preserve">The third lesson is that market systems must be built around all actors who capture or create value. Farmers are not the only adopters. Service providers adopt the business model. Machinery dealers adopt the </w:t>
      </w:r>
      <w:proofErr w:type="spellStart"/>
      <w:r>
        <w:t>market</w:t>
      </w:r>
      <w:r>
        <w:t>Each</w:t>
      </w:r>
      <w:proofErr w:type="spellEnd"/>
      <w:r>
        <w:t xml:space="preserve"> actor needs a value proposition, incentives, capacity, and evidence. A scaling pathway that does not specify these roles is not yet a scaling pathway.</w:t>
      </w:r>
    </w:p>
    <w:p w14:paraId="047F400E" w14:textId="47912180" w:rsidR="00942648" w:rsidRDefault="00CD31A5">
      <w:r>
        <w:t xml:space="preserve">The fourth lesson is that S4I should fund transition-to-scale work only when the next-stage evidence questions are explicit. For DSR-ZTW, the evidence question is not whether the technology works. It is whether a reliable, profitable, inclusive, and responsible service and input system can deliver the package at scale under smallholder conditions. That is exactly the kind of question S4I should help CGIAR answer. But it should insist on discipline: fewer generic activities, more </w:t>
      </w:r>
      <w:r w:rsidR="000956F4">
        <w:t xml:space="preserve">outcomes and </w:t>
      </w:r>
      <w:r>
        <w:t>proof points, clearer actor ownership, and a sharper decision about what would justify scaling further.</w:t>
      </w:r>
    </w:p>
    <w:sectPr w:rsidR="00942648" w:rsidSect="001905FF">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8F15" w14:textId="77777777" w:rsidR="00CD31A5" w:rsidRDefault="00CD31A5">
      <w:pPr>
        <w:spacing w:after="0" w:line="240" w:lineRule="auto"/>
      </w:pPr>
      <w:r>
        <w:separator/>
      </w:r>
    </w:p>
  </w:endnote>
  <w:endnote w:type="continuationSeparator" w:id="0">
    <w:p w14:paraId="4BB951C3" w14:textId="77777777" w:rsidR="00CD31A5" w:rsidRDefault="00CD3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602E" w14:textId="77777777" w:rsidR="00942648" w:rsidRDefault="00942648">
    <w:pPr>
      <w:pStyle w:val="Footer"/>
    </w:pPr>
  </w:p>
  <w:tbl>
    <w:tblPr>
      <w:tblW w:w="0" w:type="auto"/>
      <w:jc w:val="center"/>
      <w:tblLook w:val="04A0" w:firstRow="1" w:lastRow="0" w:firstColumn="1" w:lastColumn="0" w:noHBand="0" w:noVBand="1"/>
    </w:tblPr>
    <w:tblGrid>
      <w:gridCol w:w="3120"/>
      <w:gridCol w:w="3120"/>
      <w:gridCol w:w="3120"/>
    </w:tblGrid>
    <w:tr w:rsidR="00942648" w:rsidRPr="001905FF" w14:paraId="404947C4" w14:textId="77777777">
      <w:trPr>
        <w:jc w:val="center"/>
      </w:trPr>
      <w:tc>
        <w:tcPr>
          <w:tcW w:w="3120" w:type="dxa"/>
          <w:tcBorders>
            <w:top w:val="nil"/>
            <w:left w:val="nil"/>
            <w:bottom w:val="nil"/>
            <w:right w:val="nil"/>
          </w:tcBorders>
          <w:vAlign w:val="center"/>
        </w:tcPr>
        <w:p w14:paraId="32BCB481" w14:textId="1A8CF25B" w:rsidR="00942648" w:rsidRPr="001905FF" w:rsidRDefault="0040236F">
          <w:pPr>
            <w:rPr>
              <w:sz w:val="20"/>
              <w:szCs w:val="20"/>
            </w:rPr>
          </w:pPr>
          <w:r w:rsidRPr="001905FF">
            <w:rPr>
              <w:sz w:val="20"/>
              <w:szCs w:val="20"/>
            </w:rPr>
            <w:t>Author: Richard Kohl</w:t>
          </w:r>
        </w:p>
      </w:tc>
      <w:tc>
        <w:tcPr>
          <w:tcW w:w="3120" w:type="dxa"/>
          <w:tcBorders>
            <w:top w:val="nil"/>
            <w:left w:val="nil"/>
            <w:bottom w:val="nil"/>
            <w:right w:val="nil"/>
          </w:tcBorders>
          <w:vAlign w:val="center"/>
        </w:tcPr>
        <w:p w14:paraId="0C659301" w14:textId="77777777" w:rsidR="00942648" w:rsidRPr="001905FF" w:rsidRDefault="00CD31A5">
          <w:pPr>
            <w:jc w:val="center"/>
            <w:rPr>
              <w:sz w:val="20"/>
              <w:szCs w:val="20"/>
            </w:rPr>
          </w:pPr>
          <w:r w:rsidRPr="001905FF">
            <w:rPr>
              <w:sz w:val="20"/>
              <w:szCs w:val="20"/>
            </w:rPr>
            <w:t xml:space="preserve">Page </w:t>
          </w:r>
          <w:r w:rsidRPr="001905FF">
            <w:rPr>
              <w:sz w:val="20"/>
              <w:szCs w:val="20"/>
            </w:rPr>
            <w:fldChar w:fldCharType="begin"/>
          </w:r>
          <w:r w:rsidRPr="001905FF">
            <w:rPr>
              <w:sz w:val="20"/>
              <w:szCs w:val="20"/>
            </w:rPr>
            <w:instrText>PAGE</w:instrText>
          </w:r>
          <w:r w:rsidRPr="001905FF">
            <w:rPr>
              <w:sz w:val="20"/>
              <w:szCs w:val="20"/>
            </w:rPr>
            <w:fldChar w:fldCharType="separate"/>
          </w:r>
          <w:r w:rsidRPr="001905FF">
            <w:rPr>
              <w:sz w:val="20"/>
              <w:szCs w:val="20"/>
            </w:rPr>
            <w:t>1</w:t>
          </w:r>
          <w:r w:rsidRPr="001905FF">
            <w:rPr>
              <w:sz w:val="20"/>
              <w:szCs w:val="20"/>
            </w:rPr>
            <w:fldChar w:fldCharType="end"/>
          </w:r>
          <w:r w:rsidRPr="001905FF">
            <w:rPr>
              <w:sz w:val="20"/>
              <w:szCs w:val="20"/>
            </w:rPr>
            <w:t xml:space="preserve"> of </w:t>
          </w:r>
          <w:r w:rsidRPr="001905FF">
            <w:rPr>
              <w:sz w:val="20"/>
              <w:szCs w:val="20"/>
            </w:rPr>
            <w:fldChar w:fldCharType="begin"/>
          </w:r>
          <w:r w:rsidRPr="001905FF">
            <w:rPr>
              <w:sz w:val="20"/>
              <w:szCs w:val="20"/>
            </w:rPr>
            <w:instrText>NUMPAGES</w:instrText>
          </w:r>
          <w:r w:rsidRPr="001905FF">
            <w:rPr>
              <w:sz w:val="20"/>
              <w:szCs w:val="20"/>
            </w:rPr>
            <w:fldChar w:fldCharType="separate"/>
          </w:r>
          <w:r w:rsidRPr="001905FF">
            <w:rPr>
              <w:sz w:val="20"/>
              <w:szCs w:val="20"/>
            </w:rPr>
            <w:t>1</w:t>
          </w:r>
          <w:r w:rsidRPr="001905FF">
            <w:rPr>
              <w:sz w:val="20"/>
              <w:szCs w:val="20"/>
            </w:rPr>
            <w:fldChar w:fldCharType="end"/>
          </w:r>
        </w:p>
      </w:tc>
      <w:tc>
        <w:tcPr>
          <w:tcW w:w="3120" w:type="dxa"/>
          <w:tcBorders>
            <w:top w:val="nil"/>
            <w:left w:val="nil"/>
            <w:bottom w:val="nil"/>
            <w:right w:val="nil"/>
          </w:tcBorders>
          <w:vAlign w:val="center"/>
        </w:tcPr>
        <w:p w14:paraId="2FC5548C" w14:textId="77777777" w:rsidR="00942648" w:rsidRPr="001905FF" w:rsidRDefault="00CD31A5">
          <w:pPr>
            <w:jc w:val="right"/>
            <w:rPr>
              <w:sz w:val="20"/>
              <w:szCs w:val="20"/>
            </w:rPr>
          </w:pPr>
          <w:r w:rsidRPr="001905FF">
            <w:rPr>
              <w:sz w:val="20"/>
              <w:szCs w:val="20"/>
            </w:rPr>
            <w:t>June 23,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104B" w14:textId="77777777" w:rsidR="001905FF" w:rsidRDefault="001905FF"/>
  <w:tbl>
    <w:tblPr>
      <w:tblW w:w="0" w:type="auto"/>
      <w:jc w:val="center"/>
      <w:tblLook w:val="04A0" w:firstRow="1" w:lastRow="0" w:firstColumn="1" w:lastColumn="0" w:noHBand="0" w:noVBand="1"/>
    </w:tblPr>
    <w:tblGrid>
      <w:gridCol w:w="3120"/>
      <w:gridCol w:w="3120"/>
      <w:gridCol w:w="3120"/>
    </w:tblGrid>
    <w:tr w:rsidR="001905FF" w:rsidRPr="001905FF" w14:paraId="6F981561" w14:textId="77777777" w:rsidTr="000E4DD2">
      <w:trPr>
        <w:jc w:val="center"/>
      </w:trPr>
      <w:tc>
        <w:tcPr>
          <w:tcW w:w="3120" w:type="dxa"/>
          <w:tcBorders>
            <w:top w:val="nil"/>
            <w:left w:val="nil"/>
            <w:bottom w:val="nil"/>
            <w:right w:val="nil"/>
          </w:tcBorders>
          <w:vAlign w:val="center"/>
        </w:tcPr>
        <w:p w14:paraId="2252D6C6" w14:textId="77777777" w:rsidR="001905FF" w:rsidRPr="001905FF" w:rsidRDefault="001905FF" w:rsidP="001905FF">
          <w:pPr>
            <w:rPr>
              <w:sz w:val="20"/>
              <w:szCs w:val="20"/>
            </w:rPr>
          </w:pPr>
          <w:r w:rsidRPr="001905FF">
            <w:rPr>
              <w:sz w:val="20"/>
              <w:szCs w:val="20"/>
            </w:rPr>
            <w:t>Author: Richard Kohl</w:t>
          </w:r>
        </w:p>
      </w:tc>
      <w:tc>
        <w:tcPr>
          <w:tcW w:w="3120" w:type="dxa"/>
          <w:tcBorders>
            <w:top w:val="nil"/>
            <w:left w:val="nil"/>
            <w:bottom w:val="nil"/>
            <w:right w:val="nil"/>
          </w:tcBorders>
          <w:vAlign w:val="center"/>
        </w:tcPr>
        <w:p w14:paraId="5F0629D8" w14:textId="77777777" w:rsidR="001905FF" w:rsidRPr="001905FF" w:rsidRDefault="001905FF" w:rsidP="001905FF">
          <w:pPr>
            <w:jc w:val="center"/>
            <w:rPr>
              <w:sz w:val="20"/>
              <w:szCs w:val="20"/>
            </w:rPr>
          </w:pPr>
          <w:r w:rsidRPr="001905FF">
            <w:rPr>
              <w:sz w:val="20"/>
              <w:szCs w:val="20"/>
            </w:rPr>
            <w:t xml:space="preserve">Page </w:t>
          </w:r>
          <w:r w:rsidRPr="001905FF">
            <w:rPr>
              <w:sz w:val="20"/>
              <w:szCs w:val="20"/>
            </w:rPr>
            <w:fldChar w:fldCharType="begin"/>
          </w:r>
          <w:r w:rsidRPr="001905FF">
            <w:rPr>
              <w:sz w:val="20"/>
              <w:szCs w:val="20"/>
            </w:rPr>
            <w:instrText>PAGE</w:instrText>
          </w:r>
          <w:r w:rsidRPr="001905FF">
            <w:rPr>
              <w:sz w:val="20"/>
              <w:szCs w:val="20"/>
            </w:rPr>
            <w:fldChar w:fldCharType="separate"/>
          </w:r>
          <w:r w:rsidRPr="001905FF">
            <w:rPr>
              <w:sz w:val="20"/>
              <w:szCs w:val="20"/>
            </w:rPr>
            <w:t>1</w:t>
          </w:r>
          <w:r w:rsidRPr="001905FF">
            <w:rPr>
              <w:sz w:val="20"/>
              <w:szCs w:val="20"/>
            </w:rPr>
            <w:fldChar w:fldCharType="end"/>
          </w:r>
          <w:r w:rsidRPr="001905FF">
            <w:rPr>
              <w:sz w:val="20"/>
              <w:szCs w:val="20"/>
            </w:rPr>
            <w:t xml:space="preserve"> of </w:t>
          </w:r>
          <w:r w:rsidRPr="001905FF">
            <w:rPr>
              <w:sz w:val="20"/>
              <w:szCs w:val="20"/>
            </w:rPr>
            <w:fldChar w:fldCharType="begin"/>
          </w:r>
          <w:r w:rsidRPr="001905FF">
            <w:rPr>
              <w:sz w:val="20"/>
              <w:szCs w:val="20"/>
            </w:rPr>
            <w:instrText>NUMPAGES</w:instrText>
          </w:r>
          <w:r w:rsidRPr="001905FF">
            <w:rPr>
              <w:sz w:val="20"/>
              <w:szCs w:val="20"/>
            </w:rPr>
            <w:fldChar w:fldCharType="separate"/>
          </w:r>
          <w:r w:rsidRPr="001905FF">
            <w:rPr>
              <w:sz w:val="20"/>
              <w:szCs w:val="20"/>
            </w:rPr>
            <w:t>1</w:t>
          </w:r>
          <w:r w:rsidRPr="001905FF">
            <w:rPr>
              <w:sz w:val="20"/>
              <w:szCs w:val="20"/>
            </w:rPr>
            <w:fldChar w:fldCharType="end"/>
          </w:r>
        </w:p>
      </w:tc>
      <w:tc>
        <w:tcPr>
          <w:tcW w:w="3120" w:type="dxa"/>
          <w:tcBorders>
            <w:top w:val="nil"/>
            <w:left w:val="nil"/>
            <w:bottom w:val="nil"/>
            <w:right w:val="nil"/>
          </w:tcBorders>
          <w:vAlign w:val="center"/>
        </w:tcPr>
        <w:p w14:paraId="0A801AFD" w14:textId="77777777" w:rsidR="001905FF" w:rsidRPr="001905FF" w:rsidRDefault="001905FF" w:rsidP="001905FF">
          <w:pPr>
            <w:jc w:val="right"/>
            <w:rPr>
              <w:sz w:val="20"/>
              <w:szCs w:val="20"/>
            </w:rPr>
          </w:pPr>
          <w:r w:rsidRPr="001905FF">
            <w:rPr>
              <w:sz w:val="20"/>
              <w:szCs w:val="20"/>
            </w:rPr>
            <w:t>June 23, 2026</w:t>
          </w:r>
        </w:p>
      </w:tc>
    </w:tr>
  </w:tbl>
  <w:p w14:paraId="27445137" w14:textId="77777777" w:rsidR="0040236F" w:rsidRDefault="0040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E894" w14:textId="77777777" w:rsidR="00CD31A5" w:rsidRDefault="00CD31A5">
      <w:pPr>
        <w:spacing w:after="0" w:line="240" w:lineRule="auto"/>
      </w:pPr>
      <w:r>
        <w:separator/>
      </w:r>
    </w:p>
  </w:footnote>
  <w:footnote w:type="continuationSeparator" w:id="0">
    <w:p w14:paraId="2C30CD94" w14:textId="77777777" w:rsidR="00CD31A5" w:rsidRDefault="00CD3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0B42" w14:textId="7D458AC4" w:rsidR="0040236F" w:rsidRDefault="001905FF" w:rsidP="0040236F">
    <w:pPr>
      <w:pStyle w:val="Header"/>
      <w:jc w:val="right"/>
    </w:pPr>
    <w:r>
      <w:t>DSR Scaling Solution Assessment and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297988">
    <w:abstractNumId w:val="8"/>
  </w:num>
  <w:num w:numId="2" w16cid:durableId="2057972018">
    <w:abstractNumId w:val="6"/>
  </w:num>
  <w:num w:numId="3" w16cid:durableId="597714366">
    <w:abstractNumId w:val="5"/>
  </w:num>
  <w:num w:numId="4" w16cid:durableId="1792162655">
    <w:abstractNumId w:val="4"/>
  </w:num>
  <w:num w:numId="5" w16cid:durableId="1572152187">
    <w:abstractNumId w:val="7"/>
  </w:num>
  <w:num w:numId="6" w16cid:durableId="1019308148">
    <w:abstractNumId w:val="3"/>
  </w:num>
  <w:num w:numId="7" w16cid:durableId="110057352">
    <w:abstractNumId w:val="2"/>
  </w:num>
  <w:num w:numId="8" w16cid:durableId="2041125846">
    <w:abstractNumId w:val="1"/>
  </w:num>
  <w:num w:numId="9" w16cid:durableId="139930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6A"/>
    <w:rsid w:val="00034616"/>
    <w:rsid w:val="0006063C"/>
    <w:rsid w:val="000956F4"/>
    <w:rsid w:val="0015074B"/>
    <w:rsid w:val="001772E5"/>
    <w:rsid w:val="001905FF"/>
    <w:rsid w:val="001F2288"/>
    <w:rsid w:val="0029639D"/>
    <w:rsid w:val="002D18A0"/>
    <w:rsid w:val="00322FDD"/>
    <w:rsid w:val="00326F90"/>
    <w:rsid w:val="0040236F"/>
    <w:rsid w:val="004151AE"/>
    <w:rsid w:val="005A41B9"/>
    <w:rsid w:val="006B1334"/>
    <w:rsid w:val="006C500A"/>
    <w:rsid w:val="00745E78"/>
    <w:rsid w:val="00821ABB"/>
    <w:rsid w:val="008A1E89"/>
    <w:rsid w:val="008D46EA"/>
    <w:rsid w:val="0092774E"/>
    <w:rsid w:val="00942648"/>
    <w:rsid w:val="009C6542"/>
    <w:rsid w:val="00AA1D8D"/>
    <w:rsid w:val="00B47730"/>
    <w:rsid w:val="00B75A03"/>
    <w:rsid w:val="00B917CC"/>
    <w:rsid w:val="00C42FC7"/>
    <w:rsid w:val="00CB0664"/>
    <w:rsid w:val="00CD31A5"/>
    <w:rsid w:val="00D4349B"/>
    <w:rsid w:val="00D95667"/>
    <w:rsid w:val="00DF6AA5"/>
    <w:rsid w:val="00F47F63"/>
    <w:rsid w:val="00FA7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AC17BF8-9D37-4CFB-9083-9B204887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4"/>
    </w:rPr>
  </w:style>
  <w:style w:type="paragraph" w:styleId="Heading1">
    <w:name w:val="heading 1"/>
    <w:basedOn w:val="Normal"/>
    <w:next w:val="Normal"/>
    <w:link w:val="Heading1Char"/>
    <w:uiPriority w:val="9"/>
    <w:qFormat/>
    <w:rsid w:val="00DF6AA5"/>
    <w:pPr>
      <w:keepNext/>
      <w:keepLines/>
      <w:spacing w:before="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DF6AA5"/>
    <w:pPr>
      <w:keepNext/>
      <w:keepLines/>
      <w:spacing w:before="120"/>
      <w:outlineLvl w:val="1"/>
    </w:pPr>
    <w:rPr>
      <w:rFonts w:asciiTheme="majorHAnsi" w:eastAsiaTheme="majorEastAsia" w:hAnsiTheme="majorHAnsi" w:cstheme="majorBidi"/>
      <w:b/>
      <w:bCs/>
      <w:i/>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F6AA5"/>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DF6AA5"/>
    <w:rPr>
      <w:rFonts w:asciiTheme="majorHAnsi" w:eastAsiaTheme="majorEastAsia" w:hAnsiTheme="majorHAnsi" w:cstheme="majorBidi"/>
      <w:b/>
      <w:bCs/>
      <w:i/>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14</Pages>
  <Words>6167</Words>
  <Characters>35156</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Kohl</cp:lastModifiedBy>
  <cp:revision>26</cp:revision>
  <dcterms:created xsi:type="dcterms:W3CDTF">2013-12-23T23:15:00Z</dcterms:created>
  <dcterms:modified xsi:type="dcterms:W3CDTF">2026-06-23T17:47:00Z</dcterms:modified>
  <cp:category/>
</cp:coreProperties>
</file>