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05509" w14:textId="77777777" w:rsidR="003A4FB6" w:rsidRDefault="00EC07B6" w:rsidP="006A61A1">
      <w:r>
        <w:t>CGIAR Scaling Solutions Coaching Summary</w:t>
      </w:r>
    </w:p>
    <w:p w14:paraId="34EB04C0" w14:textId="77777777" w:rsidR="003A4FB6" w:rsidRPr="00154DE6" w:rsidRDefault="00EC07B6" w:rsidP="006A61A1">
      <w:r w:rsidRPr="00154DE6">
        <w:t>Market-Led Partnerships for Resilient Agri-Food Systems in the Terai Region of Nepal</w:t>
      </w:r>
    </w:p>
    <w:p w14:paraId="3722025B" w14:textId="77777777" w:rsidR="003A4FB6" w:rsidRDefault="00EC07B6" w:rsidP="006A61A1">
      <w:r>
        <w:t>Submitted to the CGIAR Scaling for Impact program</w:t>
      </w:r>
    </w:p>
    <w:p w14:paraId="2EC13746" w14:textId="77777777" w:rsidR="003A4FB6" w:rsidRDefault="00EC07B6" w:rsidP="006A61A1">
      <w:r>
        <w:t>By</w:t>
      </w:r>
    </w:p>
    <w:p w14:paraId="45724694" w14:textId="77777777" w:rsidR="003A4FB6" w:rsidRDefault="00EC07B6" w:rsidP="006A61A1">
      <w:r>
        <w:t>Dr. Richard Kohl</w:t>
      </w:r>
    </w:p>
    <w:p w14:paraId="4C0A86EA" w14:textId="77777777" w:rsidR="003A4FB6" w:rsidRDefault="00EC07B6" w:rsidP="006A61A1">
      <w:r>
        <w:t>Strategy and Scale LLC</w:t>
      </w:r>
    </w:p>
    <w:p w14:paraId="4AE68F1B" w14:textId="77777777" w:rsidR="003A4FB6" w:rsidRDefault="00EC07B6" w:rsidP="006A61A1">
      <w:r>
        <w:t>23 June 2026</w:t>
      </w:r>
    </w:p>
    <w:p w14:paraId="0A0CDF52" w14:textId="77777777" w:rsidR="003A4FB6" w:rsidRDefault="00EC07B6" w:rsidP="006A61A1">
      <w:pPr>
        <w:pStyle w:val="Heading1"/>
      </w:pPr>
      <w:r>
        <w:t>Executive Summary</w:t>
      </w:r>
    </w:p>
    <w:p w14:paraId="2ADFFE78" w14:textId="606B8928" w:rsidR="003A4FB6" w:rsidRDefault="00EC07B6" w:rsidP="006A61A1">
      <w:r>
        <w:rPr>
          <w:sz w:val="24"/>
        </w:rPr>
        <w:t xml:space="preserve">The Maize Commercial Model in Nepal is </w:t>
      </w:r>
      <w:r w:rsidR="00B662A0">
        <w:t xml:space="preserve">a full-fledged scaling case that because of its success can credibly move to all suitable agro-ecological areas in the country </w:t>
      </w:r>
      <w:r w:rsidR="00AE48F2">
        <w:t>and consider scaling deep in the original districts in the western Terai</w:t>
      </w:r>
      <w:r>
        <w:rPr>
          <w:sz w:val="24"/>
        </w:rPr>
        <w:t xml:space="preserve">. The </w:t>
      </w:r>
      <w:r w:rsidR="00AE48F2">
        <w:t>key</w:t>
      </w:r>
      <w:r>
        <w:rPr>
          <w:sz w:val="24"/>
        </w:rPr>
        <w:t xml:space="preserve"> question is whether the model has already reached, or is close to reaching, a critical mass in its original western Terai districts such that scaling out can increasingly be driven by cooperatives, buyers, agro-dealers, machinery providers, local governments, and farmer-to-farmer imitation, while </w:t>
      </w:r>
      <w:r w:rsidR="00AE48F2">
        <w:t>CIMMYT</w:t>
      </w:r>
      <w:r>
        <w:rPr>
          <w:sz w:val="24"/>
        </w:rPr>
        <w:t xml:space="preserve"> shifts from direct facilitation toward scaling deep and system stewardship.</w:t>
      </w:r>
    </w:p>
    <w:p w14:paraId="0D353013" w14:textId="77777777" w:rsidR="00AE48F2" w:rsidRDefault="00EC07B6" w:rsidP="006A61A1">
      <w:pPr>
        <w:pStyle w:val="Heading2"/>
      </w:pPr>
      <w:r>
        <w:t xml:space="preserve">What is going well: </w:t>
      </w:r>
    </w:p>
    <w:p w14:paraId="6E32057A" w14:textId="2274022B" w:rsidR="003A4FB6" w:rsidRDefault="00AE48F2" w:rsidP="006A61A1">
      <w:pPr>
        <w:pStyle w:val="ListBullet"/>
      </w:pPr>
      <w:r w:rsidRPr="00DF268E">
        <w:rPr>
          <w:u w:val="single"/>
        </w:rPr>
        <w:t>This</w:t>
      </w:r>
      <w:r w:rsidR="00EC07B6" w:rsidRPr="00DF268E">
        <w:rPr>
          <w:u w:val="single"/>
        </w:rPr>
        <w:t xml:space="preserve"> is one of the stronger S4I investments</w:t>
      </w:r>
      <w:r w:rsidR="00EC07B6">
        <w:t xml:space="preserve"> because the core demand logic is real. The project is built around a commercially meaningful opportunity: using underutilized rice-fallow land for profitable spring maize in a context of rising feed demand, import substitution pressure, male outmigration, and strong cooperative presence. This is not a case where CGIAR is trying to persuade farmers to adopt a technology mainly because scientists believe it is attractive.</w:t>
      </w:r>
    </w:p>
    <w:p w14:paraId="100908E4" w14:textId="4034E43D" w:rsidR="003A4FB6" w:rsidRDefault="00AE48F2" w:rsidP="006A61A1">
      <w:pPr>
        <w:pStyle w:val="ListBullet"/>
      </w:pPr>
      <w:r w:rsidRPr="00DF268E">
        <w:rPr>
          <w:u w:val="single"/>
        </w:rPr>
        <w:t>T</w:t>
      </w:r>
      <w:r w:rsidR="00EC07B6" w:rsidRPr="00DF268E">
        <w:rPr>
          <w:u w:val="single"/>
        </w:rPr>
        <w:t>he innovation-plus-system logic is substantially more advanced</w:t>
      </w:r>
      <w:r w:rsidR="00EC07B6">
        <w:t xml:space="preserve"> than in many CGIAR scaling proposals. The useful unit of analysis is not seed, irrigation, mechanization, soil fertility, or multi-stakeholder platforms separately, but the system that links farmers, cooperatives, agro-dealers, seed suppliers, irrigation actors, machinery services, local governments, feed mills, and processors around predictable production and market demand.</w:t>
      </w:r>
    </w:p>
    <w:p w14:paraId="45A6D823" w14:textId="352F9D19" w:rsidR="003A4FB6" w:rsidRDefault="00DF268E" w:rsidP="006A61A1">
      <w:pPr>
        <w:pStyle w:val="ListBullet"/>
      </w:pPr>
      <w:r>
        <w:t>T</w:t>
      </w:r>
      <w:r w:rsidR="00EC07B6">
        <w:t>he early evidence base suggests real adoption momentum, not only project activity. The reported 700 percent increase in spring maize area, cooperative maize sales of roughly US$3.3 million, an 850 percent increase in cooperative sales value, lower mechanized sowing costs, high levels of hybrid seed use, and substantial yield gains indicate a model that is already moving beyond demonstration logic. These figures should still be validated and interpreted carefully, but they are much stronger than ordinary tra</w:t>
      </w:r>
      <w:r w:rsidR="00EC07B6">
        <w:t>ining, workshop, or pilot-output indicators.</w:t>
      </w:r>
    </w:p>
    <w:p w14:paraId="7340AA56" w14:textId="1BA90226" w:rsidR="00DF268E" w:rsidRDefault="00EC07B6" w:rsidP="006A61A1">
      <w:pPr>
        <w:pStyle w:val="Heading2"/>
      </w:pPr>
      <w:r>
        <w:lastRenderedPageBreak/>
        <w:t>Main concern</w:t>
      </w:r>
      <w:r w:rsidR="00DF268E">
        <w:t>s</w:t>
      </w:r>
      <w:r>
        <w:t xml:space="preserve"> </w:t>
      </w:r>
      <w:r w:rsidR="00DF268E">
        <w:t>(or in this case, suggestions for improvement)</w:t>
      </w:r>
    </w:p>
    <w:p w14:paraId="2CBE913B" w14:textId="2A2FC4F7" w:rsidR="003A4FB6" w:rsidRDefault="00DF268E" w:rsidP="006A61A1">
      <w:pPr>
        <w:pStyle w:val="ListBullet"/>
      </w:pPr>
      <w:r>
        <w:t>T</w:t>
      </w:r>
      <w:r w:rsidR="00EC07B6">
        <w:t>he next stage should distinguish sharply between scaling out and scaling deep. In the original districts, the project may already be approaching a tipping point where adoption and market response can continue through cooperatives, buyers, input suppliers, and imitation. If that is true, CIMMYT should not keep doing the same facilitation forever; it should test whether other actors can drive expansion while the project focuses on deepening adoption quality, machinery access, water reliability, cooperative pe</w:t>
      </w:r>
      <w:r w:rsidR="00EC07B6">
        <w:t>rformance, and inclusion in existing areas.</w:t>
      </w:r>
    </w:p>
    <w:p w14:paraId="25D64819" w14:textId="1ECCF353" w:rsidR="003A4FB6" w:rsidRDefault="009B1CF2" w:rsidP="006A61A1">
      <w:pPr>
        <w:pStyle w:val="ListBullet"/>
      </w:pPr>
      <w:r>
        <w:t>T</w:t>
      </w:r>
      <w:r w:rsidR="00EC07B6">
        <w:t>he model is still too broad for the stated resources. The project risks treating a market-system strategy as a comprehensive menu: seed, soil fertility, composting, green manures, irrigation monitoring, mechanization, cooperatives, agro-dealers, digital advisories, lead farmers, MSPs, output markets, inclusion, policy, and investment leverage. All are relevant, but not all can be the scaling engine. The immediate task</w:t>
      </w:r>
      <w:r>
        <w:t>s</w:t>
      </w:r>
      <w:r w:rsidR="00EC07B6">
        <w:t xml:space="preserve"> </w:t>
      </w:r>
      <w:r>
        <w:t xml:space="preserve">are (a) </w:t>
      </w:r>
      <w:r w:rsidR="00EC07B6">
        <w:t>to define the minimum viable commercialization system for spring maize and decide what must be core, adaptive, sequenced later, or dropped</w:t>
      </w:r>
      <w:r>
        <w:t>, and (b) who can drive scaling out and who, in the medium run, can take over coordination from CIMMYT and the project.</w:t>
      </w:r>
    </w:p>
    <w:p w14:paraId="28989B62" w14:textId="052CDC4E" w:rsidR="003A4FB6" w:rsidRDefault="005D46EA" w:rsidP="006A61A1">
      <w:pPr>
        <w:pStyle w:val="ListBullet"/>
      </w:pPr>
      <w:r>
        <w:t>I</w:t>
      </w:r>
      <w:r w:rsidR="00EC07B6">
        <w:t xml:space="preserve">nclusion and political economy require more attention because the model creates uneven benefits. Nepal’s cooperative structure and high male outmigration make this a distinctive scaling case: </w:t>
      </w:r>
      <w:proofErr w:type="gramStart"/>
      <w:r>
        <w:t>the majority of</w:t>
      </w:r>
      <w:proofErr w:type="gramEnd"/>
      <w:r w:rsidR="00EC07B6">
        <w:t xml:space="preserve"> actual farm</w:t>
      </w:r>
      <w:r>
        <w:t xml:space="preserve">ers </w:t>
      </w:r>
      <w:r w:rsidR="00EC07B6">
        <w:t>are women, and most farmers are already linked to cooperatives. But the model may exclude or under-benefit landless households, tenants, farmers without irrigation access, and cooperative members who do not benefit from machinery investments or commercial maize aggregation. Cooperative incentives can become politically difficult when collective resources support services that only some members can use.</w:t>
      </w:r>
    </w:p>
    <w:p w14:paraId="16113A31" w14:textId="77777777" w:rsidR="00131812" w:rsidRDefault="00EC07B6" w:rsidP="006A61A1">
      <w:pPr>
        <w:pStyle w:val="Heading2"/>
      </w:pPr>
      <w:r>
        <w:t xml:space="preserve">Recommendation </w:t>
      </w:r>
      <w:proofErr w:type="gramStart"/>
      <w:r>
        <w:t>to</w:t>
      </w:r>
      <w:proofErr w:type="gramEnd"/>
      <w:r>
        <w:t xml:space="preserve"> the project: </w:t>
      </w:r>
    </w:p>
    <w:p w14:paraId="018DD034" w14:textId="32B40175" w:rsidR="003A4FB6" w:rsidRDefault="00131812" w:rsidP="006A61A1">
      <w:r>
        <w:t>T</w:t>
      </w:r>
      <w:r w:rsidR="00EC07B6">
        <w:t xml:space="preserve">reat the western Terai as a possible critical-mass case and explicitly test whether self-propelling scaling is beginning. The project should ask whether spring maize is now spreading through farmer imitation, cooperative demand aggregation, buyer pull, agro-dealer investment, machinery-service entrepreneurship, and local government support without equivalent levels of CIMMYT facilitation. If yes, </w:t>
      </w:r>
      <w:r>
        <w:t>the project</w:t>
      </w:r>
      <w:r w:rsidR="00EC07B6">
        <w:t xml:space="preserve"> support should shift toward scaling deep: raising fidelity, expanding area per adopter, strengthening machinery and irrigation services, supporting women-controlled benefits, and institutionalizing coordination.</w:t>
      </w:r>
    </w:p>
    <w:p w14:paraId="6ACCEF9F" w14:textId="77777777" w:rsidR="00131812" w:rsidRDefault="00EC07B6" w:rsidP="006A61A1">
      <w:pPr>
        <w:pStyle w:val="Heading2"/>
      </w:pPr>
      <w:r>
        <w:t xml:space="preserve">Recommendation to S4I: </w:t>
      </w:r>
    </w:p>
    <w:p w14:paraId="387906F3" w14:textId="7BEF7025" w:rsidR="003A4FB6" w:rsidRDefault="00DA21F8" w:rsidP="006A61A1">
      <w:proofErr w:type="gramStart"/>
      <w:r>
        <w:t xml:space="preserve">Definitely </w:t>
      </w:r>
      <w:r w:rsidR="00EC07B6">
        <w:t>fund</w:t>
      </w:r>
      <w:proofErr w:type="gramEnd"/>
      <w:r w:rsidR="00EC07B6">
        <w:t xml:space="preserve"> for another year</w:t>
      </w:r>
      <w:r>
        <w:t xml:space="preserve"> </w:t>
      </w:r>
      <w:r w:rsidR="00EC07B6">
        <w:t>for a sharper purpose. This project merits continued support because it has unusually strong demand, adoption, cooperative, and market evidence. The next year should not fund generic expansion or an ever-wider bundle. It should fund the transition from project-enabled growth to actor-driven scaling out, while solving the political economy, inclusion, irrigation, mechanization, and cooperative-governance bottlenecks that determine whether the model can sustain and deepen impact.</w:t>
      </w:r>
    </w:p>
    <w:p w14:paraId="160C6AA1" w14:textId="77777777" w:rsidR="003A4FB6" w:rsidRDefault="00EC07B6" w:rsidP="006A61A1">
      <w:pPr>
        <w:pStyle w:val="Heading1"/>
      </w:pPr>
      <w:r>
        <w:lastRenderedPageBreak/>
        <w:t>The intervention and its components</w:t>
      </w:r>
    </w:p>
    <w:p w14:paraId="756352F7" w14:textId="77777777" w:rsidR="003A4FB6" w:rsidRDefault="00EC07B6" w:rsidP="006A61A1">
      <w:r>
        <w:t>The solution track, Market-Led Partnerships for Resilient Agri-Food Systems in the Terai Region of Nepal, builds on CIMMYT’s Maize Commercial Model and IWMI’s irrigation and water-management capabilities. Its central idea is simple and powerful: convert underutilized rice-fallow land in the Terai into a profitable, market-linked spring maize production system. The agronomic entry point is the window after rice harvest and before the monsoon rice season. The economic entry point is growing domestic demand fo</w:t>
      </w:r>
      <w:r>
        <w:t>r maize, especially from feed mills and food processors, in a country that has historically relied heavily on imports from India. The social entry point is equally important: much of the actual farming is being managed by women because men have migrated for work, and many farmers are already organized through cooperatives. This combination makes Nepal unusually favorable for this kind of model.</w:t>
      </w:r>
    </w:p>
    <w:p w14:paraId="7E72BB92" w14:textId="7C654111" w:rsidR="003A4FB6" w:rsidRDefault="00EC07B6" w:rsidP="006A61A1">
      <w:r>
        <w:t xml:space="preserve">The project’s innovation package includes improved maize seed, particularly hybrids and locally adapted varieties; soil fertility practices, including 4R nutrient stewardship, targeted urea, composts, green manures, nitrogen-fixing crops, biochar, and enriched organic amendments; irrigation scheduling and improved on-farm water management; </w:t>
      </w:r>
      <w:r w:rsidRPr="00E358C9">
        <w:rPr>
          <w:u w:val="single"/>
        </w:rPr>
        <w:t>mechanization</w:t>
      </w:r>
      <w:r>
        <w:t xml:space="preserve"> through seed drills, planters, and related services; and </w:t>
      </w:r>
      <w:r w:rsidRPr="00E358C9">
        <w:rPr>
          <w:u w:val="single"/>
        </w:rPr>
        <w:t>multi-stakeholder platforms</w:t>
      </w:r>
      <w:r>
        <w:t xml:space="preserve"> intended to coordinate demand, supply, market intelligence, investment planning, and public-private-community collaboration. The project also includes lead farmer training, local college and institutional engagement, digital advisories, public-sector extension linkages, production planning through cooperatives, input roadmaps, and output-market linkages with buyers.</w:t>
      </w:r>
      <w:r w:rsidR="00F64D29">
        <w:t xml:space="preserve"> </w:t>
      </w:r>
      <w:r w:rsidR="00F64D29" w:rsidRPr="00F64D29">
        <w:rPr>
          <w:u w:val="single"/>
        </w:rPr>
        <w:t xml:space="preserve">As discussed below, </w:t>
      </w:r>
      <w:proofErr w:type="gramStart"/>
      <w:r w:rsidR="00F64D29" w:rsidRPr="00F64D29">
        <w:rPr>
          <w:u w:val="single"/>
        </w:rPr>
        <w:t>not</w:t>
      </w:r>
      <w:proofErr w:type="gramEnd"/>
      <w:r w:rsidR="00F64D29" w:rsidRPr="00F64D29">
        <w:rPr>
          <w:u w:val="single"/>
        </w:rPr>
        <w:t xml:space="preserve"> elements of the package are being adopted by all farmers.</w:t>
      </w:r>
    </w:p>
    <w:p w14:paraId="1292DB55" w14:textId="6388E454" w:rsidR="003A4FB6" w:rsidRDefault="00EC07B6" w:rsidP="006A61A1">
      <w:r>
        <w:t>The most important analytical point is that the innovation</w:t>
      </w:r>
      <w:r w:rsidR="00F64D29">
        <w:t xml:space="preserve"> bundle</w:t>
      </w:r>
      <w:r>
        <w:t xml:space="preserve"> is not spring maize alone </w:t>
      </w:r>
      <w:r w:rsidRPr="00686215">
        <w:t>and is not the full list of bundled technologies</w:t>
      </w:r>
      <w:r>
        <w:t xml:space="preserve">. </w:t>
      </w:r>
      <w:r w:rsidRPr="00686215">
        <w:t xml:space="preserve">It is the commercialization system </w:t>
      </w:r>
      <w:r w:rsidR="00686215">
        <w:t xml:space="preserve">– </w:t>
      </w:r>
      <w:r w:rsidR="00686215" w:rsidRPr="00686215">
        <w:rPr>
          <w:b/>
          <w:bCs/>
        </w:rPr>
        <w:t xml:space="preserve">the innovation package - </w:t>
      </w:r>
      <w:r w:rsidRPr="00686215">
        <w:rPr>
          <w:b/>
          <w:bCs/>
        </w:rPr>
        <w:t>that makes spring maize profitable and reliable</w:t>
      </w:r>
      <w:r w:rsidR="00686215">
        <w:t>, even if farmers do not adopt the full innovation bundle itself</w:t>
      </w:r>
      <w:r>
        <w:t>. Spring maize is the anchor crop. The supporting components exist because spring maize will not scale sustainably if farmers cannot obtain seed on time, cannot plant efficiently, cannot access irrigation advice or water, cannot aggregate output, cannot meet buyer requirements, cannot secure acceptable prices, and cannot rely on cooperatives and buyers to create market confidence. This is the kind of innovation-plus-system that CGIAR should support when it talks about scaling solutions.</w:t>
      </w:r>
    </w:p>
    <w:p w14:paraId="26F51922" w14:textId="5BF31C5E" w:rsidR="003A4FB6" w:rsidRDefault="00EC07B6" w:rsidP="006A61A1">
      <w:r>
        <w:t xml:space="preserve">However, the breadth of the package also creates a management and replication risk. A package that includes every possible agronomic, market, institutional, and inclusion component may perform well under high project facilitation but may be difficult for other actors to replicate. </w:t>
      </w:r>
      <w:r w:rsidRPr="00B34162">
        <w:rPr>
          <w:u w:val="single"/>
        </w:rPr>
        <w:t>The project should therefore distinguish between the minimum viable commercialization system</w:t>
      </w:r>
      <w:r w:rsidR="00B34162" w:rsidRPr="00B34162">
        <w:rPr>
          <w:u w:val="single"/>
        </w:rPr>
        <w:t xml:space="preserve"> and</w:t>
      </w:r>
      <w:r w:rsidRPr="00B34162">
        <w:rPr>
          <w:u w:val="single"/>
        </w:rPr>
        <w:t xml:space="preserve"> </w:t>
      </w:r>
      <w:r w:rsidRPr="00B34162">
        <w:rPr>
          <w:u w:val="single"/>
        </w:rPr>
        <w:t>desirable add-ons</w:t>
      </w:r>
      <w:r w:rsidR="00B34162" w:rsidRPr="00B34162">
        <w:rPr>
          <w:u w:val="single"/>
        </w:rPr>
        <w:t xml:space="preserve"> that would lead to full adoption and further increases in profitability, i.e. scaling deep</w:t>
      </w:r>
      <w:r>
        <w:t xml:space="preserve">. The minimum system likely includes spring maize, reliable hybrid seed, timely planting, water access or irrigation scheduling, cooperative aggregation, quality management, drying or postharvest handling where necessary, and a buyer relationship. Other components, including composting, green manure, </w:t>
      </w:r>
      <w:r w:rsidR="00B34162">
        <w:t xml:space="preserve">mechanization, </w:t>
      </w:r>
      <w:r>
        <w:t>digital advisories, and broader crop diversification, may be valuable but should be treated as context-specific deepening components rather than universal requirements.</w:t>
      </w:r>
    </w:p>
    <w:p w14:paraId="23D1EB3F" w14:textId="77777777" w:rsidR="003A4FB6" w:rsidRDefault="00EC07B6" w:rsidP="006A61A1">
      <w:r>
        <w:lastRenderedPageBreak/>
        <w:t xml:space="preserve">This distinction matters because the next phase is not mainly about proving that spring maize can work. It is about identifying how far the system has already become self-propelling, where it still depends on CIMMYT and IWMI, and which functions should be transferred to cooperatives, buyers, agro-dealers, machinery-service providers, irrigation institutions, or local governments. The project has enough momentum that the central question is no longer only “can farmers adopt?” </w:t>
      </w:r>
      <w:r w:rsidRPr="000149E6">
        <w:rPr>
          <w:u w:val="single"/>
        </w:rPr>
        <w:t>It is “who now drives the next wave of adoption and who deepens the quality and equity of adoption in places where the model has already taken hold?”</w:t>
      </w:r>
    </w:p>
    <w:p w14:paraId="473A84B6" w14:textId="77777777" w:rsidR="003A4FB6" w:rsidRDefault="00EC07B6" w:rsidP="006A61A1">
      <w:pPr>
        <w:pStyle w:val="Heading1"/>
      </w:pPr>
      <w:r>
        <w:t>Implementation experience and evidence of impact</w:t>
      </w:r>
    </w:p>
    <w:p w14:paraId="2B021621" w14:textId="77777777" w:rsidR="003A4FB6" w:rsidRDefault="00EC07B6" w:rsidP="006A61A1">
      <w:r>
        <w:t>The reported evidence base is encouraging and, by CGIAR standards, unusually strong. The materials report that the Maize Commercial Model has generated 20 to 40 percent yield increases in rice, legumes, and vegetables and roughly 100 percent yield increases in maize. Mechanized planting reportedly reduced sowing costs from approximately US$53 to US$26 per hectare. Around 70 percent of farmers in the target areas were using hybrid seed and 87 percent were practicing line planting. Best management practices r</w:t>
      </w:r>
      <w:r>
        <w:t>eportedly reduced production costs by around 15 percent. From 2021 to 2025, spring maize area in western Terai reportedly increased by 700 percent, reaching more than 2,000 hectares. Cooperative maize sales reached approximately US$3.3 million annually, an 850 percent increase since 2021, and average farmgate prices increased from Rs 21 to Rs 38, an increase of roughly 81 percent.</w:t>
      </w:r>
    </w:p>
    <w:p w14:paraId="0A17CBEE" w14:textId="2C819028" w:rsidR="003A4FB6" w:rsidRDefault="00EC07B6" w:rsidP="006A61A1">
      <w:r>
        <w:t>These figures should not be treated casually. They are not merely activity indicators. They suggest that farmers, cooperatives, input suppliers, and buyers are already responding to a real opportunity. They combine production, adoption, price, cost, and market evidence in a way that is much stronger than projects that report only numbers trained, hectares demonstrated, or partners convened.</w:t>
      </w:r>
    </w:p>
    <w:p w14:paraId="4DF71811" w14:textId="742583FB" w:rsidR="003A4FB6" w:rsidRDefault="00EC07B6" w:rsidP="006A61A1">
      <w:r>
        <w:t xml:space="preserve">The agronomic value proposition is relatively straightforward. Spring maize creates an additional crop cycle on land that might otherwise remain fallow. </w:t>
      </w:r>
      <w:r w:rsidRPr="00A605B9">
        <w:rPr>
          <w:u w:val="single"/>
        </w:rPr>
        <w:t xml:space="preserve">This is </w:t>
      </w:r>
      <w:r w:rsidR="00A605B9">
        <w:rPr>
          <w:u w:val="single"/>
        </w:rPr>
        <w:t xml:space="preserve">a much </w:t>
      </w:r>
      <w:r w:rsidRPr="00A605B9">
        <w:rPr>
          <w:u w:val="single"/>
        </w:rPr>
        <w:t xml:space="preserve">stronger </w:t>
      </w:r>
      <w:r w:rsidR="00A605B9">
        <w:rPr>
          <w:u w:val="single"/>
        </w:rPr>
        <w:t xml:space="preserve">value proposition </w:t>
      </w:r>
      <w:r w:rsidRPr="00A605B9">
        <w:rPr>
          <w:u w:val="single"/>
        </w:rPr>
        <w:t>than asking farmers to replace an existing crop or adopt a practice that only slightly improves a current enterprise</w:t>
      </w:r>
      <w:r w:rsidR="00A605B9">
        <w:t>, and with no disrespect to the project probably explains a lot of the success in scaling</w:t>
      </w:r>
      <w:r>
        <w:t xml:space="preserve">. Where irrigation, seed, labor, and markets are available, spring maize can convert idle land into income. </w:t>
      </w:r>
      <w:r w:rsidR="00A41552">
        <w:t xml:space="preserve">Other parts of bundle – mechanization, hybrid seed and line </w:t>
      </w:r>
      <w:proofErr w:type="gramStart"/>
      <w:r w:rsidR="00A41552">
        <w:t>planting,  and</w:t>
      </w:r>
      <w:proofErr w:type="gramEnd"/>
      <w:r w:rsidR="00A41552">
        <w:t xml:space="preserve"> cooperative aggregation</w:t>
      </w:r>
      <w:r>
        <w:t xml:space="preserve"> </w:t>
      </w:r>
      <w:r w:rsidR="00A41552">
        <w:t>-- can all add additional value</w:t>
      </w:r>
      <w:r>
        <w:t>. The model therefore has multiple reinforcing sources of farmer value rather than a single yield argument.</w:t>
      </w:r>
    </w:p>
    <w:p w14:paraId="1B631D45" w14:textId="09DBBF92" w:rsidR="003A4FB6" w:rsidRDefault="00EC07B6" w:rsidP="006A61A1">
      <w:r>
        <w:t xml:space="preserve">The farmer value proposition, however, is not uniform. It is much stronger for farmers with secure access to land, reliable irrigation, cooperative membership, cash to purchase seed and inputs, and access to mechanized planting or timely labor. It is weaker for tenants, landless households, farmers with small or fragmented plots, households without irrigation, and farmers in cooperatives that cannot aggregate effectively. </w:t>
      </w:r>
      <w:r w:rsidR="00561080">
        <w:t xml:space="preserve"> </w:t>
      </w:r>
      <w:proofErr w:type="gramStart"/>
      <w:r w:rsidR="00561080" w:rsidRPr="00561080">
        <w:rPr>
          <w:u w:val="single"/>
        </w:rPr>
        <w:t>Thus</w:t>
      </w:r>
      <w:proofErr w:type="gramEnd"/>
      <w:r w:rsidR="00561080" w:rsidRPr="00561080">
        <w:rPr>
          <w:u w:val="single"/>
        </w:rPr>
        <w:t xml:space="preserve"> social inclusion is an outstanding challenge: </w:t>
      </w:r>
      <w:r w:rsidR="00561080">
        <w:t>s</w:t>
      </w:r>
      <w:r>
        <w:t xml:space="preserve">pring maize commercialization can increase average income while widening differences between those with land, water, cooperative access, and machinery services and those without them. That does not mean the model is undesirable. It means </w:t>
      </w:r>
      <w:r w:rsidRPr="00561080">
        <w:rPr>
          <w:u w:val="single"/>
        </w:rPr>
        <w:t xml:space="preserve">the project should explicitly identify who is not positioned to benefit and what alternative </w:t>
      </w:r>
      <w:r w:rsidR="00561080">
        <w:rPr>
          <w:u w:val="single"/>
        </w:rPr>
        <w:t xml:space="preserve">actions, </w:t>
      </w:r>
      <w:r w:rsidRPr="00561080">
        <w:rPr>
          <w:u w:val="single"/>
        </w:rPr>
        <w:t>roles or safeguards are needed</w:t>
      </w:r>
      <w:r w:rsidR="00561080">
        <w:rPr>
          <w:u w:val="single"/>
        </w:rPr>
        <w:t xml:space="preserve"> to increase inclusion</w:t>
      </w:r>
      <w:r>
        <w:t>.</w:t>
      </w:r>
    </w:p>
    <w:p w14:paraId="4466926B" w14:textId="71E24BE3" w:rsidR="003A4FB6" w:rsidRDefault="00EC07B6" w:rsidP="006A61A1">
      <w:r>
        <w:lastRenderedPageBreak/>
        <w:t xml:space="preserve">The value proposition for cooperatives is also unusually important. </w:t>
      </w:r>
      <w:r w:rsidRPr="00781225">
        <w:t>Nepal’s cooperative density is a major reason the model may be stronger than comparable efforts elsewhere</w:t>
      </w:r>
      <w:r w:rsidR="00561080" w:rsidRPr="00781225">
        <w:t xml:space="preserve"> (and another likely important driver of rapid scaling)</w:t>
      </w:r>
      <w:r w:rsidRPr="00781225">
        <w:t>.</w:t>
      </w:r>
      <w:r>
        <w:t xml:space="preserve"> Cooperatives can aggregate demand for seed and fertilizer, organize production plans, coordinate training, aggregate output, negotiate with feed mills and processors, and potentially finance some coordination functions through margins or commissions. This is a major asset, and it helps explain </w:t>
      </w:r>
      <w:r w:rsidRPr="00781225">
        <w:t>why MCM may be less easily replicated in countries where farmers are not already organized at this scale</w:t>
      </w:r>
      <w:r>
        <w:t>. But cooperatives are not neutral platforms. They are political and economic institutions. Decisions about investing in planters, irrigation, aggregation infrastructure, drying facilities, or staff capacity may benefit some members more than others. Members without land, irrigation, or willingness to grow maize may question why cooperative resources are being used for a spring maize strategy.</w:t>
      </w:r>
    </w:p>
    <w:p w14:paraId="2E0BEF1C" w14:textId="0F875FBB" w:rsidR="003A4FB6" w:rsidRDefault="00EC07B6" w:rsidP="006A61A1">
      <w:r>
        <w:t xml:space="preserve">For private actors, the business logic is clearer than in many S4I cases. Seed companies can sell more seed. Agro-dealers can sell more inputs. Machinery service providers can earn revenue from planting, shelling, transport, or harvesting. Feed mills and processors can secure more local supply and reduce dependence on imports. Buyers can work through cooperatives to reduce transaction costs. These are real incentives. </w:t>
      </w:r>
      <w:r w:rsidR="003F2452">
        <w:t xml:space="preserve">It poses an uncommon opportunity: </w:t>
      </w:r>
      <w:r w:rsidRPr="003F2452">
        <w:rPr>
          <w:u w:val="single"/>
        </w:rPr>
        <w:t>whether those business cases are already strong enough in original districts to allow private actors to drive the next wave of scaling</w:t>
      </w:r>
      <w:r>
        <w:t>, and whether the economics remain strong in expansion districts with weaker cooperatives, poorer irrigation, or less market proximity.</w:t>
      </w:r>
    </w:p>
    <w:p w14:paraId="1AE0CFA7" w14:textId="534A40B0" w:rsidR="003A4FB6" w:rsidRDefault="00EC07B6" w:rsidP="006A61A1">
      <w:r w:rsidRPr="003F2452">
        <w:rPr>
          <w:u w:val="single"/>
        </w:rPr>
        <w:t>The evidence of impact should now evolve from adoption evidence to scaling dynamics evidence</w:t>
      </w:r>
      <w:r>
        <w:t>. The project should measure not only how many farmers adopt, but how adoption spreads</w:t>
      </w:r>
      <w:r w:rsidR="003F2452">
        <w:t xml:space="preserve"> </w:t>
      </w:r>
      <w:r w:rsidR="0053268C">
        <w:t xml:space="preserve">by existing farmers (i.e. more of their land), </w:t>
      </w:r>
      <w:r w:rsidR="003F2452">
        <w:t>within cooperatives and to new farmers</w:t>
      </w:r>
      <w:r>
        <w:t xml:space="preserve">. Are new farmers joining because project staff recruit them, because neighbors imitate, because cooperatives expand production plans, because buyers request volume, because agro-dealers market seed, or because local governments promote spring maize? Are farmers increasing the share of their fallow land under maize? Are adopters moving from partial to higher-fidelity adoption? </w:t>
      </w:r>
      <w:r>
        <w:t>Are private actors investing ahead of demand or only responding to project-supported events? These are the questions that distinguish ordinary expansion from self-propelling scale.</w:t>
      </w:r>
    </w:p>
    <w:p w14:paraId="3D8B0246" w14:textId="77777777" w:rsidR="003A4FB6" w:rsidRDefault="00EC07B6" w:rsidP="006A61A1">
      <w:pPr>
        <w:pStyle w:val="Heading1"/>
      </w:pPr>
      <w:r>
        <w:t>Scaling ambition</w:t>
      </w:r>
    </w:p>
    <w:p w14:paraId="18E311A5" w14:textId="77777777" w:rsidR="003A4FB6" w:rsidRDefault="00EC07B6" w:rsidP="006A61A1">
      <w:r>
        <w:t>The stated ambition is large and multi-layered. The longer-term targets include reaching approximately 237,500 households, or 1.2 million people, across 257,730 hectares in eleven districts of Koshi, Lumbini, and Sudurpaschim; benefiting 800,000 consumers; adding value to 10,000 jobs in the ag-input sector; expanding irrigation facilities across 10,000 hectares; and leveraging around US$30 million in public, private, and donor funding. The 2026 targets include 39,300 rice households and 19,000 maize househo</w:t>
      </w:r>
      <w:r>
        <w:t>lds, 49,000 individuals, 2,000 hectares of expanded irrigated area, 50,000 hectares under improved seed, fertilizer, and irrigation, 200,000 consumers benefited, 100,000 consumers for value-added foods, 3,000 jobs, and US$10 million in leveraged investment.</w:t>
      </w:r>
    </w:p>
    <w:p w14:paraId="5A28B517" w14:textId="7856181D" w:rsidR="003A4FB6" w:rsidRDefault="00EC07B6" w:rsidP="006A61A1">
      <w:r>
        <w:t xml:space="preserve">These </w:t>
      </w:r>
      <w:r w:rsidR="006F3C76">
        <w:t xml:space="preserve">detailed </w:t>
      </w:r>
      <w:r>
        <w:t xml:space="preserve">targets </w:t>
      </w:r>
      <w:r w:rsidR="006F3C76">
        <w:t xml:space="preserve">were presented above for a reason; they </w:t>
      </w:r>
      <w:r>
        <w:t xml:space="preserve">should be simplified into a more analytically meaningful ambition. </w:t>
      </w:r>
      <w:r w:rsidRPr="006F35C0">
        <w:rPr>
          <w:u w:val="single"/>
        </w:rPr>
        <w:t>The primary ambition should be to expand and deepen a cooperative-</w:t>
      </w:r>
      <w:r w:rsidRPr="006F35C0">
        <w:rPr>
          <w:u w:val="single"/>
        </w:rPr>
        <w:lastRenderedPageBreak/>
        <w:t xml:space="preserve">buyer anchored spring maize commercialization system in suitable Terai rice-fallow areas, while transferring scaling-out functions to local actors and deepening </w:t>
      </w:r>
      <w:r w:rsidR="006F35C0" w:rsidRPr="006F35C0">
        <w:rPr>
          <w:u w:val="single"/>
        </w:rPr>
        <w:t xml:space="preserve">adoption, </w:t>
      </w:r>
      <w:r w:rsidRPr="006F35C0">
        <w:rPr>
          <w:u w:val="single"/>
        </w:rPr>
        <w:t>quality, equity, and sustainability in the original districts</w:t>
      </w:r>
      <w:r>
        <w:t xml:space="preserve">. This phrasing matters. It avoids treating all bundle components as equally central. It also reflects the reality that the western districts may already be moving toward critical mass while eastern expansion requires a different actor strategy. </w:t>
      </w:r>
      <w:r w:rsidRPr="001041D2">
        <w:rPr>
          <w:u w:val="single"/>
        </w:rPr>
        <w:t>Scaling out and scaling deep should become the organizing distinction</w:t>
      </w:r>
      <w:r>
        <w:t>.</w:t>
      </w:r>
    </w:p>
    <w:p w14:paraId="66B81E80" w14:textId="39DEC2E2" w:rsidR="003A4FB6" w:rsidRDefault="00EC07B6" w:rsidP="006A61A1">
      <w:r>
        <w:t>Scaling out should mean expansion to new cooperatives, municipalities, districts, and provinces through actors other than CIMMYT as the main driver. In a strong scaling-out scenario, cooperatives request support because neighboring cooperatives have profited; buyers seek new supply areas; agro-dealers stock inputs because demand is visible; machinery providers purchase or reposition equipment because service demand is profitable; local governments allocate resources because spring maize supports income, imp</w:t>
      </w:r>
      <w:r>
        <w:t>ort substitution, and employment; and CIMMYT provides technical backstopping rather than direct facilitation. The project should test whether this is already happening and, if not, what is preventing it</w:t>
      </w:r>
      <w:r w:rsidR="001041D2">
        <w:t xml:space="preserve"> and what the project can do to facilitate it</w:t>
      </w:r>
      <w:r>
        <w:t>.</w:t>
      </w:r>
    </w:p>
    <w:p w14:paraId="40770AF6" w14:textId="232005FD" w:rsidR="003A4FB6" w:rsidRDefault="00EC07B6" w:rsidP="006A61A1">
      <w:r>
        <w:t>Scaling deep should mean improving the depth</w:t>
      </w:r>
      <w:r w:rsidR="002A0D52">
        <w:t xml:space="preserve"> (full innovation bundle)</w:t>
      </w:r>
      <w:r>
        <w:t>, quality</w:t>
      </w:r>
      <w:r w:rsidR="002A0D52">
        <w:t xml:space="preserve"> and fidelity</w:t>
      </w:r>
      <w:r>
        <w:t>, equity, and institutionalization of adoption in original and early expansion areas. It includes increasing the proportion of cooperative members adopting spring maize, increasing the share of suitable fallow land planted by existing adopters, improving fidelity to the core package, strengthening irrigation reliability, adding appropriate mechanization, improving postharvest quality, increasing cooperative margins, strengthening women’s control over income, and ensuring the model works for poorer or water-</w:t>
      </w:r>
      <w:r>
        <w:t>constrained farmers where feasible. Scaling deep is not secondary. In this case, it may be the most important next role for CGIAR if the original districts are already approaching self-propelling expansion.</w:t>
      </w:r>
      <w:r w:rsidR="000066D9">
        <w:t xml:space="preserve"> </w:t>
      </w:r>
      <w:r w:rsidR="000066D9" w:rsidRPr="000066D9">
        <w:rPr>
          <w:u w:val="single"/>
        </w:rPr>
        <w:t>The fact that we are recommending scaling deep is a testament to the success and scale of the initial adoption efforts</w:t>
      </w:r>
      <w:r w:rsidR="000066D9">
        <w:t>.</w:t>
      </w:r>
    </w:p>
    <w:p w14:paraId="31EC5FE0" w14:textId="77777777" w:rsidR="003A4FB6" w:rsidRDefault="00EC07B6" w:rsidP="006A61A1">
      <w:r>
        <w:t>A credible scaling ambition should therefore have two tracks. The first track is actor-driven scaling out: how many new areas can be reached by cooperatives, buyers, input suppliers, local governments, and farmer-to-farmer diffusion with declining CGIAR facilitation? The second is CGIAR-supported scaling deep: how can the model be improved where adoption already exists so that impact, inclusion, and sustainability are not diluted? This is more useful than treating success as the largest possible number of h</w:t>
      </w:r>
      <w:r>
        <w:t>ectares or households.</w:t>
      </w:r>
    </w:p>
    <w:p w14:paraId="5426EC6A" w14:textId="77777777" w:rsidR="003A4FB6" w:rsidRDefault="00EC07B6" w:rsidP="006A61A1">
      <w:pPr>
        <w:pStyle w:val="Heading1"/>
      </w:pPr>
      <w:r>
        <w:t>Key stakeholders and roles</w:t>
      </w:r>
    </w:p>
    <w:p w14:paraId="744888C1" w14:textId="2AE92EFC" w:rsidR="003A4FB6" w:rsidRDefault="00EC07B6" w:rsidP="006A61A1">
      <w:r>
        <w:t xml:space="preserve">CIMMYT remains the lead technical and market-system actor. Its role has been central in developing the Maize Commercial Model, linking cooperatives to buyers, supporting agronomy, facilitating partnerships, and generating evidence. </w:t>
      </w:r>
      <w:r>
        <w:t xml:space="preserve">Their combined role has been highly valuable, but the very strength of that role creates the donor-exit question. If CIMMYT </w:t>
      </w:r>
      <w:r w:rsidR="002450A1">
        <w:t>is</w:t>
      </w:r>
      <w:r>
        <w:t xml:space="preserve"> the glue that holds the system together, then the model has not yet fully scaled. If cooperatives, buyers, agro-dealers, machinery providers, local governments, and irrigation institutions begin performing those functions themselves, then the model is moving toward genuine scale.</w:t>
      </w:r>
    </w:p>
    <w:p w14:paraId="70960D19" w14:textId="4E9CDFA5" w:rsidR="00A65D8E" w:rsidRDefault="00A65D8E" w:rsidP="006A61A1">
      <w:r w:rsidRPr="00A65D8E">
        <w:rPr>
          <w:sz w:val="24"/>
          <w:u w:val="single"/>
        </w:rPr>
        <w:lastRenderedPageBreak/>
        <w:t>IWMI</w:t>
      </w:r>
      <w:r w:rsidRPr="00A65D8E">
        <w:rPr>
          <w:u w:val="single"/>
        </w:rPr>
        <w:t>’s</w:t>
      </w:r>
      <w:r w:rsidRPr="00A65D8E">
        <w:rPr>
          <w:sz w:val="24"/>
          <w:u w:val="single"/>
        </w:rPr>
        <w:t xml:space="preserve"> </w:t>
      </w:r>
      <w:r w:rsidRPr="00A65D8E">
        <w:rPr>
          <w:u w:val="single"/>
        </w:rPr>
        <w:t xml:space="preserve">role and </w:t>
      </w:r>
      <w:r w:rsidRPr="00A65D8E">
        <w:rPr>
          <w:u w:val="single"/>
        </w:rPr>
        <w:t>value-added</w:t>
      </w:r>
      <w:r w:rsidRPr="00A65D8E">
        <w:rPr>
          <w:u w:val="single"/>
        </w:rPr>
        <w:t xml:space="preserve"> contribution is in fact questionable and </w:t>
      </w:r>
      <w:r w:rsidRPr="002450A1">
        <w:rPr>
          <w:b/>
          <w:bCs/>
          <w:u w:val="single"/>
        </w:rPr>
        <w:t>led us to wonder why it was given funding at all</w:t>
      </w:r>
      <w:r>
        <w:t xml:space="preserve">; it is not clear </w:t>
      </w:r>
      <w:r>
        <w:t>what essential</w:t>
      </w:r>
      <w:r>
        <w:rPr>
          <w:sz w:val="24"/>
        </w:rPr>
        <w:t xml:space="preserve"> water-management and irrigation capabilities</w:t>
      </w:r>
      <w:r>
        <w:t xml:space="preserve"> it has contributed.  </w:t>
      </w:r>
      <w:r w:rsidR="00545DEB">
        <w:t xml:space="preserve">IWMI seems to play no role in supporting cooperatives and farmers at the micro or </w:t>
      </w:r>
      <w:proofErr w:type="spellStart"/>
      <w:r w:rsidR="00545DEB">
        <w:t>meso</w:t>
      </w:r>
      <w:proofErr w:type="spellEnd"/>
      <w:r w:rsidR="00545DEB">
        <w:t xml:space="preserve"> level. </w:t>
      </w:r>
      <w:r w:rsidR="00545DEB">
        <w:t xml:space="preserve"> </w:t>
      </w:r>
      <w:r>
        <w:t xml:space="preserve">Large scale government irrigation investment seems to be occurring without IWMI advocacy </w:t>
      </w:r>
      <w:r>
        <w:t>(</w:t>
      </w:r>
      <w:r>
        <w:t>but perhaps there is a policy advisory role that did not surface during the field visit</w:t>
      </w:r>
      <w:r>
        <w:t>)</w:t>
      </w:r>
      <w:r>
        <w:rPr>
          <w:sz w:val="24"/>
        </w:rPr>
        <w:t xml:space="preserve">. </w:t>
      </w:r>
      <w:r>
        <w:t xml:space="preserve"> What was clear was that IWMI is not contributing to expanding water and irrigation access to farmers without wells, boreholes, or access to large scale irrigation canals.</w:t>
      </w:r>
      <w:r w:rsidR="00682F2F">
        <w:t xml:space="preserve">  </w:t>
      </w:r>
      <w:r w:rsidR="00682F2F" w:rsidRPr="00682F2F">
        <w:rPr>
          <w:u w:val="single"/>
        </w:rPr>
        <w:t xml:space="preserve">There is </w:t>
      </w:r>
      <w:proofErr w:type="gramStart"/>
      <w:r w:rsidR="00682F2F" w:rsidRPr="00682F2F">
        <w:rPr>
          <w:u w:val="single"/>
        </w:rPr>
        <w:t>prima facie</w:t>
      </w:r>
      <w:proofErr w:type="gramEnd"/>
      <w:r w:rsidR="00682F2F" w:rsidRPr="00682F2F">
        <w:rPr>
          <w:u w:val="single"/>
        </w:rPr>
        <w:t xml:space="preserve"> a strong case for allocating ALL funding in the next grant to </w:t>
      </w:r>
      <w:proofErr w:type="gramStart"/>
      <w:r w:rsidR="00682F2F" w:rsidRPr="00682F2F">
        <w:rPr>
          <w:u w:val="single"/>
        </w:rPr>
        <w:t>CIMMYT</w:t>
      </w:r>
      <w:proofErr w:type="gramEnd"/>
      <w:r w:rsidR="00682F2F" w:rsidRPr="00682F2F">
        <w:rPr>
          <w:u w:val="single"/>
        </w:rPr>
        <w:t xml:space="preserve"> given the scaling success to date</w:t>
      </w:r>
      <w:r w:rsidR="00682F2F">
        <w:t>.</w:t>
      </w:r>
    </w:p>
    <w:p w14:paraId="1DB343AF" w14:textId="17E0059B" w:rsidR="003A4FB6" w:rsidRDefault="00EC07B6" w:rsidP="006A61A1">
      <w:r>
        <w:t>Farmers are the primary adopters, but they are not a homogeneous category. The actual farmer in many Terai households is a woman managing production because male household members have migrated. This is not a peripheral gender issue; it is central to the model. Labor-saving mechanization, reliable markets, and cooperative aggregation may be especially valuable where women manage farms with limited labor. But as spring maize becomes more profitable, men may re-enter decision-making around sales and income</w:t>
      </w:r>
      <w:r w:rsidR="00020B16">
        <w:t xml:space="preserve">; there is evidence that migration levels </w:t>
      </w:r>
      <w:proofErr w:type="gramStart"/>
      <w:r w:rsidR="00020B16">
        <w:t>has</w:t>
      </w:r>
      <w:proofErr w:type="gramEnd"/>
      <w:r w:rsidR="00020B16">
        <w:t xml:space="preserve"> slowed as more agricultural opportunities have opened up. </w:t>
      </w:r>
      <w:r w:rsidRPr="00961C96">
        <w:rPr>
          <w:u w:val="single"/>
        </w:rPr>
        <w:t xml:space="preserve">The project should therefore </w:t>
      </w:r>
      <w:r w:rsidR="00961C96" w:rsidRPr="00961C96">
        <w:rPr>
          <w:u w:val="single"/>
        </w:rPr>
        <w:t xml:space="preserve">add a GESI component to </w:t>
      </w:r>
      <w:r w:rsidRPr="00961C96">
        <w:rPr>
          <w:u w:val="single"/>
        </w:rPr>
        <w:t>measure control over decisions and income, not only women’s participation</w:t>
      </w:r>
      <w:r w:rsidR="00961C96" w:rsidRPr="00961C96">
        <w:rPr>
          <w:u w:val="single"/>
        </w:rPr>
        <w:t>, and address any problems identified</w:t>
      </w:r>
      <w:r w:rsidR="00961C96">
        <w:t>.</w:t>
      </w:r>
    </w:p>
    <w:p w14:paraId="013855E3" w14:textId="3542FDCA" w:rsidR="003A4FB6" w:rsidRDefault="00EC07B6" w:rsidP="006A61A1">
      <w:r>
        <w:t xml:space="preserve">Cooperatives are the most important local institutional actors and the feature that makes Nepal distinctive. They are not simply project partners. They are potential scaling platforms. Their value proposition is member service, turnover, commissions or margins, buyer relationships, and institutional relevance. Their risks are governance, uneven member benefits, working capital, management quality, and </w:t>
      </w:r>
      <w:r w:rsidR="00B87A87">
        <w:t xml:space="preserve">the apparent fact </w:t>
      </w:r>
      <w:r w:rsidR="00B87A87" w:rsidRPr="001376B5">
        <w:rPr>
          <w:u w:val="single"/>
        </w:rPr>
        <w:t>that many see their primary role as suppliers of credit to members</w:t>
      </w:r>
      <w:r w:rsidRPr="001376B5">
        <w:rPr>
          <w:u w:val="single"/>
        </w:rPr>
        <w:t xml:space="preserve">. </w:t>
      </w:r>
      <w:r w:rsidR="001376B5" w:rsidRPr="001376B5">
        <w:rPr>
          <w:u w:val="single"/>
        </w:rPr>
        <w:t xml:space="preserve"> This latter role undermines incentives to scale maize among members, especially when not all members or even most members benefit because not all can plant maize under current conditions of irrigation and land ownership.</w:t>
      </w:r>
      <w:r w:rsidR="001376B5">
        <w:t xml:space="preserve"> </w:t>
      </w:r>
      <w:r>
        <w:t xml:space="preserve">Cooperatives can drive scaling out if they see spring maize as a profitable cooperative business line. They can drive scaling deep if they support increased adoption within their membership, improve quality control, and invest in shared services. </w:t>
      </w:r>
      <w:r w:rsidRPr="001376B5">
        <w:rPr>
          <w:u w:val="single"/>
        </w:rPr>
        <w:t>But they can also become bottlenecks if machinery, irrigation, or buyer relationships benefit only a subset of members</w:t>
      </w:r>
      <w:r>
        <w:t>.</w:t>
      </w:r>
    </w:p>
    <w:p w14:paraId="6943999D" w14:textId="237549B9" w:rsidR="003A4FB6" w:rsidRDefault="00EC07B6" w:rsidP="006A61A1">
      <w:r>
        <w:t>Buyers, especially feed mills and processors, provide the strongest market pull. Their incentives are local supply, reduced import dependence, predictable volume, quality, and lower procurement costs. Their continued engagement is one of the best indicators that the model is commercially real. A buyer that returns year after year, signs volume commitments, accepts cooperative aggregation, or invests in quality improvement is more important than a buyer that attends an MSP</w:t>
      </w:r>
      <w:r w:rsidR="00763F8A">
        <w:t xml:space="preserve">.  </w:t>
      </w:r>
      <w:r>
        <w:t>The project should treat repeat buyer behavior as a core scaling indicator.</w:t>
      </w:r>
    </w:p>
    <w:p w14:paraId="6169060F" w14:textId="3F871D69" w:rsidR="003A4FB6" w:rsidRDefault="00763F8A" w:rsidP="006A61A1">
      <w:r>
        <w:t>Thes actors in the value chain</w:t>
      </w:r>
      <w:r w:rsidR="00EC07B6">
        <w:t xml:space="preserve"> are </w:t>
      </w:r>
      <w:r>
        <w:t xml:space="preserve">collectively </w:t>
      </w:r>
      <w:r w:rsidR="00EC07B6">
        <w:t xml:space="preserve">the service ecosystem. They determine whether expansion areas can receive the inputs and services needed for adoption. The project’s earlier recommendations about actor business cases should remain, but with a more case-specific emphasis: the question is not generic viability; it is whether these actors are already behaving as if spring maize demand is reliable enough to justify private investment. </w:t>
      </w:r>
      <w:r>
        <w:rPr>
          <w:u w:val="single"/>
        </w:rPr>
        <w:t>A potentially positive early indicator</w:t>
      </w:r>
      <w:r w:rsidRPr="008D3878">
        <w:rPr>
          <w:u w:val="single"/>
        </w:rPr>
        <w:t>, the exponential growth of local maize production has led some mills and processors to consider moving downstream into value added activities, an incredibly positive sign of spontaneous scaling deep</w:t>
      </w:r>
      <w:r>
        <w:t xml:space="preserve">. </w:t>
      </w:r>
      <w:r w:rsidR="00EC07B6">
        <w:t>Stocking decisions, service-</w:t>
      </w:r>
      <w:r w:rsidR="00EC07B6">
        <w:lastRenderedPageBreak/>
        <w:t>provider purchases, equipment utilization, repair capacity, and repeat sales are better evidence than stated interest</w:t>
      </w:r>
      <w:r w:rsidR="00283CE9">
        <w:t xml:space="preserve">, as is downstream investment, and all of </w:t>
      </w:r>
      <w:proofErr w:type="gramStart"/>
      <w:r w:rsidR="00283CE9">
        <w:t>theses</w:t>
      </w:r>
      <w:proofErr w:type="gramEnd"/>
      <w:r w:rsidR="00283CE9">
        <w:t xml:space="preserve"> should be tracked to the extent possible.</w:t>
      </w:r>
    </w:p>
    <w:p w14:paraId="151A5394" w14:textId="039C62D8" w:rsidR="003A4FB6" w:rsidRDefault="00EC07B6" w:rsidP="006A61A1">
      <w:r>
        <w:t xml:space="preserve">Local and provincial governments matter for irrigation, extension, cooperative strengthening, subsidies, road and market infrastructure, and political support. Their role is especially important for functions that markets will not fund, such as coordination, inclusion safeguards, irrigation governance, and public investment. </w:t>
      </w:r>
      <w:r w:rsidR="008A3A5F">
        <w:t xml:space="preserve">However, while there is clearly strong support by local and district authorities, that support is limited in practice due to financial and staffing constraints.  </w:t>
      </w:r>
      <w:r w:rsidR="00B80D57" w:rsidRPr="00B80D57">
        <w:rPr>
          <w:u w:val="single"/>
        </w:rPr>
        <w:t>The project should explore whether advocacy at one or more levels of government for additional resources would be useful given the returns to date and potential for more</w:t>
      </w:r>
      <w:r w:rsidR="00B80D57">
        <w:t>.</w:t>
      </w:r>
    </w:p>
    <w:p w14:paraId="2E051E59" w14:textId="66727416" w:rsidR="003A4FB6" w:rsidRDefault="00EC07B6" w:rsidP="006A61A1">
      <w:pPr>
        <w:pStyle w:val="Heading1"/>
      </w:pPr>
      <w:r>
        <w:t xml:space="preserve">Scaling pathways: </w:t>
      </w:r>
      <w:r>
        <w:t>scaling out and scaling deep</w:t>
      </w:r>
    </w:p>
    <w:p w14:paraId="1569FE0C" w14:textId="2DB4C4E4" w:rsidR="003A4FB6" w:rsidRDefault="00EC07B6" w:rsidP="006A61A1">
      <w:r>
        <w:t xml:space="preserve">MCM may already be strong enough in original districts that the next scaling question is not simply “how do we expand?” but “who expands, and what should CGIAR still do?” </w:t>
      </w:r>
      <w:r>
        <w:t xml:space="preserve">The </w:t>
      </w:r>
      <w:r>
        <w:t>interesting question is whether the system has reached a critical mass in which adoption continues through local incentives and network effects.</w:t>
      </w:r>
    </w:p>
    <w:p w14:paraId="1E43D14D" w14:textId="77777777" w:rsidR="003A4FB6" w:rsidRDefault="00EC07B6" w:rsidP="006A61A1">
      <w:r>
        <w:t>Critical mass should be assessed at several levels. At the farmer level, it means enough farmers within a cooperative or locality have adopted that non-adopters can observe returns, ask for advice, and reduce perceived risk. At the cooperative level, it means spring maize volumes are large enough to justify regular aggregation, buyer relationships, input planning, and possibly investment in machinery or drying. At the buyer level, it means local supply is predictable enough that feed mills and processors tr</w:t>
      </w:r>
      <w:r>
        <w:t>eat domestic maize procurement as a serious sourcing channel rather than a project-linked experiment. At the input-market level, it means agro-dealers and seed suppliers stock inputs in expectation of demand, not only in response to project coordination. At the government level, it means local governments see spring maize as part of their economic development agenda rather than a CIMMYT project.</w:t>
      </w:r>
    </w:p>
    <w:p w14:paraId="2AC140A1" w14:textId="2CD1D799" w:rsidR="003A4FB6" w:rsidRDefault="00EC07B6" w:rsidP="006A61A1">
      <w:r>
        <w:t xml:space="preserve">If critical mass has been reached in some original districts, the project’s scaling-out strategy should </w:t>
      </w:r>
      <w:r w:rsidR="00703162">
        <w:t xml:space="preserve">consider a </w:t>
      </w:r>
      <w:r>
        <w:t>change</w:t>
      </w:r>
      <w:r w:rsidR="00703162">
        <w:t xml:space="preserve"> in roles</w:t>
      </w:r>
      <w:r w:rsidRPr="00703162">
        <w:rPr>
          <w:u w:val="single"/>
        </w:rPr>
        <w:t xml:space="preserve">. </w:t>
      </w:r>
      <w:r w:rsidR="00703162" w:rsidRPr="00703162">
        <w:rPr>
          <w:u w:val="single"/>
        </w:rPr>
        <w:t xml:space="preserve">In that scenario, </w:t>
      </w:r>
      <w:r w:rsidRPr="00703162">
        <w:rPr>
          <w:u w:val="single"/>
        </w:rPr>
        <w:t xml:space="preserve">CIMMYT should </w:t>
      </w:r>
      <w:r w:rsidR="00703162" w:rsidRPr="00703162">
        <w:rPr>
          <w:u w:val="single"/>
        </w:rPr>
        <w:t>devote less time, effort and resources</w:t>
      </w:r>
      <w:r w:rsidRPr="00703162">
        <w:rPr>
          <w:u w:val="single"/>
        </w:rPr>
        <w:t xml:space="preserve"> to be</w:t>
      </w:r>
      <w:r w:rsidR="00703162" w:rsidRPr="00703162">
        <w:rPr>
          <w:u w:val="single"/>
        </w:rPr>
        <w:t>ing</w:t>
      </w:r>
      <w:r w:rsidRPr="00703162">
        <w:rPr>
          <w:u w:val="single"/>
        </w:rPr>
        <w:t xml:space="preserve"> the primary </w:t>
      </w:r>
      <w:r w:rsidR="00703162" w:rsidRPr="00703162">
        <w:rPr>
          <w:u w:val="single"/>
        </w:rPr>
        <w:t xml:space="preserve">implementer: </w:t>
      </w:r>
      <w:r w:rsidRPr="00703162">
        <w:rPr>
          <w:u w:val="single"/>
        </w:rPr>
        <w:t xml:space="preserve">adopter-recruiter, convener, and market broker in perpetuity. Instead, it should identify which actors </w:t>
      </w:r>
      <w:proofErr w:type="gramStart"/>
      <w:r w:rsidRPr="00703162">
        <w:rPr>
          <w:u w:val="single"/>
        </w:rPr>
        <w:t>are capable of extending</w:t>
      </w:r>
      <w:proofErr w:type="gramEnd"/>
      <w:r w:rsidRPr="00703162">
        <w:rPr>
          <w:u w:val="single"/>
        </w:rPr>
        <w:t xml:space="preserve"> the model to nearby cooperatives and municipalities and what light-touch support </w:t>
      </w:r>
      <w:r w:rsidR="00703162" w:rsidRPr="00703162">
        <w:rPr>
          <w:u w:val="single"/>
        </w:rPr>
        <w:t xml:space="preserve">and facilitation </w:t>
      </w:r>
      <w:r w:rsidRPr="00703162">
        <w:rPr>
          <w:u w:val="single"/>
        </w:rPr>
        <w:t>they need.</w:t>
      </w:r>
      <w:r>
        <w:t xml:space="preserve"> For example, a strong cooperative could mentor neighboring cooperatives; a buyer could identify new supply clusters; an agro-dealer could organize promotional activities with seed companies; a machinery provider could expand service </w:t>
      </w:r>
      <w:r w:rsidR="00204FA5">
        <w:t xml:space="preserve">area and </w:t>
      </w:r>
      <w:r>
        <w:t>coverage; and a local government could finance extension or irrigation coordination. This would be true actor-driven scaling, not project expansion.</w:t>
      </w:r>
    </w:p>
    <w:p w14:paraId="52D9292B" w14:textId="46BE5043" w:rsidR="003A4FB6" w:rsidRDefault="00EC07B6" w:rsidP="006A61A1">
      <w:r>
        <w:t xml:space="preserve">Scaling deep </w:t>
      </w:r>
      <w:r w:rsidR="00204FA5">
        <w:t xml:space="preserve">led by CIMMYT </w:t>
      </w:r>
      <w:r>
        <w:t xml:space="preserve">remains essential </w:t>
      </w:r>
      <w:r w:rsidR="00204FA5">
        <w:t xml:space="preserve">in current areas </w:t>
      </w:r>
      <w:r>
        <w:t xml:space="preserve">because early success can mask shallow or uneven adoption. </w:t>
      </w:r>
      <w:r>
        <w:t>It is about intensifying the model where it already works so that benefits are larger, more durable, and more equitable.</w:t>
      </w:r>
    </w:p>
    <w:p w14:paraId="700D37CD" w14:textId="606EC838" w:rsidR="003A4FB6" w:rsidRDefault="00EC07B6" w:rsidP="006A61A1">
      <w:r>
        <w:t>The strongest strategic recommendation is</w:t>
      </w:r>
      <w:r w:rsidR="00EC6655">
        <w:t xml:space="preserve">, if a deeper and more thorough assessment by CIMMYT confirms this </w:t>
      </w:r>
      <w:proofErr w:type="gramStart"/>
      <w:r w:rsidR="00EC6655">
        <w:t xml:space="preserve">recommendation, </w:t>
      </w:r>
      <w:r>
        <w:t xml:space="preserve"> </w:t>
      </w:r>
      <w:r>
        <w:t>to</w:t>
      </w:r>
      <w:proofErr w:type="gramEnd"/>
      <w:r>
        <w:t xml:space="preserve"> separate functions. Let other actors drive scaling out wherever there is evidence of critical mass and clear incentives. Let </w:t>
      </w:r>
      <w:r w:rsidR="00EC6655">
        <w:t>CIMMYT</w:t>
      </w:r>
      <w:r>
        <w:t xml:space="preserve"> focus on scaling deep, learning, and system </w:t>
      </w:r>
      <w:r>
        <w:lastRenderedPageBreak/>
        <w:t>stewardship: identifying bottlenecks, improving the model for less favorable farmers and cooperatives, addressing irrigation and mechanization constraints, strengthening women’s control over benefits, testing the political economy of cooperative investments, and codifying the model so that others can adapt it.</w:t>
      </w:r>
    </w:p>
    <w:p w14:paraId="4622A3DD" w14:textId="77777777" w:rsidR="003A4FB6" w:rsidRDefault="00EC07B6" w:rsidP="006A61A1">
      <w:pPr>
        <w:pStyle w:val="Heading1"/>
      </w:pPr>
      <w:r>
        <w:t>Bottlenecks, political economy, and weakest links</w:t>
      </w:r>
    </w:p>
    <w:p w14:paraId="39F540CF" w14:textId="1741E2AC" w:rsidR="003A4FB6" w:rsidRDefault="00EC07B6" w:rsidP="006A61A1">
      <w:r w:rsidRPr="00EC6655">
        <w:rPr>
          <w:u w:val="single"/>
        </w:rPr>
        <w:t>The first bottleneck is not demand but uneven access to the conditions that make the model work</w:t>
      </w:r>
      <w:r>
        <w:t xml:space="preserve">. Farmers without land, tenants with insecure arrangements, farmers without irrigation, households without cash for inputs, and members of weak cooperatives may not be able to participate in the same way as better-positioned farmers. This is a political economy issue, not just an inclusion issue. A commercial spring maize model can be strongly pro-poor in average income terms and still exclude the poorest or least-resourced households. </w:t>
      </w:r>
      <w:r w:rsidRPr="00EC6655">
        <w:rPr>
          <w:u w:val="single"/>
        </w:rPr>
        <w:t xml:space="preserve">The project should not weaken the model by trying to make every farmer an adopter, but it should be explicit about who the model is for, who is excluded, </w:t>
      </w:r>
      <w:r w:rsidRPr="00EC6655">
        <w:rPr>
          <w:u w:val="single"/>
        </w:rPr>
        <w:t>what complementary roles exist for non-adopters</w:t>
      </w:r>
      <w:r w:rsidR="00EC6655" w:rsidRPr="00EC6655">
        <w:rPr>
          <w:u w:val="single"/>
        </w:rPr>
        <w:t>, and to the extent feasible and financially viable, it can be more inclusive</w:t>
      </w:r>
      <w:r>
        <w:t>.</w:t>
      </w:r>
    </w:p>
    <w:p w14:paraId="10C411C7" w14:textId="55A192E9" w:rsidR="003A4FB6" w:rsidRDefault="00EC07B6" w:rsidP="006A61A1">
      <w:r w:rsidRPr="00EC6655">
        <w:rPr>
          <w:u w:val="single"/>
        </w:rPr>
        <w:t>Land access is particularly important</w:t>
      </w:r>
      <w:r>
        <w:t xml:space="preserve">. The model depends on rice-fallow land that can be planted in spring maize. Households that do not own or control land cannot benefit as producers. </w:t>
      </w:r>
      <w:r>
        <w:t>These risks are often invisible in average adoption data. The project should examine whether spring maize profitability changes rental arrangements, labor arrangements, or bargaining power between landowners, tenants, and women managing farms in male-migration households.</w:t>
      </w:r>
    </w:p>
    <w:p w14:paraId="4CEACB32" w14:textId="1E8C7D5B" w:rsidR="003A4FB6" w:rsidRDefault="00EC07B6" w:rsidP="006A61A1">
      <w:r>
        <w:t xml:space="preserve">Irrigation is another decisive bottleneck. Spring maize is not </w:t>
      </w:r>
      <w:r>
        <w:t xml:space="preserve">feasible </w:t>
      </w:r>
      <w:r w:rsidR="008D7091">
        <w:t>in</w:t>
      </w:r>
      <w:r>
        <w:t xml:space="preserve"> </w:t>
      </w:r>
      <w:r>
        <w:t>rice-fallow land</w:t>
      </w:r>
      <w:r w:rsidR="008D7091">
        <w:t xml:space="preserve"> where water is not available</w:t>
      </w:r>
      <w:r>
        <w:t xml:space="preserve">. If irrigation access is uneven, the model may deepen inequalities between farmers with water and those without it. </w:t>
      </w:r>
      <w:r w:rsidRPr="00E70F52">
        <w:rPr>
          <w:u w:val="single"/>
        </w:rPr>
        <w:t xml:space="preserve">IWMI’s role should </w:t>
      </w:r>
      <w:r w:rsidR="008D7091" w:rsidRPr="00E70F52">
        <w:rPr>
          <w:u w:val="single"/>
        </w:rPr>
        <w:t xml:space="preserve">include addressing this issue by exploring </w:t>
      </w:r>
      <w:r w:rsidR="00E70F52" w:rsidRPr="00E70F52">
        <w:rPr>
          <w:u w:val="single"/>
        </w:rPr>
        <w:t>micro-opportunities</w:t>
      </w:r>
      <w:r w:rsidR="008D7091" w:rsidRPr="00E70F52">
        <w:rPr>
          <w:u w:val="single"/>
        </w:rPr>
        <w:t xml:space="preserve"> to expand water access, such as through </w:t>
      </w:r>
      <w:proofErr w:type="gramStart"/>
      <w:r w:rsidR="008D7091" w:rsidRPr="00E70F52">
        <w:rPr>
          <w:u w:val="single"/>
        </w:rPr>
        <w:t>rain water</w:t>
      </w:r>
      <w:proofErr w:type="gramEnd"/>
      <w:r w:rsidR="008D7091" w:rsidRPr="00E70F52">
        <w:rPr>
          <w:u w:val="single"/>
        </w:rPr>
        <w:t xml:space="preserve"> harvesting and solar irrigation kits</w:t>
      </w:r>
      <w:r w:rsidRPr="00E70F52">
        <w:rPr>
          <w:u w:val="single"/>
        </w:rPr>
        <w:t xml:space="preserve">. </w:t>
      </w:r>
      <w:r w:rsidR="008D7091" w:rsidRPr="00E70F52">
        <w:rPr>
          <w:u w:val="single"/>
        </w:rPr>
        <w:t xml:space="preserve">It currently is not playing this </w:t>
      </w:r>
      <w:proofErr w:type="gramStart"/>
      <w:r w:rsidR="008D7091" w:rsidRPr="00E70F52">
        <w:rPr>
          <w:u w:val="single"/>
        </w:rPr>
        <w:t>role</w:t>
      </w:r>
      <w:proofErr w:type="gramEnd"/>
      <w:r w:rsidR="00E70F52" w:rsidRPr="00E70F52">
        <w:rPr>
          <w:u w:val="single"/>
        </w:rPr>
        <w:t xml:space="preserve"> and the existing staff do not seem to have the knowledge to do so.</w:t>
      </w:r>
    </w:p>
    <w:p w14:paraId="66821713" w14:textId="072CE2C9" w:rsidR="003A4FB6" w:rsidRDefault="00EC07B6" w:rsidP="006A61A1">
      <w:r>
        <w:t xml:space="preserve">Mechanization creates both opportunity and cooperative incentive problems. Mechanized planting can reduce sowing costs and labor burdens, especially where male migration has reduced labor availability. But machinery investments may benefit only </w:t>
      </w:r>
      <w:r w:rsidR="00F80CCA">
        <w:t xml:space="preserve">cooperative </w:t>
      </w:r>
      <w:r>
        <w:t xml:space="preserve">members who grow spring maize, have suitable land, or can afford services. Cooperatives may </w:t>
      </w:r>
      <w:r w:rsidR="00F80CCA">
        <w:t>have a strong value proposition</w:t>
      </w:r>
      <w:r>
        <w:t xml:space="preserve"> </w:t>
      </w:r>
      <w:r>
        <w:t xml:space="preserve">to invest in machinery, but not all members will benefit equally. If cooperative funds, subsidies, or leadership attention are directed toward spring maize machinery, members who do not adopt may perceive the investment as unfair. This can create governance tension and affect internal scaling. </w:t>
      </w:r>
      <w:r w:rsidR="00D41C22" w:rsidRPr="00D41C22">
        <w:rPr>
          <w:b/>
          <w:bCs/>
        </w:rPr>
        <w:t>In the cooperative visited, only half the members could grow spring maize and as a result the cooperative had only purchase</w:t>
      </w:r>
      <w:r w:rsidR="00D41C22">
        <w:rPr>
          <w:b/>
          <w:bCs/>
        </w:rPr>
        <w:t>d</w:t>
      </w:r>
      <w:r w:rsidR="00D41C22" w:rsidRPr="00D41C22">
        <w:rPr>
          <w:b/>
          <w:bCs/>
        </w:rPr>
        <w:t xml:space="preserve"> machinery such that only 20% of those members had access to machinery services </w:t>
      </w:r>
      <w:proofErr w:type="gramStart"/>
      <w:r w:rsidR="00D41C22" w:rsidRPr="00D41C22">
        <w:rPr>
          <w:b/>
          <w:bCs/>
        </w:rPr>
        <w:t>in a given</w:t>
      </w:r>
      <w:proofErr w:type="gramEnd"/>
      <w:r w:rsidR="00D41C22" w:rsidRPr="00D41C22">
        <w:rPr>
          <w:b/>
          <w:bCs/>
        </w:rPr>
        <w:t xml:space="preserve"> season</w:t>
      </w:r>
      <w:r w:rsidR="00D41C22" w:rsidRPr="00D41C22">
        <w:rPr>
          <w:u w:val="single"/>
        </w:rPr>
        <w:t>.</w:t>
      </w:r>
      <w:r w:rsidR="00D41C22">
        <w:t xml:space="preserve"> </w:t>
      </w:r>
      <w:r w:rsidRPr="00D41C22">
        <w:rPr>
          <w:u w:val="single"/>
        </w:rPr>
        <w:t>The project should analyze how cooperatives decide on machinery investments, who uses the machines, who pays, who captures service revenue, and whether non-users subsidize users.</w:t>
      </w:r>
      <w:r w:rsidR="003F7A30">
        <w:rPr>
          <w:u w:val="single"/>
        </w:rPr>
        <w:t xml:space="preserve">  </w:t>
      </w:r>
      <w:r w:rsidR="003F7A30" w:rsidRPr="00430D41">
        <w:t xml:space="preserve">It should also </w:t>
      </w:r>
      <w:r w:rsidR="003F7A30" w:rsidRPr="00430D41">
        <w:rPr>
          <w:u w:val="single"/>
        </w:rPr>
        <w:t>experiment with a local or machinery service provider model</w:t>
      </w:r>
      <w:r w:rsidR="003F7A30" w:rsidRPr="00430D41">
        <w:t>, including versions where cooperatives</w:t>
      </w:r>
      <w:r w:rsidR="00430D41" w:rsidRPr="00430D41">
        <w:t xml:space="preserve">, </w:t>
      </w:r>
      <w:r w:rsidR="003F7A30" w:rsidRPr="00430D41">
        <w:t xml:space="preserve">landless cooperative members </w:t>
      </w:r>
      <w:r w:rsidR="00430D41" w:rsidRPr="00430D41">
        <w:t xml:space="preserve">or external actors </w:t>
      </w:r>
      <w:r w:rsidR="003F7A30" w:rsidRPr="00430D41">
        <w:t>play this role</w:t>
      </w:r>
      <w:r w:rsidR="00430D41">
        <w:t xml:space="preserve">. </w:t>
      </w:r>
    </w:p>
    <w:p w14:paraId="27BC32E8" w14:textId="10A99B07" w:rsidR="003A4FB6" w:rsidRDefault="00EC07B6" w:rsidP="006A61A1">
      <w:r>
        <w:lastRenderedPageBreak/>
        <w:t xml:space="preserve">Cooperative capacity is both the enabling condition and the weakest link. Nepal’s cooperative structure is a major reason the model can work, but that also makes the model less generalizable outside Nepal. Many countries do not have comparable cooperative density, and even within Nepal cooperative performance varies. The project should avoid drawing a simplistic lesson that the MCM model can be exported as a generic market-led package. The more precise lesson is that a demand-led spring maize model </w:t>
      </w:r>
      <w:r w:rsidR="005963F4">
        <w:t xml:space="preserve">– or any conversion of fallow land to production </w:t>
      </w:r>
      <w:r w:rsidR="005963F4">
        <w:t>–</w:t>
      </w:r>
      <w:r w:rsidR="005963F4">
        <w:t xml:space="preserve"> </w:t>
      </w:r>
      <w:r>
        <w:t>can scale rapidly when strong cooperatives already exist and can be linked to buyers and input suppliers. Replication elsewhere would require an equivalent institutional platform or a different scaling vehicle.</w:t>
      </w:r>
    </w:p>
    <w:p w14:paraId="79F9C38C" w14:textId="319FAE3C" w:rsidR="003A4FB6" w:rsidRDefault="00EC07B6" w:rsidP="006A61A1">
      <w:r w:rsidRPr="005963F4">
        <w:rPr>
          <w:sz w:val="24"/>
          <w:u w:val="single"/>
        </w:rPr>
        <w:t>The public-good functions remain a real bottleneck</w:t>
      </w:r>
      <w:r w:rsidR="005963F4" w:rsidRPr="005963F4">
        <w:rPr>
          <w:u w:val="single"/>
        </w:rPr>
        <w:t xml:space="preserve"> as noted above</w:t>
      </w:r>
      <w:r>
        <w:rPr>
          <w:sz w:val="24"/>
        </w:rPr>
        <w:t>, but they should be framed more specifically. Coordination</w:t>
      </w:r>
      <w:r w:rsidR="00AC2E15">
        <w:t xml:space="preserve">, </w:t>
      </w:r>
      <w:r>
        <w:rPr>
          <w:sz w:val="24"/>
        </w:rPr>
        <w:t>MSP facilitation</w:t>
      </w:r>
      <w:r w:rsidR="005963F4">
        <w:t xml:space="preserve"> </w:t>
      </w:r>
      <w:r w:rsidR="00AC2E15">
        <w:t xml:space="preserve">and the associated WhatsApp SMS text messaging providing important information to the ecosystem </w:t>
      </w:r>
      <w:r w:rsidR="005963F4">
        <w:t>are probably the most important</w:t>
      </w:r>
      <w:r>
        <w:rPr>
          <w:sz w:val="24"/>
        </w:rPr>
        <w:t xml:space="preserve">, </w:t>
      </w:r>
      <w:r w:rsidR="00AC2E15">
        <w:t xml:space="preserve">but when </w:t>
      </w:r>
      <w:proofErr w:type="spellStart"/>
      <w:r w:rsidR="00AC2E15">
        <w:t>the</w:t>
      </w:r>
      <w:proofErr w:type="spellEnd"/>
      <w:r w:rsidR="00AC2E15">
        <w:t xml:space="preserve"> project ends these functions</w:t>
      </w:r>
      <w:r>
        <w:rPr>
          <w:sz w:val="24"/>
        </w:rPr>
        <w:t xml:space="preserve"> do not automatically finance themselves. However, the question is not simply “who </w:t>
      </w:r>
      <w:r w:rsidR="00AC2E15">
        <w:t xml:space="preserve">does and </w:t>
      </w:r>
      <w:r>
        <w:rPr>
          <w:sz w:val="24"/>
        </w:rPr>
        <w:t>pays for coordination?” It is which coordination functions are still needed once critical mass is reached, which can be embedded in cooperative operations, which can be paid for by buyers, which can be supported by local government, and which should disappear because the market no longer needs them. A mature scaling strategy should reduce the coordination burden over time, not institutionalize permanent project-style facilitation.</w:t>
      </w:r>
    </w:p>
    <w:p w14:paraId="7DCFC6D2" w14:textId="77777777" w:rsidR="003A4FB6" w:rsidRDefault="00EC07B6" w:rsidP="006A61A1">
      <w:pPr>
        <w:pStyle w:val="Heading1"/>
      </w:pPr>
      <w:r>
        <w:t>From activities to outcomes: what should be measured now</w:t>
      </w:r>
    </w:p>
    <w:p w14:paraId="270B54F6" w14:textId="77777777" w:rsidR="003A4FB6" w:rsidRDefault="00EC07B6" w:rsidP="006A61A1">
      <w:r>
        <w:t>The next evidence agenda should be less generic and more focused on scaling dynamics. The project has already produced evidence on adoption growth, yields, mechanized sowing costs, hybrid seed use, cooperative sales, and farmgate prices. The next phase should ask whether growth is becoming self-propelling. This requires indicators that track who is driving adoption, not only how much adoption occurs. For each new cooperative or district, the project should record whether entry was driven by CIMMYT, cooperat</w:t>
      </w:r>
      <w:r>
        <w:t>ive request, buyer demand, government initiative, agro-dealer promotion, farmer-to-farmer diffusion, or another actor.</w:t>
      </w:r>
    </w:p>
    <w:p w14:paraId="78C71FC8" w14:textId="77777777" w:rsidR="003A4FB6" w:rsidRDefault="00EC07B6" w:rsidP="006A61A1">
      <w:r>
        <w:t>For scaling out, the main evidence should include: number of new cooperatives adopting without intensive project facilitation; buyer-initiated expansion into new supply areas; agro-dealer or seed-company promotional investment; machinery-service expansion financed by providers themselves; local government budget allocations; farmer-to-farmer adoption patterns; and the degree to which CIMMYT facilitation declines per hectare or per cooperative. These are the indicators that show whether the model is moving f</w:t>
      </w:r>
      <w:r>
        <w:t>rom project-led to actor-led scaling.</w:t>
      </w:r>
    </w:p>
    <w:p w14:paraId="0A1B2143" w14:textId="77777777" w:rsidR="003A4FB6" w:rsidRDefault="00EC07B6" w:rsidP="006A61A1">
      <w:r>
        <w:t>For scaling deep, the main evidence should include: proportion of cooperative members adopting; share of suitable land planted by existing adopters; repeat adoption over multiple seasons; movement from partial to higher-fidelity adoption; irrigation reliability; service-provider utilization and downtime; cooperative margins and reinvestment; buyer repeat purchases; quality or moisture rejection rates; women’s control over production and income; and outcomes for tenants, landless households, and water-constr</w:t>
      </w:r>
      <w:r>
        <w:t>ained farmers. These indicators would show whether the model is strengthening where it already exists.</w:t>
      </w:r>
    </w:p>
    <w:p w14:paraId="4DD7C681" w14:textId="77777777" w:rsidR="003A4FB6" w:rsidRDefault="00EC07B6" w:rsidP="006A61A1">
      <w:r>
        <w:lastRenderedPageBreak/>
        <w:t xml:space="preserve">For cooperative political economy, the project should measure internal distribution of benefits. Which members use machinery services? Which members sell through the cooperative? Which members benefit from buyer contracts? Which members participate in leadership decisions? Do non-adopters see benefits through cooperative income, employment, service revenue, or lower input costs, or do they see spring maize as a project for a subset of members? These questions are essential because cooperative legitimacy is </w:t>
      </w:r>
      <w:r>
        <w:t>a scaling asset that can be damaged if commercialization benefits are perceived as captured by better-positioned farmers.</w:t>
      </w:r>
    </w:p>
    <w:p w14:paraId="69E7216C" w14:textId="07806810" w:rsidR="003A4FB6" w:rsidRDefault="00EC07B6" w:rsidP="006A61A1">
      <w:r>
        <w:t xml:space="preserve">For </w:t>
      </w:r>
      <w:r w:rsidR="009B76A7">
        <w:t>GESI</w:t>
      </w:r>
      <w:r>
        <w:t xml:space="preserve">, the project should move beyond participation counts. It should measure whether women make planting, input, marketing, and income-use decisions; whether women can access machinery services at the right time; whether female-headed or de facto female-managed households receive the same prices and services; whether youth jobs are durable enterprises or seasonal labor; and whether marginalized caste or ethnic groups are in the cooperatives that benefit most. </w:t>
      </w:r>
      <w:r w:rsidR="00213C4D">
        <w:t>It should also track what share of farmers currently do not or cannot participate due to the above-noted issues of landlessness and lack of irrigation, and progress towards addressing those where possible.</w:t>
      </w:r>
    </w:p>
    <w:p w14:paraId="28E82EC1" w14:textId="77777777" w:rsidR="003A4FB6" w:rsidRDefault="00EC07B6" w:rsidP="006A61A1">
      <w:pPr>
        <w:pStyle w:val="Heading1"/>
      </w:pPr>
      <w:r>
        <w:t>Recommendations to the project team</w:t>
      </w:r>
    </w:p>
    <w:p w14:paraId="6E565F8D" w14:textId="0704C2C9" w:rsidR="003A4FB6" w:rsidRDefault="00EC07B6" w:rsidP="006A61A1">
      <w:r w:rsidRPr="007B7BB1">
        <w:t xml:space="preserve">First, </w:t>
      </w:r>
      <w:r w:rsidR="00DA44AB" w:rsidRPr="007B7BB1">
        <w:t xml:space="preserve">if further examination by CIMMYT confirms this recommendation, </w:t>
      </w:r>
      <w:r w:rsidRPr="007B7BB1">
        <w:t>make scaling out versus scaling deep the organizing framework for the next year</w:t>
      </w:r>
      <w:r>
        <w:t>. Do not treat all expansion and quality-improvement activities as one workplan. In original districts, test whether adoption is becoming self-propelling and identify which actors are driving it. In expansion districts, identify the minimum conditions required before introducing the full model. In all districts, decide which functions are for CGIAR to lead and which should now be transferred or co-led by cooperatives, buyers, local governments, and private service providers</w:t>
      </w:r>
      <w:r w:rsidR="00DA44AB">
        <w:t xml:space="preserve"> (with CIMMYT support and facilitation, which will hopefully decrease over time)</w:t>
      </w:r>
      <w:r>
        <w:t>.</w:t>
      </w:r>
    </w:p>
    <w:p w14:paraId="029CA255" w14:textId="0C5546E9" w:rsidR="003A4FB6" w:rsidRDefault="00EC07B6" w:rsidP="006A61A1">
      <w:r w:rsidRPr="007B7BB1">
        <w:rPr>
          <w:u w:val="single"/>
        </w:rPr>
        <w:t>Second, define the minimum viable commercialization system</w:t>
      </w:r>
      <w:r>
        <w:t xml:space="preserve">. The project should identify the smallest set of components required for profitable spring maize adoption in each geography. The likely core is hybrid seed, timely planting, sufficient water, cooperative aggregation, buyer linkage, and basic quality management. </w:t>
      </w:r>
      <w:r w:rsidR="00BC4D15">
        <w:t>Then to support scaling deep, developing a phasing strategy as to what additional components of the innovation bundle should be added and in what sequence.</w:t>
      </w:r>
    </w:p>
    <w:p w14:paraId="4E0C3EF7" w14:textId="77777777" w:rsidR="003A4FB6" w:rsidRDefault="00EC07B6" w:rsidP="006A61A1">
      <w:r w:rsidRPr="007B7BB1">
        <w:rPr>
          <w:u w:val="single"/>
        </w:rPr>
        <w:t>Third, explicitly assess critical mass</w:t>
      </w:r>
      <w:r>
        <w:t>. The project should map adoption density by cooperative, municipality, and buyer catchment. It should identify whether adoption is spreading without direct project recruitment, whether non-project farmers are requesting seed or services, whether cooperatives are adding members or area, whether buyers are asking for new supply zones, and whether agro-dealers are stocking inputs based on expected demand. This will tell S4I whether the project is ready for a different kind of support.</w:t>
      </w:r>
    </w:p>
    <w:p w14:paraId="46D86A64" w14:textId="77777777" w:rsidR="003A4FB6" w:rsidRDefault="00EC07B6" w:rsidP="006A61A1">
      <w:r w:rsidRPr="007B7BB1">
        <w:rPr>
          <w:u w:val="single"/>
        </w:rPr>
        <w:t>Fourth, address land and irrigation exclusion directly</w:t>
      </w:r>
      <w:r>
        <w:t xml:space="preserve">. The project should segment farmers by land access, tenancy status, irrigation access, cooperative membership, and machinery access. It should not pretend that the model works equally for all. For those without land or irrigation, the project should identify alternative benefits such as wage employment, machinery-service jobs, input or aggregation </w:t>
      </w:r>
      <w:r>
        <w:lastRenderedPageBreak/>
        <w:t>roles, cooperative employment, value-added processing, or public investments that expand water access. The project should be honest about where spring maize is n</w:t>
      </w:r>
      <w:r>
        <w:t>ot the right pathway.</w:t>
      </w:r>
    </w:p>
    <w:p w14:paraId="777654F1" w14:textId="77777777" w:rsidR="003A4FB6" w:rsidRDefault="00EC07B6" w:rsidP="006A61A1">
      <w:r w:rsidRPr="007B7BB1">
        <w:rPr>
          <w:u w:val="single"/>
        </w:rPr>
        <w:t>Fifth, analyze cooperative incentives before promoting machinery or infrastructure investments</w:t>
      </w:r>
      <w:r>
        <w:t>. Cooperatives should assess who benefits from machinery, who pays, who controls service scheduling, and whether non-users subsidize users. Where machinery investments benefit a subset of members, governance rules and fee structures should make this explicit. Otherwise the project may create internal resistance within the very institutions it relies on for scale.</w:t>
      </w:r>
    </w:p>
    <w:p w14:paraId="1A18BC6A" w14:textId="321424B3" w:rsidR="003A4FB6" w:rsidRDefault="00EC07B6" w:rsidP="006A61A1">
      <w:r w:rsidRPr="007B7BB1">
        <w:t>Sixth,</w:t>
      </w:r>
      <w:r w:rsidR="007B7BB1" w:rsidRPr="007B7BB1">
        <w:t xml:space="preserve"> </w:t>
      </w:r>
      <w:r w:rsidR="007B7BB1" w:rsidRPr="007B7BB1">
        <w:rPr>
          <w:b/>
          <w:bCs/>
        </w:rPr>
        <w:t>document this case as an example of strong scaling</w:t>
      </w:r>
      <w:r w:rsidR="007B7BB1" w:rsidRPr="007B7BB1">
        <w:t>, while paying close attention to</w:t>
      </w:r>
      <w:r w:rsidRPr="007B7BB1">
        <w:t xml:space="preserve"> </w:t>
      </w:r>
      <w:r w:rsidRPr="007B7BB1">
        <w:t xml:space="preserve">what can be replicated </w:t>
      </w:r>
      <w:r w:rsidR="007B7BB1" w:rsidRPr="007B7BB1">
        <w:t xml:space="preserve">regardless of context </w:t>
      </w:r>
      <w:r w:rsidRPr="007B7BB1">
        <w:t>and what is Nepal-specific</w:t>
      </w:r>
      <w:r>
        <w:t>. The project should document that Nepal’s cooperative density is a major scaling asset. This makes the model stronger in Nepal but less automatically transferable. Future replication should begin by asking what institutional structure in another country can play the cooperative role. Without that equivalent platform, the model may require a different scaling pathway.</w:t>
      </w:r>
    </w:p>
    <w:p w14:paraId="4200F398" w14:textId="77777777" w:rsidR="003A4FB6" w:rsidRDefault="00EC07B6" w:rsidP="006A61A1">
      <w:pPr>
        <w:pStyle w:val="Heading1"/>
      </w:pPr>
      <w:r>
        <w:t>Recommendation to S4I</w:t>
      </w:r>
    </w:p>
    <w:p w14:paraId="398DD3D4" w14:textId="77777777" w:rsidR="003A4FB6" w:rsidRDefault="00EC07B6" w:rsidP="006A61A1">
      <w:r>
        <w:t>S4I should fund this solution for another year. The recommendation is positive because the project has real market demand, a plausible and already demonstrated farmer value proposition, strong cooperative and buyer logic, encouraging adoption and sales evidence, and a distinctive institutional context that makes scaling plausible. It is stronger than many projects that remain largely at ideation, depend mainly on public extension, or require donor-funded persuasion. However, S4I funding should not be used s</w:t>
      </w:r>
      <w:r>
        <w:t>imply to expand the bundle, multiply activities, or maintain CIMMYT as the central facilitator in perpetuity.</w:t>
      </w:r>
    </w:p>
    <w:p w14:paraId="11043C0B" w14:textId="77777777" w:rsidR="003A4FB6" w:rsidRDefault="00EC07B6" w:rsidP="006A61A1">
      <w:r>
        <w:t xml:space="preserve">The next year of S4I funding should support a shift from project-driven expansion to actor-driven scaling out and CGIAR-supported scaling deep. The funding should support critical-mass analysis, cooperative segmentation, land and irrigation inclusion diagnostics, women’s control-over-benefits measurement, machinery political economy analysis, and transfer of scaling functions to cooperatives, buyers, agro-dealers, machinery providers, local governments, and irrigation institutions. These are more important </w:t>
      </w:r>
      <w:r>
        <w:t>for this case than generic business-case work because many business cases are already partly visible.</w:t>
      </w:r>
    </w:p>
    <w:p w14:paraId="6A80252B" w14:textId="2274C240" w:rsidR="003A4FB6" w:rsidRDefault="00EC07B6" w:rsidP="006A61A1">
      <w:r>
        <w:t xml:space="preserve">S4I should ask the project to demonstrate by the end of the next period whether the original districts have reached a self-propelling stage, which actors are driving expansion, which components are essential, which farmers are excluded or under-benefited, how cooperative investments are governed, and which functions can be transferred from CGIAR to other actors. </w:t>
      </w:r>
      <w:r w:rsidRPr="007A2EFC">
        <w:rPr>
          <w:u w:val="single"/>
        </w:rPr>
        <w:t xml:space="preserve">If the evidence shows actor-driven </w:t>
      </w:r>
      <w:proofErr w:type="gramStart"/>
      <w:r w:rsidRPr="007A2EFC">
        <w:rPr>
          <w:u w:val="single"/>
        </w:rPr>
        <w:t>scaling out</w:t>
      </w:r>
      <w:proofErr w:type="gramEnd"/>
      <w:r w:rsidRPr="007A2EFC">
        <w:rPr>
          <w:u w:val="single"/>
        </w:rPr>
        <w:t xml:space="preserve"> and effective scaling deep, this should be one of S4I’s stronger cases</w:t>
      </w:r>
      <w:r w:rsidR="007A2EFC" w:rsidRPr="007A2EFC">
        <w:rPr>
          <w:u w:val="single"/>
        </w:rPr>
        <w:t xml:space="preserve"> and provides another rationale for documentation as a case study</w:t>
      </w:r>
      <w:r>
        <w:t>. If the project continues to expand through intensive CIMMYT facilitation and an ever-wider activity list, S4I should narrow funding to bottleneck resolution rather than broad co-financing.</w:t>
      </w:r>
    </w:p>
    <w:p w14:paraId="511EE525" w14:textId="77777777" w:rsidR="003A4FB6" w:rsidRDefault="00EC07B6" w:rsidP="006A61A1">
      <w:pPr>
        <w:pStyle w:val="Heading1"/>
      </w:pPr>
      <w:r>
        <w:lastRenderedPageBreak/>
        <w:t>Lessons for CGIAR and S4I</w:t>
      </w:r>
    </w:p>
    <w:p w14:paraId="2949A651" w14:textId="77777777" w:rsidR="003A4FB6" w:rsidRDefault="00EC07B6" w:rsidP="006A61A1">
      <w:r w:rsidRPr="007A2EFC">
        <w:rPr>
          <w:u w:val="single"/>
        </w:rPr>
        <w:t>The first lesson is that real market demand and critical mass change the coaching agenda</w:t>
      </w:r>
      <w:r>
        <w:t>. Not every scaling case needs the same generic recommendation to develop business cases and proof-point dashboards. In a case like MCM, where farmer adoption, cooperative sales, buyer demand, and input use already appear strong, the coaching agenda should focus on whether the system is becoming self-propelling and how CGIAR should change its role. Scaling support should be stage-specific, not formulaic.</w:t>
      </w:r>
    </w:p>
    <w:p w14:paraId="097E3E28" w14:textId="77777777" w:rsidR="003A4FB6" w:rsidRDefault="00EC07B6" w:rsidP="006A61A1">
      <w:r w:rsidRPr="007A2EFC">
        <w:rPr>
          <w:u w:val="single"/>
        </w:rPr>
        <w:t>The second lesson is that scaling out and scaling deep should be treated as different strategies with different actors</w:t>
      </w:r>
      <w:r>
        <w:t>. Scaling out can increasingly be driven by cooperatives, buyers, input suppliers, machinery providers, local governments, and farmer networks when there is critical mass. Scaling deep often still requires CGIAR and S4I support because it involves quality, inclusion, fidelity, water management, machinery access, cooperative governance, and institutionalization. Confusing the two leads projects either to keep doing direct expansion too long or to neglect the quality and equity issues that determine durable i</w:t>
      </w:r>
      <w:r>
        <w:t>mpact.</w:t>
      </w:r>
    </w:p>
    <w:p w14:paraId="4B233802" w14:textId="77777777" w:rsidR="003A4FB6" w:rsidRDefault="00EC07B6" w:rsidP="006A61A1">
      <w:r w:rsidRPr="007A2EFC">
        <w:rPr>
          <w:u w:val="single"/>
        </w:rPr>
        <w:t>The third lesson is that institutional context matters</w:t>
      </w:r>
      <w:r>
        <w:t>. Nepal’s cooperative structure is not a small implementation detail; it is central to the model. It lowers transaction costs, creates aggregation capacity, and provides a platform for buyer relationships and input planning. This is why the model may be unusually strong in Nepal and why it cannot be casually generalized to countries without similar cooperative density. CGIAR should be more explicit about when scaling success depends on a country-specific institutional asset.</w:t>
      </w:r>
    </w:p>
    <w:p w14:paraId="21287667" w14:textId="4601D749" w:rsidR="003A4FB6" w:rsidRDefault="00EC07B6" w:rsidP="006A61A1">
      <w:r w:rsidRPr="007A2EFC">
        <w:rPr>
          <w:u w:val="single"/>
        </w:rPr>
        <w:t>The fourth lesson is that inclusion can be built into the structure of a model but still requires political economy analysis</w:t>
      </w:r>
      <w:r w:rsidR="007A2EFC">
        <w:t xml:space="preserve">, especially access to resources, as was indeed defined by </w:t>
      </w:r>
      <w:r w:rsidR="00353941">
        <w:t>Amartya Sen in his Nobel prize winning work decades ago</w:t>
      </w:r>
      <w:r>
        <w:t>.</w:t>
      </w:r>
      <w:r w:rsidR="008612F1">
        <w:rPr>
          <w:rStyle w:val="FootnoteReference"/>
        </w:rPr>
        <w:footnoteReference w:id="1"/>
      </w:r>
      <w:r>
        <w:t xml:space="preserve"> Male outmigration means women are central to farming, but commercialization can shift control over income and decisions. Irrigation and land access determine who can participate. Cooperative investments can benefit some members more than others. A scaling strategy that ignores these distributional issues may increase average impact while creating tensions that undermine adoption or equity.</w:t>
      </w:r>
    </w:p>
    <w:p w14:paraId="008ECCEE" w14:textId="77777777" w:rsidR="006A61A1" w:rsidRDefault="00EC07B6" w:rsidP="006A61A1">
      <w:r>
        <w:t xml:space="preserve">The final lesson is that S4I’s greatest value is not small additional funding but sharper strategic discipline. In this case, S4I can help the project decide where to let other actors scale out, where to focus on scaling deep, how to test critical mass, how to protect inclusion, how to avoid over-bundling, and how to transfer functions from CGIAR to durable local institutions. If S4I uses MCM to demonstrate </w:t>
      </w:r>
      <w:r>
        <w:lastRenderedPageBreak/>
        <w:t>that kind of stage-sensitive scaling support, it can become one of the strongest examples of how CGIAR moves from successful project implementation to genuine actor-driven system change.</w:t>
      </w:r>
      <w:r w:rsidR="006D0867">
        <w:t xml:space="preserve">  </w:t>
      </w:r>
    </w:p>
    <w:p w14:paraId="28530072" w14:textId="0FE5DE53" w:rsidR="003A4FB6" w:rsidRDefault="006D0867" w:rsidP="006A61A1">
      <w:r w:rsidRPr="006A61A1">
        <w:t xml:space="preserve">That said, the fact that S4I funding is a major component of the total project resources raises the question that should be considered in this </w:t>
      </w:r>
      <w:proofErr w:type="spellStart"/>
      <w:r w:rsidRPr="006A61A1">
        <w:t>years</w:t>
      </w:r>
      <w:proofErr w:type="spellEnd"/>
      <w:r w:rsidRPr="006A61A1">
        <w:t xml:space="preserve"> Scaling Solution funding decisions as to whether S4I has greater impact and leverage where it is a major component of funding or where it is leveraging much larger </w:t>
      </w:r>
      <w:r w:rsidR="006A61A1" w:rsidRPr="006A61A1">
        <w:t>funding by bilateral and multilateral donors or the public.  MCM makes a strong case for the former</w:t>
      </w:r>
      <w:r w:rsidR="006A61A1">
        <w:t xml:space="preserve">. </w:t>
      </w:r>
    </w:p>
    <w:sectPr w:rsidR="003A4FB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89DD" w14:textId="77777777" w:rsidR="00EC07B6" w:rsidRDefault="00EC07B6" w:rsidP="006A61A1">
      <w:r>
        <w:separator/>
      </w:r>
    </w:p>
  </w:endnote>
  <w:endnote w:type="continuationSeparator" w:id="0">
    <w:p w14:paraId="36281EFC" w14:textId="77777777" w:rsidR="00EC07B6" w:rsidRDefault="00EC07B6" w:rsidP="006A6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94B2" w14:textId="77777777" w:rsidR="003A4FB6" w:rsidRDefault="003A4FB6" w:rsidP="006A61A1">
    <w:pPr>
      <w:pStyle w:val="Footer"/>
    </w:pPr>
  </w:p>
  <w:tbl>
    <w:tblPr>
      <w:tblW w:w="0" w:type="auto"/>
      <w:jc w:val="center"/>
      <w:tblLook w:val="04A0" w:firstRow="1" w:lastRow="0" w:firstColumn="1" w:lastColumn="0" w:noHBand="0" w:noVBand="1"/>
    </w:tblPr>
    <w:tblGrid>
      <w:gridCol w:w="3120"/>
      <w:gridCol w:w="3120"/>
      <w:gridCol w:w="3120"/>
    </w:tblGrid>
    <w:tr w:rsidR="003A4FB6" w14:paraId="499A2F4F" w14:textId="77777777">
      <w:trPr>
        <w:jc w:val="center"/>
      </w:trPr>
      <w:tc>
        <w:tcPr>
          <w:tcW w:w="3120" w:type="dxa"/>
          <w:vAlign w:val="center"/>
        </w:tcPr>
        <w:p w14:paraId="16F16ABA" w14:textId="77777777" w:rsidR="003A4FB6" w:rsidRDefault="00EC07B6" w:rsidP="006A61A1">
          <w:r>
            <w:t>Author: Richard Kohl</w:t>
          </w:r>
        </w:p>
      </w:tc>
      <w:tc>
        <w:tcPr>
          <w:tcW w:w="3120" w:type="dxa"/>
          <w:vAlign w:val="center"/>
        </w:tcPr>
        <w:p w14:paraId="469810ED" w14:textId="77777777" w:rsidR="003A4FB6" w:rsidRDefault="00EC07B6" w:rsidP="006A61A1">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tc>
      <w:tc>
        <w:tcPr>
          <w:tcW w:w="3120" w:type="dxa"/>
          <w:vAlign w:val="center"/>
        </w:tcPr>
        <w:p w14:paraId="52CE2625" w14:textId="77777777" w:rsidR="003A4FB6" w:rsidRDefault="00EC07B6" w:rsidP="006A61A1">
          <w:r>
            <w:t>23 June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6824D" w14:textId="77777777" w:rsidR="00EC07B6" w:rsidRDefault="00EC07B6" w:rsidP="006A61A1">
      <w:r>
        <w:separator/>
      </w:r>
    </w:p>
  </w:footnote>
  <w:footnote w:type="continuationSeparator" w:id="0">
    <w:p w14:paraId="38154FC0" w14:textId="77777777" w:rsidR="00EC07B6" w:rsidRDefault="00EC07B6" w:rsidP="006A61A1">
      <w:r>
        <w:continuationSeparator/>
      </w:r>
    </w:p>
  </w:footnote>
  <w:footnote w:id="1">
    <w:p w14:paraId="0E633C9B" w14:textId="2B49129C" w:rsidR="008612F1" w:rsidRPr="00905C4D" w:rsidRDefault="008612F1" w:rsidP="006A61A1">
      <w:pPr>
        <w:pStyle w:val="FootnoteText"/>
      </w:pPr>
      <w:r>
        <w:rPr>
          <w:rStyle w:val="FootnoteReference"/>
        </w:rPr>
        <w:footnoteRef/>
      </w:r>
      <w:r>
        <w:t xml:space="preserve"> </w:t>
      </w:r>
      <w:r w:rsidRPr="00905C4D">
        <w:t>Sen, Amartya. (1999).</w:t>
      </w:r>
      <w:r w:rsidRPr="00905C4D">
        <w:rPr>
          <w:b/>
          <w:bCs/>
        </w:rPr>
        <w:t xml:space="preserve"> </w:t>
      </w:r>
      <w:r w:rsidRPr="00905C4D">
        <w:rPr>
          <w:b/>
          <w:bCs/>
          <w:i/>
          <w:iCs/>
        </w:rPr>
        <w:t>Development as Freedom</w:t>
      </w:r>
      <w:r w:rsidRPr="00905C4D">
        <w:rPr>
          <w:b/>
          <w:bCs/>
        </w:rPr>
        <w:t>. New York: Alfred A. Knopf.</w:t>
      </w:r>
      <w:r w:rsidRPr="00905C4D">
        <w:rPr>
          <w:b/>
          <w:bCs/>
        </w:rPr>
        <w:t xml:space="preserve"> </w:t>
      </w:r>
      <w:r w:rsidRPr="00905C4D">
        <w:t xml:space="preserve">Sen argues that poverty should not be understood simply as low income but as a lack of capabilities and entitlements that allow people to pursue valued livelihoods and lives. Access to productive assets—such as land, water, livestock, education, health, social networks, political voice, and market opportunities—is therefore central because these assets determine what people are </w:t>
      </w:r>
      <w:proofErr w:type="gramStart"/>
      <w:r w:rsidRPr="00905C4D">
        <w:t>actually able</w:t>
      </w:r>
      <w:proofErr w:type="gramEnd"/>
      <w:r w:rsidRPr="00905C4D">
        <w:t xml:space="preserve"> to do and become, rather than merely what income they earn at a given moment.</w:t>
      </w:r>
    </w:p>
    <w:p w14:paraId="4FACE150" w14:textId="1018CCBF" w:rsidR="008612F1" w:rsidRDefault="008612F1" w:rsidP="006A61A1">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491909">
    <w:abstractNumId w:val="8"/>
  </w:num>
  <w:num w:numId="2" w16cid:durableId="491022908">
    <w:abstractNumId w:val="6"/>
  </w:num>
  <w:num w:numId="3" w16cid:durableId="1577131424">
    <w:abstractNumId w:val="5"/>
  </w:num>
  <w:num w:numId="4" w16cid:durableId="1221088805">
    <w:abstractNumId w:val="4"/>
  </w:num>
  <w:num w:numId="5" w16cid:durableId="1044715270">
    <w:abstractNumId w:val="7"/>
  </w:num>
  <w:num w:numId="6" w16cid:durableId="1293444327">
    <w:abstractNumId w:val="3"/>
  </w:num>
  <w:num w:numId="7" w16cid:durableId="2115468007">
    <w:abstractNumId w:val="2"/>
  </w:num>
  <w:num w:numId="8" w16cid:durableId="1644457605">
    <w:abstractNumId w:val="1"/>
  </w:num>
  <w:num w:numId="9" w16cid:durableId="27991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D9"/>
    <w:rsid w:val="000149E6"/>
    <w:rsid w:val="00020B16"/>
    <w:rsid w:val="00034616"/>
    <w:rsid w:val="0006063C"/>
    <w:rsid w:val="001041D2"/>
    <w:rsid w:val="00131812"/>
    <w:rsid w:val="001376B5"/>
    <w:rsid w:val="0015074B"/>
    <w:rsid w:val="00154DE6"/>
    <w:rsid w:val="0019378D"/>
    <w:rsid w:val="00204FA5"/>
    <w:rsid w:val="00213C4D"/>
    <w:rsid w:val="002450A1"/>
    <w:rsid w:val="00283CE9"/>
    <w:rsid w:val="0029639D"/>
    <w:rsid w:val="002A0D52"/>
    <w:rsid w:val="00326F90"/>
    <w:rsid w:val="00353941"/>
    <w:rsid w:val="003A4FB6"/>
    <w:rsid w:val="003F2452"/>
    <w:rsid w:val="003F7A30"/>
    <w:rsid w:val="00430D41"/>
    <w:rsid w:val="0053268C"/>
    <w:rsid w:val="00545DEB"/>
    <w:rsid w:val="00561080"/>
    <w:rsid w:val="005963F4"/>
    <w:rsid w:val="005D46EA"/>
    <w:rsid w:val="005E096A"/>
    <w:rsid w:val="00682F2F"/>
    <w:rsid w:val="00686215"/>
    <w:rsid w:val="006A61A1"/>
    <w:rsid w:val="006D0867"/>
    <w:rsid w:val="006F35C0"/>
    <w:rsid w:val="006F3C76"/>
    <w:rsid w:val="00703162"/>
    <w:rsid w:val="00763F8A"/>
    <w:rsid w:val="00781225"/>
    <w:rsid w:val="007A2EFC"/>
    <w:rsid w:val="007B7BB1"/>
    <w:rsid w:val="008612F1"/>
    <w:rsid w:val="008A3A5F"/>
    <w:rsid w:val="008D3878"/>
    <w:rsid w:val="008D7091"/>
    <w:rsid w:val="00905C4D"/>
    <w:rsid w:val="0092774E"/>
    <w:rsid w:val="00961C96"/>
    <w:rsid w:val="009B1CF2"/>
    <w:rsid w:val="009B76A7"/>
    <w:rsid w:val="00A41552"/>
    <w:rsid w:val="00A605B9"/>
    <w:rsid w:val="00A65D8E"/>
    <w:rsid w:val="00AA1D8D"/>
    <w:rsid w:val="00AC2E15"/>
    <w:rsid w:val="00AE48F2"/>
    <w:rsid w:val="00B07E31"/>
    <w:rsid w:val="00B34162"/>
    <w:rsid w:val="00B47730"/>
    <w:rsid w:val="00B662A0"/>
    <w:rsid w:val="00B80D57"/>
    <w:rsid w:val="00B87A87"/>
    <w:rsid w:val="00BC4D15"/>
    <w:rsid w:val="00CB0664"/>
    <w:rsid w:val="00D41C22"/>
    <w:rsid w:val="00DA21F8"/>
    <w:rsid w:val="00DA44AB"/>
    <w:rsid w:val="00DF268E"/>
    <w:rsid w:val="00E358C9"/>
    <w:rsid w:val="00E70F52"/>
    <w:rsid w:val="00EC07B6"/>
    <w:rsid w:val="00EC6655"/>
    <w:rsid w:val="00F64D29"/>
    <w:rsid w:val="00F80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C17BF8-9D37-4CFB-9083-9B204887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1A1"/>
    <w:pPr>
      <w:spacing w:after="240" w:line="264" w:lineRule="auto"/>
    </w:pPr>
    <w:rPr>
      <w:rFonts w:ascii="Calibri" w:hAnsi="Calibri"/>
    </w:rPr>
  </w:style>
  <w:style w:type="paragraph" w:styleId="Heading1">
    <w:name w:val="heading 1"/>
    <w:basedOn w:val="Normal"/>
    <w:next w:val="Normal"/>
    <w:link w:val="Heading1Char"/>
    <w:uiPriority w:val="9"/>
    <w:qFormat/>
    <w:rsid w:val="00AE48F2"/>
    <w:pPr>
      <w:keepNext/>
      <w:keepLines/>
      <w:spacing w:before="120" w:after="120"/>
      <w:outlineLvl w:val="0"/>
    </w:pPr>
    <w:rPr>
      <w:rFonts w:asciiTheme="majorHAnsi" w:eastAsiaTheme="majorEastAsia" w:hAnsiTheme="majorHAnsi" w:cstheme="majorBidi"/>
      <w:b/>
      <w:bCs/>
      <w:color w:val="000000" w:themeColor="text1"/>
      <w:sz w:val="28"/>
      <w:szCs w:val="28"/>
      <w:u w:val="single"/>
    </w:rPr>
  </w:style>
  <w:style w:type="paragraph" w:styleId="Heading2">
    <w:name w:val="heading 2"/>
    <w:basedOn w:val="Normal"/>
    <w:next w:val="Normal"/>
    <w:link w:val="Heading2Char"/>
    <w:uiPriority w:val="9"/>
    <w:unhideWhenUsed/>
    <w:qFormat/>
    <w:rsid w:val="00AE48F2"/>
    <w:pPr>
      <w:keepNext/>
      <w:keepLines/>
      <w:spacing w:before="120" w:after="120"/>
      <w:outlineLvl w:val="1"/>
    </w:pPr>
    <w:rPr>
      <w:rFonts w:asciiTheme="majorHAnsi" w:eastAsiaTheme="majorEastAsia" w:hAnsiTheme="majorHAnsi" w:cstheme="majorBidi"/>
      <w:b/>
      <w:bCs/>
      <w:i/>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E48F2"/>
    <w:rPr>
      <w:rFonts w:asciiTheme="majorHAnsi" w:eastAsiaTheme="majorEastAsia" w:hAnsiTheme="majorHAnsi" w:cstheme="majorBidi"/>
      <w:b/>
      <w:bCs/>
      <w:color w:val="000000" w:themeColor="text1"/>
      <w:sz w:val="28"/>
      <w:szCs w:val="28"/>
      <w:u w:val="single"/>
    </w:rPr>
  </w:style>
  <w:style w:type="character" w:customStyle="1" w:styleId="Heading2Char">
    <w:name w:val="Heading 2 Char"/>
    <w:basedOn w:val="DefaultParagraphFont"/>
    <w:link w:val="Heading2"/>
    <w:uiPriority w:val="9"/>
    <w:rsid w:val="00AE48F2"/>
    <w:rPr>
      <w:rFonts w:asciiTheme="majorHAnsi" w:eastAsiaTheme="majorEastAsia" w:hAnsiTheme="majorHAnsi" w:cstheme="majorBidi"/>
      <w:b/>
      <w:bCs/>
      <w:i/>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unhideWhenUsed/>
    <w:rsid w:val="008612F1"/>
    <w:pPr>
      <w:spacing w:after="0" w:line="240" w:lineRule="auto"/>
    </w:pPr>
    <w:rPr>
      <w:sz w:val="20"/>
      <w:szCs w:val="20"/>
    </w:rPr>
  </w:style>
  <w:style w:type="character" w:customStyle="1" w:styleId="FootnoteTextChar">
    <w:name w:val="Footnote Text Char"/>
    <w:basedOn w:val="DefaultParagraphFont"/>
    <w:link w:val="FootnoteText"/>
    <w:uiPriority w:val="99"/>
    <w:rsid w:val="008612F1"/>
    <w:rPr>
      <w:rFonts w:ascii="Calibri" w:hAnsi="Calibri"/>
      <w:sz w:val="20"/>
      <w:szCs w:val="20"/>
    </w:rPr>
  </w:style>
  <w:style w:type="character" w:styleId="FootnoteReference">
    <w:name w:val="footnote reference"/>
    <w:basedOn w:val="DefaultParagraphFont"/>
    <w:uiPriority w:val="99"/>
    <w:semiHidden/>
    <w:unhideWhenUsed/>
    <w:rsid w:val="008612F1"/>
    <w:rPr>
      <w:vertAlign w:val="superscript"/>
    </w:rPr>
  </w:style>
  <w:style w:type="paragraph" w:styleId="NormalWeb">
    <w:name w:val="Normal (Web)"/>
    <w:basedOn w:val="Normal"/>
    <w:uiPriority w:val="99"/>
    <w:semiHidden/>
    <w:unhideWhenUsed/>
    <w:rsid w:val="008612F1"/>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14</Pages>
  <Words>6571</Words>
  <Characters>37458</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Kohl</cp:lastModifiedBy>
  <cp:revision>56</cp:revision>
  <dcterms:created xsi:type="dcterms:W3CDTF">2026-06-23T18:24:00Z</dcterms:created>
  <dcterms:modified xsi:type="dcterms:W3CDTF">2026-06-24T04:05:00Z</dcterms:modified>
  <cp:category/>
</cp:coreProperties>
</file>