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E3290" w14:textId="77777777" w:rsidR="00F73812" w:rsidRDefault="00EB35F6">
      <w:pPr>
        <w:jc w:val="center"/>
        <w:rPr>
          <w:b/>
          <w:sz w:val="26"/>
        </w:rPr>
      </w:pPr>
      <w:r>
        <w:rPr>
          <w:b/>
          <w:sz w:val="32"/>
        </w:rPr>
        <w:t>Revised Coaching Analysis for the CGIAR S4I Scaling Solution</w:t>
      </w:r>
      <w:r>
        <w:rPr>
          <w:b/>
          <w:sz w:val="32"/>
        </w:rPr>
        <w:br/>
      </w:r>
      <w:r w:rsidRPr="00F73812">
        <w:rPr>
          <w:b/>
          <w:i/>
          <w:iCs/>
          <w:sz w:val="26"/>
        </w:rPr>
        <w:t>Bundled Digital Financial Services and Picture-Based Crop Insurance for Smallholder Farmers in Kenya</w:t>
      </w:r>
      <w:r w:rsidR="00F73812" w:rsidRPr="00F73812">
        <w:rPr>
          <w:b/>
          <w:i/>
          <w:iCs/>
          <w:sz w:val="26"/>
        </w:rPr>
        <w:t xml:space="preserve"> and India</w:t>
      </w:r>
    </w:p>
    <w:p w14:paraId="0CF4A6B3" w14:textId="43C8E893" w:rsidR="00F73812" w:rsidRPr="00F73812" w:rsidRDefault="00EB35F6">
      <w:pPr>
        <w:jc w:val="center"/>
        <w:rPr>
          <w:i/>
          <w:iCs/>
          <w:sz w:val="24"/>
          <w:szCs w:val="20"/>
        </w:rPr>
      </w:pPr>
      <w:r w:rsidRPr="00F73812">
        <w:rPr>
          <w:i/>
          <w:iCs/>
          <w:sz w:val="24"/>
          <w:szCs w:val="20"/>
        </w:rPr>
        <w:t xml:space="preserve">ACRE Africa, IFPRI, and Alliance </w:t>
      </w:r>
      <w:proofErr w:type="spellStart"/>
      <w:r w:rsidRPr="00F73812">
        <w:rPr>
          <w:i/>
          <w:iCs/>
          <w:sz w:val="24"/>
          <w:szCs w:val="20"/>
        </w:rPr>
        <w:t>Bioversity</w:t>
      </w:r>
      <w:proofErr w:type="spellEnd"/>
      <w:r w:rsidRPr="00F73812">
        <w:rPr>
          <w:i/>
          <w:iCs/>
          <w:sz w:val="24"/>
          <w:szCs w:val="20"/>
        </w:rPr>
        <w:t>-CIAT</w:t>
      </w:r>
    </w:p>
    <w:p w14:paraId="1F1F2E94" w14:textId="0D8F33A9" w:rsidR="002D3BFA" w:rsidRDefault="00F73812">
      <w:pPr>
        <w:jc w:val="center"/>
      </w:pPr>
      <w:r>
        <w:t>Submitted to the CGIAR Scaling for Impact program</w:t>
      </w:r>
    </w:p>
    <w:p w14:paraId="082C335C" w14:textId="7BE1DC9A" w:rsidR="00F73812" w:rsidRDefault="00F73812">
      <w:pPr>
        <w:jc w:val="center"/>
      </w:pPr>
      <w:proofErr w:type="gramStart"/>
      <w:r>
        <w:t>By</w:t>
      </w:r>
      <w:proofErr w:type="gramEnd"/>
    </w:p>
    <w:p w14:paraId="79CAC4D7" w14:textId="14FC8FFB" w:rsidR="00F73812" w:rsidRPr="00F73812" w:rsidRDefault="00F73812">
      <w:pPr>
        <w:jc w:val="center"/>
      </w:pPr>
      <w:r w:rsidRPr="00F73812">
        <w:t>Dr. Richard Kohl</w:t>
      </w:r>
      <w:r w:rsidRPr="00F73812">
        <w:br/>
        <w:t>Strategy and S</w:t>
      </w:r>
      <w:r>
        <w:t>cale LLC</w:t>
      </w:r>
    </w:p>
    <w:p w14:paraId="0A4AB0F2" w14:textId="73F0AE02" w:rsidR="002D3BFA" w:rsidRPr="00F73812" w:rsidRDefault="00EB35F6">
      <w:pPr>
        <w:jc w:val="center"/>
      </w:pPr>
      <w:r w:rsidRPr="00F73812">
        <w:rPr>
          <w:sz w:val="24"/>
        </w:rPr>
        <w:t xml:space="preserve">June </w:t>
      </w:r>
      <w:r w:rsidR="00F73812" w:rsidRPr="00F73812">
        <w:rPr>
          <w:sz w:val="24"/>
        </w:rPr>
        <w:t>23</w:t>
      </w:r>
      <w:r w:rsidRPr="00F73812">
        <w:rPr>
          <w:sz w:val="24"/>
        </w:rPr>
        <w:t>, 2026</w:t>
      </w:r>
    </w:p>
    <w:p w14:paraId="6E72EAD6" w14:textId="77777777" w:rsidR="002D3BFA" w:rsidRDefault="00EB35F6" w:rsidP="001B10B6">
      <w:pPr>
        <w:pStyle w:val="Heading1"/>
      </w:pPr>
      <w:r>
        <w:t xml:space="preserve">Executive </w:t>
      </w:r>
      <w:r w:rsidRPr="001B10B6">
        <w:t>Summary</w:t>
      </w:r>
    </w:p>
    <w:p w14:paraId="13546FA4" w14:textId="77777777" w:rsidR="00F73812" w:rsidRPr="00F73812" w:rsidRDefault="00EB35F6" w:rsidP="00F73812">
      <w:pPr>
        <w:pStyle w:val="Heading2"/>
      </w:pPr>
      <w:r w:rsidRPr="001B10B6">
        <w:t xml:space="preserve">What is going well: </w:t>
      </w:r>
    </w:p>
    <w:p w14:paraId="49A7F30D" w14:textId="70867A14" w:rsidR="002D3BFA" w:rsidRPr="001B10B6" w:rsidRDefault="00F73812" w:rsidP="00F73812">
      <w:pPr>
        <w:pStyle w:val="ListBullet"/>
        <w:numPr>
          <w:ilvl w:val="0"/>
          <w:numId w:val="10"/>
        </w:numPr>
        <w:spacing w:after="120"/>
        <w:contextualSpacing w:val="0"/>
        <w:rPr>
          <w:sz w:val="22"/>
          <w:szCs w:val="24"/>
        </w:rPr>
      </w:pPr>
      <w:r w:rsidRPr="00F73812">
        <w:rPr>
          <w:bCs/>
          <w:sz w:val="22"/>
          <w:szCs w:val="24"/>
          <w:u w:val="single"/>
        </w:rPr>
        <w:t>A</w:t>
      </w:r>
      <w:r w:rsidR="00EB35F6" w:rsidRPr="00F73812">
        <w:rPr>
          <w:bCs/>
          <w:sz w:val="22"/>
          <w:szCs w:val="24"/>
          <w:u w:val="single"/>
        </w:rPr>
        <w:t xml:space="preserve"> serious problem-solution </w:t>
      </w:r>
      <w:proofErr w:type="gramStart"/>
      <w:r w:rsidR="00EB35F6" w:rsidRPr="00F73812">
        <w:rPr>
          <w:bCs/>
          <w:sz w:val="22"/>
          <w:szCs w:val="24"/>
          <w:u w:val="single"/>
        </w:rPr>
        <w:t>fit</w:t>
      </w:r>
      <w:proofErr w:type="gramEnd"/>
      <w:r w:rsidR="00EB35F6" w:rsidRPr="001B10B6">
        <w:rPr>
          <w:b/>
          <w:sz w:val="22"/>
          <w:szCs w:val="24"/>
        </w:rPr>
        <w:t xml:space="preserve">. </w:t>
      </w:r>
      <w:r w:rsidR="00EB35F6" w:rsidRPr="001B10B6">
        <w:rPr>
          <w:sz w:val="22"/>
          <w:szCs w:val="24"/>
        </w:rPr>
        <w:t xml:space="preserve">The ACRE/IFPRI scaling solution addresses one of the real binding constraints in smallholder commercialization: farmers cannot invest in higher-productivity agriculture when </w:t>
      </w:r>
      <w:r w:rsidR="00394B45" w:rsidRPr="001B10B6">
        <w:rPr>
          <w:sz w:val="22"/>
          <w:szCs w:val="24"/>
        </w:rPr>
        <w:t xml:space="preserve">finance is either unavailable or too expensive because of </w:t>
      </w:r>
      <w:r w:rsidR="00EB35F6" w:rsidRPr="001B10B6">
        <w:rPr>
          <w:sz w:val="22"/>
          <w:szCs w:val="24"/>
        </w:rPr>
        <w:t xml:space="preserve">climate risk, credit rationing, </w:t>
      </w:r>
      <w:r w:rsidR="00394B45" w:rsidRPr="001B10B6">
        <w:rPr>
          <w:sz w:val="22"/>
          <w:szCs w:val="24"/>
        </w:rPr>
        <w:t xml:space="preserve">and </w:t>
      </w:r>
      <w:r w:rsidR="00EB35F6" w:rsidRPr="001B10B6">
        <w:rPr>
          <w:sz w:val="22"/>
          <w:szCs w:val="24"/>
        </w:rPr>
        <w:t>weak collateral. The solution is not merely a digital tool; it create</w:t>
      </w:r>
      <w:r w:rsidR="003D7087" w:rsidRPr="001B10B6">
        <w:rPr>
          <w:sz w:val="22"/>
          <w:szCs w:val="24"/>
        </w:rPr>
        <w:t>s</w:t>
      </w:r>
      <w:r w:rsidR="00EB35F6" w:rsidRPr="001B10B6">
        <w:rPr>
          <w:sz w:val="22"/>
          <w:szCs w:val="24"/>
        </w:rPr>
        <w:t xml:space="preserve"> a more functional risk-management and finance market around smallholders.</w:t>
      </w:r>
    </w:p>
    <w:p w14:paraId="4B24155C" w14:textId="72064C4C" w:rsidR="002D3BFA" w:rsidRPr="001B10B6" w:rsidRDefault="00EB35F6" w:rsidP="00F73812">
      <w:pPr>
        <w:pStyle w:val="ListBullet"/>
        <w:numPr>
          <w:ilvl w:val="0"/>
          <w:numId w:val="10"/>
        </w:numPr>
        <w:spacing w:after="120"/>
        <w:contextualSpacing w:val="0"/>
        <w:rPr>
          <w:sz w:val="22"/>
          <w:szCs w:val="24"/>
        </w:rPr>
      </w:pPr>
      <w:r w:rsidRPr="00F73812">
        <w:rPr>
          <w:bCs/>
          <w:sz w:val="22"/>
          <w:szCs w:val="24"/>
          <w:u w:val="single"/>
        </w:rPr>
        <w:t>ACRE has accumulated a rare and valuable body of product and market learning</w:t>
      </w:r>
      <w:r w:rsidRPr="001B10B6">
        <w:rPr>
          <w:b/>
          <w:sz w:val="22"/>
          <w:szCs w:val="24"/>
        </w:rPr>
        <w:t xml:space="preserve">. </w:t>
      </w:r>
      <w:r w:rsidRPr="001B10B6">
        <w:rPr>
          <w:sz w:val="22"/>
          <w:szCs w:val="24"/>
        </w:rPr>
        <w:t xml:space="preserve">ACRE is not starting from scratch. The trajectory from </w:t>
      </w:r>
      <w:proofErr w:type="gramStart"/>
      <w:r w:rsidRPr="001B10B6">
        <w:rPr>
          <w:sz w:val="22"/>
          <w:szCs w:val="24"/>
        </w:rPr>
        <w:t>scratch-card</w:t>
      </w:r>
      <w:proofErr w:type="gramEnd"/>
      <w:r w:rsidRPr="001B10B6">
        <w:rPr>
          <w:sz w:val="22"/>
          <w:szCs w:val="24"/>
        </w:rPr>
        <w:t xml:space="preserve"> seed insurance, weather-station index products, satellite-based insurance, and now TARA </w:t>
      </w:r>
      <w:r w:rsidR="00DE137A" w:rsidRPr="001B10B6">
        <w:rPr>
          <w:sz w:val="22"/>
          <w:szCs w:val="24"/>
        </w:rPr>
        <w:t xml:space="preserve">-- a </w:t>
      </w:r>
      <w:r w:rsidR="00DE137A" w:rsidRPr="001B10B6">
        <w:rPr>
          <w:b/>
          <w:bCs/>
          <w:sz w:val="22"/>
          <w:szCs w:val="24"/>
        </w:rPr>
        <w:t>digital agricultural risk analytics platform</w:t>
      </w:r>
      <w:r w:rsidR="00614C4A" w:rsidRPr="001B10B6">
        <w:rPr>
          <w:b/>
          <w:bCs/>
          <w:sz w:val="22"/>
          <w:szCs w:val="24"/>
        </w:rPr>
        <w:t xml:space="preserve"> -- </w:t>
      </w:r>
      <w:r w:rsidRPr="001B10B6">
        <w:rPr>
          <w:sz w:val="22"/>
          <w:szCs w:val="24"/>
        </w:rPr>
        <w:t>and picture-based insurance gives the team more practical knowledge insurance operations than most agricultural insurance projects in Africa. The acquisition by ZEP-RE give</w:t>
      </w:r>
      <w:r w:rsidR="00CA075F" w:rsidRPr="001B10B6">
        <w:rPr>
          <w:sz w:val="22"/>
          <w:szCs w:val="24"/>
        </w:rPr>
        <w:t>s</w:t>
      </w:r>
      <w:r w:rsidRPr="001B10B6">
        <w:rPr>
          <w:sz w:val="22"/>
          <w:szCs w:val="24"/>
        </w:rPr>
        <w:t xml:space="preserve"> ACRE a credible institutional base for regional expansion, even though it is not itself an underwriter.</w:t>
      </w:r>
    </w:p>
    <w:p w14:paraId="425449E1" w14:textId="76A9E356" w:rsidR="002D3BFA" w:rsidRPr="001B10B6" w:rsidRDefault="00EB35F6" w:rsidP="00F73812">
      <w:pPr>
        <w:pStyle w:val="ListBullet"/>
        <w:numPr>
          <w:ilvl w:val="0"/>
          <w:numId w:val="10"/>
        </w:numPr>
        <w:spacing w:after="120"/>
        <w:contextualSpacing w:val="0"/>
        <w:rPr>
          <w:sz w:val="22"/>
          <w:szCs w:val="24"/>
        </w:rPr>
      </w:pPr>
      <w:r w:rsidRPr="00F73812">
        <w:rPr>
          <w:bCs/>
          <w:sz w:val="22"/>
          <w:szCs w:val="24"/>
          <w:u w:val="single"/>
        </w:rPr>
        <w:t>TARA is a potentially valuable market-creation tool, not just an insurance product</w:t>
      </w:r>
      <w:r w:rsidRPr="001B10B6">
        <w:rPr>
          <w:b/>
          <w:sz w:val="22"/>
          <w:szCs w:val="24"/>
        </w:rPr>
        <w:t xml:space="preserve">. </w:t>
      </w:r>
      <w:r w:rsidRPr="001B10B6">
        <w:rPr>
          <w:sz w:val="22"/>
          <w:szCs w:val="24"/>
        </w:rPr>
        <w:t>The most promising part of the Kenya pathway is that TARA can translate climate, crop suitability, season monitoring, advisory, and potentially picture-based data into risk information that lenders, insurers, and farmers can use. This matters because the product is unlikely to scale through farmer education alone. The more plausible pathway is to make agricultural risk visible, priced, bundled, and actionable for institutions that already have distribution channels and an economic reason to manage risk</w:t>
      </w:r>
      <w:r w:rsidR="003D7D58" w:rsidRPr="001B10B6">
        <w:rPr>
          <w:sz w:val="22"/>
          <w:szCs w:val="24"/>
        </w:rPr>
        <w:t>, whether finance providers, contract farmers, the public sector or input producers</w:t>
      </w:r>
      <w:r w:rsidRPr="001B10B6">
        <w:rPr>
          <w:sz w:val="22"/>
          <w:szCs w:val="24"/>
        </w:rPr>
        <w:t>.</w:t>
      </w:r>
    </w:p>
    <w:p w14:paraId="28A8050B" w14:textId="5DB80A44" w:rsidR="00F73812" w:rsidRPr="00F73812" w:rsidRDefault="00EB35F6" w:rsidP="00F73812">
      <w:pPr>
        <w:pStyle w:val="Heading2"/>
      </w:pPr>
      <w:r w:rsidRPr="001B10B6">
        <w:t>Main concern</w:t>
      </w:r>
      <w:r w:rsidR="00F73812">
        <w:t>s</w:t>
      </w:r>
      <w:r w:rsidRPr="001B10B6">
        <w:t>:</w:t>
      </w:r>
    </w:p>
    <w:p w14:paraId="36A32650" w14:textId="031C0DC6" w:rsidR="002D3BFA" w:rsidRPr="001B10B6" w:rsidRDefault="00EB35F6" w:rsidP="00EF17E6">
      <w:pPr>
        <w:pStyle w:val="ListBullet"/>
        <w:numPr>
          <w:ilvl w:val="0"/>
          <w:numId w:val="11"/>
        </w:numPr>
        <w:spacing w:after="120"/>
        <w:contextualSpacing w:val="0"/>
        <w:rPr>
          <w:sz w:val="22"/>
          <w:szCs w:val="24"/>
        </w:rPr>
      </w:pPr>
      <w:r w:rsidRPr="001B10B6">
        <w:rPr>
          <w:b/>
          <w:sz w:val="22"/>
          <w:szCs w:val="24"/>
        </w:rPr>
        <w:t xml:space="preserve"> </w:t>
      </w:r>
      <w:r w:rsidR="00F73812" w:rsidRPr="00EF17E6">
        <w:rPr>
          <w:bCs/>
          <w:sz w:val="22"/>
          <w:szCs w:val="24"/>
          <w:u w:val="single"/>
        </w:rPr>
        <w:t>T</w:t>
      </w:r>
      <w:r w:rsidRPr="00EF17E6">
        <w:rPr>
          <w:bCs/>
          <w:sz w:val="22"/>
          <w:szCs w:val="24"/>
          <w:u w:val="single"/>
        </w:rPr>
        <w:t xml:space="preserve">he Kenya </w:t>
      </w:r>
      <w:r w:rsidR="00F73812" w:rsidRPr="00EF17E6">
        <w:rPr>
          <w:bCs/>
          <w:sz w:val="22"/>
          <w:szCs w:val="24"/>
          <w:u w:val="single"/>
        </w:rPr>
        <w:t xml:space="preserve">scaling </w:t>
      </w:r>
      <w:r w:rsidRPr="00EF17E6">
        <w:rPr>
          <w:bCs/>
          <w:sz w:val="22"/>
          <w:szCs w:val="24"/>
          <w:u w:val="single"/>
        </w:rPr>
        <w:t>pathway exposes a fundamental incentive problem with lenders</w:t>
      </w:r>
      <w:r w:rsidR="00F73812" w:rsidRPr="00EF17E6">
        <w:rPr>
          <w:bCs/>
          <w:sz w:val="22"/>
          <w:szCs w:val="24"/>
          <w:u w:val="single"/>
        </w:rPr>
        <w:t xml:space="preserve"> and therefore the viability of that scaling pathway itself</w:t>
      </w:r>
      <w:r w:rsidRPr="001B10B6">
        <w:rPr>
          <w:b/>
          <w:sz w:val="22"/>
          <w:szCs w:val="24"/>
        </w:rPr>
        <w:t xml:space="preserve">. </w:t>
      </w:r>
      <w:r w:rsidRPr="001B10B6">
        <w:rPr>
          <w:sz w:val="22"/>
          <w:szCs w:val="24"/>
        </w:rPr>
        <w:t xml:space="preserve">Kenyan financial institutions often already protect themselves through SACCO collateral, social guarantors, savings, group liability, and conservative lending practices. If banks and SACCOs already feel protected against individual default, the value proposition of crop insurance to them is weaker than the </w:t>
      </w:r>
      <w:r w:rsidR="0086675D" w:rsidRPr="001B10B6">
        <w:rPr>
          <w:sz w:val="22"/>
          <w:szCs w:val="24"/>
        </w:rPr>
        <w:t xml:space="preserve">ACRE and the </w:t>
      </w:r>
      <w:r w:rsidRPr="001B10B6">
        <w:rPr>
          <w:sz w:val="22"/>
          <w:szCs w:val="24"/>
        </w:rPr>
        <w:t xml:space="preserve">project </w:t>
      </w:r>
      <w:r w:rsidR="0086675D" w:rsidRPr="001B10B6">
        <w:rPr>
          <w:sz w:val="22"/>
          <w:szCs w:val="24"/>
        </w:rPr>
        <w:t>seem to</w:t>
      </w:r>
      <w:r w:rsidRPr="001B10B6">
        <w:rPr>
          <w:sz w:val="22"/>
          <w:szCs w:val="24"/>
        </w:rPr>
        <w:t xml:space="preserve"> have assumed. </w:t>
      </w:r>
      <w:r w:rsidR="00832469" w:rsidRPr="001B10B6">
        <w:rPr>
          <w:sz w:val="22"/>
          <w:szCs w:val="24"/>
        </w:rPr>
        <w:t xml:space="preserve">This undermines one of the incentives for them to invest in creating a viable market and business line. </w:t>
      </w:r>
      <w:r w:rsidRPr="001B10B6">
        <w:rPr>
          <w:sz w:val="22"/>
          <w:szCs w:val="24"/>
        </w:rPr>
        <w:t xml:space="preserve">Unless insurance allows lenders to expand the customer base, reduce collateral, reduce interest rates, lend into riskier crops or geographies, or protect against systemic losses, </w:t>
      </w:r>
      <w:r w:rsidR="00D7517C" w:rsidRPr="001B10B6">
        <w:rPr>
          <w:sz w:val="22"/>
          <w:szCs w:val="24"/>
        </w:rPr>
        <w:t xml:space="preserve">it seems likely </w:t>
      </w:r>
      <w:r w:rsidRPr="001B10B6">
        <w:rPr>
          <w:sz w:val="22"/>
          <w:szCs w:val="24"/>
        </w:rPr>
        <w:t xml:space="preserve">they </w:t>
      </w:r>
      <w:r w:rsidR="00D7517C" w:rsidRPr="001B10B6">
        <w:rPr>
          <w:sz w:val="22"/>
          <w:szCs w:val="24"/>
        </w:rPr>
        <w:t>will continue to</w:t>
      </w:r>
      <w:r w:rsidRPr="001B10B6">
        <w:rPr>
          <w:sz w:val="22"/>
          <w:szCs w:val="24"/>
        </w:rPr>
        <w:t xml:space="preserve"> offer the product without actively marketing or scaling it.</w:t>
      </w:r>
    </w:p>
    <w:p w14:paraId="2C01A248" w14:textId="795F688E" w:rsidR="002D3BFA" w:rsidRPr="001B10B6" w:rsidRDefault="00EF17E6" w:rsidP="00EF17E6">
      <w:pPr>
        <w:pStyle w:val="ListBullet"/>
        <w:numPr>
          <w:ilvl w:val="0"/>
          <w:numId w:val="11"/>
        </w:numPr>
        <w:spacing w:after="120"/>
        <w:contextualSpacing w:val="0"/>
        <w:rPr>
          <w:sz w:val="22"/>
          <w:szCs w:val="24"/>
        </w:rPr>
      </w:pPr>
      <w:r w:rsidRPr="00EF17E6">
        <w:rPr>
          <w:bCs/>
          <w:sz w:val="22"/>
          <w:szCs w:val="24"/>
          <w:u w:val="single"/>
        </w:rPr>
        <w:lastRenderedPageBreak/>
        <w:t>T</w:t>
      </w:r>
      <w:r w:rsidR="00EB35F6" w:rsidRPr="00EF17E6">
        <w:rPr>
          <w:bCs/>
          <w:sz w:val="22"/>
          <w:szCs w:val="24"/>
          <w:u w:val="single"/>
        </w:rPr>
        <w:t>he business case is still not strong enough for the actors who must scale it</w:t>
      </w:r>
      <w:r w:rsidRPr="00EF17E6">
        <w:rPr>
          <w:bCs/>
          <w:sz w:val="22"/>
          <w:szCs w:val="24"/>
          <w:u w:val="single"/>
        </w:rPr>
        <w:t xml:space="preserve"> in the current approach</w:t>
      </w:r>
      <w:r w:rsidR="00EB35F6" w:rsidRPr="001B10B6">
        <w:rPr>
          <w:b/>
          <w:sz w:val="22"/>
          <w:szCs w:val="24"/>
        </w:rPr>
        <w:t xml:space="preserve">. </w:t>
      </w:r>
      <w:r w:rsidR="00EB35F6" w:rsidRPr="001B10B6">
        <w:rPr>
          <w:sz w:val="22"/>
          <w:szCs w:val="24"/>
        </w:rPr>
        <w:t xml:space="preserve">The central scaling question is not whether farmers need insurance. It is whether insurers, reinsurers, lenders, aggregators, input suppliers, output buyers, and government have enough incentive to invest in creating a mass market. </w:t>
      </w:r>
      <w:r>
        <w:rPr>
          <w:sz w:val="22"/>
          <w:szCs w:val="24"/>
        </w:rPr>
        <w:t xml:space="preserve">The current model bundles insurance with credit, such that the two scaling drivers should be banks and insurers.  </w:t>
      </w:r>
      <w:r w:rsidRPr="00EF17E6">
        <w:rPr>
          <w:sz w:val="22"/>
          <w:szCs w:val="24"/>
          <w:u w:val="single"/>
        </w:rPr>
        <w:t xml:space="preserve">They are currently not proactively marketing the insurance bundle with </w:t>
      </w:r>
      <w:proofErr w:type="gramStart"/>
      <w:r w:rsidRPr="00EF17E6">
        <w:rPr>
          <w:sz w:val="22"/>
          <w:szCs w:val="24"/>
          <w:u w:val="single"/>
        </w:rPr>
        <w:t>a goal</w:t>
      </w:r>
      <w:proofErr w:type="gramEnd"/>
      <w:r w:rsidRPr="00EF17E6">
        <w:rPr>
          <w:sz w:val="22"/>
          <w:szCs w:val="24"/>
          <w:u w:val="single"/>
        </w:rPr>
        <w:t xml:space="preserve"> of creating a large, growing and sustainable commercial market for that bundle or for crop insurance generally.</w:t>
      </w:r>
      <w:r>
        <w:rPr>
          <w:sz w:val="22"/>
          <w:szCs w:val="24"/>
        </w:rPr>
        <w:t xml:space="preserve"> </w:t>
      </w:r>
      <w:r w:rsidR="00EB35F6" w:rsidRPr="001B10B6">
        <w:rPr>
          <w:sz w:val="22"/>
          <w:szCs w:val="24"/>
        </w:rPr>
        <w:t>ACRE and IFPRI should be pressed to produce business cases for each potential scaling driver</w:t>
      </w:r>
      <w:r w:rsidR="00DA79AB" w:rsidRPr="001B10B6">
        <w:rPr>
          <w:sz w:val="22"/>
          <w:szCs w:val="24"/>
        </w:rPr>
        <w:t xml:space="preserve"> -- </w:t>
      </w:r>
      <w:r w:rsidR="00EB35F6" w:rsidRPr="001B10B6">
        <w:rPr>
          <w:sz w:val="22"/>
          <w:szCs w:val="24"/>
        </w:rPr>
        <w:t>insurer</w:t>
      </w:r>
      <w:r w:rsidR="00DA79AB" w:rsidRPr="001B10B6">
        <w:rPr>
          <w:sz w:val="22"/>
          <w:szCs w:val="24"/>
        </w:rPr>
        <w:t>s</w:t>
      </w:r>
      <w:r w:rsidR="00EB35F6" w:rsidRPr="001B10B6">
        <w:rPr>
          <w:sz w:val="22"/>
          <w:szCs w:val="24"/>
        </w:rPr>
        <w:t>, reinsurer</w:t>
      </w:r>
      <w:r w:rsidR="00DA79AB" w:rsidRPr="001B10B6">
        <w:rPr>
          <w:sz w:val="22"/>
          <w:szCs w:val="24"/>
        </w:rPr>
        <w:t>s</w:t>
      </w:r>
      <w:r w:rsidR="00EB35F6" w:rsidRPr="001B10B6">
        <w:rPr>
          <w:sz w:val="22"/>
          <w:szCs w:val="24"/>
        </w:rPr>
        <w:t>, bank</w:t>
      </w:r>
      <w:r w:rsidR="00DA79AB" w:rsidRPr="001B10B6">
        <w:rPr>
          <w:sz w:val="22"/>
          <w:szCs w:val="24"/>
        </w:rPr>
        <w:t>s</w:t>
      </w:r>
      <w:r w:rsidR="00EB35F6" w:rsidRPr="001B10B6">
        <w:rPr>
          <w:sz w:val="22"/>
          <w:szCs w:val="24"/>
        </w:rPr>
        <w:t>, SACCO</w:t>
      </w:r>
      <w:r w:rsidR="00DA79AB" w:rsidRPr="001B10B6">
        <w:rPr>
          <w:sz w:val="22"/>
          <w:szCs w:val="24"/>
        </w:rPr>
        <w:t>s</w:t>
      </w:r>
      <w:r w:rsidR="00EB35F6" w:rsidRPr="001B10B6">
        <w:rPr>
          <w:sz w:val="22"/>
          <w:szCs w:val="24"/>
        </w:rPr>
        <w:t>, contract-farming buyer</w:t>
      </w:r>
      <w:r w:rsidR="00DA79AB" w:rsidRPr="001B10B6">
        <w:rPr>
          <w:sz w:val="22"/>
          <w:szCs w:val="24"/>
        </w:rPr>
        <w:t>s</w:t>
      </w:r>
      <w:r w:rsidR="00EB35F6" w:rsidRPr="001B10B6">
        <w:rPr>
          <w:sz w:val="22"/>
          <w:szCs w:val="24"/>
        </w:rPr>
        <w:t>, input compan</w:t>
      </w:r>
      <w:r w:rsidR="00DA79AB" w:rsidRPr="001B10B6">
        <w:rPr>
          <w:sz w:val="22"/>
          <w:szCs w:val="24"/>
        </w:rPr>
        <w:t>ies</w:t>
      </w:r>
      <w:r w:rsidR="00EB35F6" w:rsidRPr="001B10B6">
        <w:rPr>
          <w:sz w:val="22"/>
          <w:szCs w:val="24"/>
        </w:rPr>
        <w:t xml:space="preserve">, government subsidy </w:t>
      </w:r>
      <w:proofErr w:type="gramStart"/>
      <w:r w:rsidR="00EB35F6" w:rsidRPr="001B10B6">
        <w:rPr>
          <w:sz w:val="22"/>
          <w:szCs w:val="24"/>
        </w:rPr>
        <w:t>program</w:t>
      </w:r>
      <w:proofErr w:type="gramEnd"/>
      <w:r w:rsidR="00EB35F6" w:rsidRPr="001B10B6">
        <w:rPr>
          <w:sz w:val="22"/>
          <w:szCs w:val="24"/>
        </w:rPr>
        <w:t>, and farmer</w:t>
      </w:r>
      <w:r w:rsidR="00DA79AB" w:rsidRPr="001B10B6">
        <w:rPr>
          <w:sz w:val="22"/>
          <w:szCs w:val="24"/>
        </w:rPr>
        <w:t>s</w:t>
      </w:r>
      <w:r w:rsidR="00EB35F6" w:rsidRPr="001B10B6">
        <w:rPr>
          <w:sz w:val="22"/>
          <w:szCs w:val="24"/>
        </w:rPr>
        <w:t xml:space="preserve">. </w:t>
      </w:r>
      <w:r w:rsidR="00DA79AB" w:rsidRPr="001B10B6">
        <w:rPr>
          <w:sz w:val="22"/>
          <w:szCs w:val="24"/>
        </w:rPr>
        <w:t xml:space="preserve">If the business case is not sufficiently compelling, then research is needed on what can be done to change that for the most promising driver – change the product, change financial accounting rules and regulations, or something else. </w:t>
      </w:r>
      <w:r w:rsidR="00EB35F6" w:rsidRPr="001B10B6">
        <w:rPr>
          <w:sz w:val="22"/>
          <w:szCs w:val="24"/>
        </w:rPr>
        <w:t>Without that actor-specific business case, the initiative risk</w:t>
      </w:r>
      <w:r w:rsidR="00EB35F6" w:rsidRPr="001B10B6">
        <w:rPr>
          <w:sz w:val="22"/>
          <w:szCs w:val="24"/>
        </w:rPr>
        <w:t xml:space="preserve">s </w:t>
      </w:r>
      <w:proofErr w:type="gramStart"/>
      <w:r w:rsidR="00EB35F6" w:rsidRPr="001B10B6">
        <w:rPr>
          <w:sz w:val="22"/>
          <w:szCs w:val="24"/>
        </w:rPr>
        <w:t>remaining</w:t>
      </w:r>
      <w:proofErr w:type="gramEnd"/>
      <w:r w:rsidR="00EB35F6" w:rsidRPr="001B10B6">
        <w:rPr>
          <w:sz w:val="22"/>
          <w:szCs w:val="24"/>
        </w:rPr>
        <w:t xml:space="preserve"> an excellent technical product without a self-propelling scaling engine.</w:t>
      </w:r>
    </w:p>
    <w:p w14:paraId="55BB681D" w14:textId="3CC883A4" w:rsidR="002D3BFA" w:rsidRPr="001B10B6" w:rsidRDefault="00EF17E6" w:rsidP="00EF17E6">
      <w:pPr>
        <w:pStyle w:val="ListBullet"/>
        <w:numPr>
          <w:ilvl w:val="0"/>
          <w:numId w:val="11"/>
        </w:numPr>
        <w:spacing w:after="120"/>
        <w:contextualSpacing w:val="0"/>
        <w:rPr>
          <w:sz w:val="22"/>
          <w:szCs w:val="24"/>
        </w:rPr>
      </w:pPr>
      <w:r w:rsidRPr="00EF17E6">
        <w:rPr>
          <w:bCs/>
          <w:sz w:val="22"/>
          <w:szCs w:val="24"/>
          <w:u w:val="single"/>
        </w:rPr>
        <w:t>T</w:t>
      </w:r>
      <w:r w:rsidR="00EB35F6" w:rsidRPr="00EF17E6">
        <w:rPr>
          <w:bCs/>
          <w:sz w:val="22"/>
          <w:szCs w:val="24"/>
          <w:u w:val="single"/>
        </w:rPr>
        <w:t xml:space="preserve">he ambition is </w:t>
      </w:r>
      <w:r w:rsidRPr="00EF17E6">
        <w:rPr>
          <w:b/>
          <w:sz w:val="22"/>
          <w:szCs w:val="24"/>
          <w:u w:val="single"/>
        </w:rPr>
        <w:t xml:space="preserve">way </w:t>
      </w:r>
      <w:r w:rsidR="00EB35F6" w:rsidRPr="00EF17E6">
        <w:rPr>
          <w:b/>
          <w:sz w:val="22"/>
          <w:szCs w:val="24"/>
          <w:u w:val="single"/>
        </w:rPr>
        <w:t>too small</w:t>
      </w:r>
      <w:r w:rsidR="00EB35F6" w:rsidRPr="00EF17E6">
        <w:rPr>
          <w:bCs/>
          <w:sz w:val="22"/>
          <w:szCs w:val="24"/>
          <w:u w:val="single"/>
        </w:rPr>
        <w:t xml:space="preserve"> for the market-creation problem</w:t>
      </w:r>
      <w:r w:rsidR="00EB35F6" w:rsidRPr="001B10B6">
        <w:rPr>
          <w:b/>
          <w:sz w:val="22"/>
          <w:szCs w:val="24"/>
        </w:rPr>
        <w:t xml:space="preserve">. </w:t>
      </w:r>
      <w:r w:rsidR="00EB35F6" w:rsidRPr="001B10B6">
        <w:rPr>
          <w:sz w:val="22"/>
          <w:szCs w:val="24"/>
        </w:rPr>
        <w:t xml:space="preserve">Targets such as 15,000 or 50,000 farmers can be useful for testing, learning, and de-risking, but they are not the scale at which agricultural insurance becomes a commercially compelling portfolio for underwriters and reinsurers. </w:t>
      </w:r>
      <w:r w:rsidR="00A40F4F" w:rsidRPr="001B10B6">
        <w:rPr>
          <w:sz w:val="22"/>
          <w:szCs w:val="24"/>
        </w:rPr>
        <w:t>As a viable</w:t>
      </w:r>
      <w:r w:rsidR="00EB35F6" w:rsidRPr="001B10B6">
        <w:rPr>
          <w:sz w:val="22"/>
          <w:szCs w:val="24"/>
        </w:rPr>
        <w:t xml:space="preserve"> </w:t>
      </w:r>
      <w:r w:rsidR="00A40F4F" w:rsidRPr="001B10B6">
        <w:rPr>
          <w:sz w:val="22"/>
          <w:szCs w:val="24"/>
        </w:rPr>
        <w:t xml:space="preserve">insurance </w:t>
      </w:r>
      <w:r w:rsidR="00EB35F6" w:rsidRPr="001B10B6">
        <w:rPr>
          <w:sz w:val="22"/>
          <w:szCs w:val="24"/>
        </w:rPr>
        <w:t xml:space="preserve">market requires hundreds of thousands or millions of insured farmers to generate diversification, data, premium volume, reinsurance appetite, and economies of administration, then the next S4I phase should be judged by whether it clarifies the </w:t>
      </w:r>
      <w:r w:rsidR="00923452" w:rsidRPr="001B10B6">
        <w:rPr>
          <w:sz w:val="22"/>
          <w:szCs w:val="24"/>
        </w:rPr>
        <w:t>pathway</w:t>
      </w:r>
      <w:r w:rsidR="00EB35F6" w:rsidRPr="001B10B6">
        <w:rPr>
          <w:sz w:val="22"/>
          <w:szCs w:val="24"/>
        </w:rPr>
        <w:t xml:space="preserve"> to tha</w:t>
      </w:r>
      <w:r w:rsidR="00EB35F6" w:rsidRPr="001B10B6">
        <w:rPr>
          <w:sz w:val="22"/>
          <w:szCs w:val="24"/>
        </w:rPr>
        <w:t>t market</w:t>
      </w:r>
      <w:r w:rsidR="00923452" w:rsidRPr="001B10B6">
        <w:rPr>
          <w:sz w:val="22"/>
          <w:szCs w:val="24"/>
        </w:rPr>
        <w:t xml:space="preserve"> and how it can advance along that pathway</w:t>
      </w:r>
      <w:r w:rsidR="00EB35F6" w:rsidRPr="001B10B6">
        <w:rPr>
          <w:sz w:val="22"/>
          <w:szCs w:val="24"/>
        </w:rPr>
        <w:t>, not by whether it reaches a number</w:t>
      </w:r>
      <w:r w:rsidR="00923452" w:rsidRPr="001B10B6">
        <w:rPr>
          <w:sz w:val="22"/>
          <w:szCs w:val="24"/>
        </w:rPr>
        <w:t xml:space="preserve"> of adopters, regardless of the size</w:t>
      </w:r>
      <w:r w:rsidR="00EB35F6" w:rsidRPr="001B10B6">
        <w:rPr>
          <w:sz w:val="22"/>
          <w:szCs w:val="24"/>
        </w:rPr>
        <w:t>.</w:t>
      </w:r>
      <w:r w:rsidR="00923452" w:rsidRPr="001B10B6">
        <w:rPr>
          <w:sz w:val="22"/>
          <w:szCs w:val="24"/>
        </w:rPr>
        <w:t xml:space="preserve"> </w:t>
      </w:r>
      <w:r w:rsidR="00923452" w:rsidRPr="00B81659">
        <w:rPr>
          <w:sz w:val="22"/>
          <w:szCs w:val="24"/>
          <w:u w:val="single"/>
        </w:rPr>
        <w:t>ACRE’s insurance portfolio has been stagnant at around 100,000 farmers</w:t>
      </w:r>
      <w:r w:rsidR="00EC07C6" w:rsidRPr="00B81659">
        <w:rPr>
          <w:sz w:val="22"/>
          <w:szCs w:val="24"/>
          <w:u w:val="single"/>
        </w:rPr>
        <w:t xml:space="preserve"> </w:t>
      </w:r>
      <w:r w:rsidRPr="00B81659">
        <w:rPr>
          <w:sz w:val="22"/>
          <w:szCs w:val="24"/>
          <w:u w:val="single"/>
        </w:rPr>
        <w:t xml:space="preserve">and $40 million </w:t>
      </w:r>
      <w:r w:rsidR="00EC07C6" w:rsidRPr="00B81659">
        <w:rPr>
          <w:sz w:val="22"/>
          <w:szCs w:val="24"/>
          <w:u w:val="single"/>
        </w:rPr>
        <w:t>for several years</w:t>
      </w:r>
      <w:r w:rsidRPr="00B81659">
        <w:rPr>
          <w:sz w:val="22"/>
          <w:szCs w:val="24"/>
          <w:u w:val="single"/>
        </w:rPr>
        <w:t>, a very worrying indicator</w:t>
      </w:r>
      <w:r w:rsidR="00EC07C6" w:rsidRPr="001B10B6">
        <w:rPr>
          <w:sz w:val="22"/>
          <w:szCs w:val="24"/>
        </w:rPr>
        <w:t>.</w:t>
      </w:r>
    </w:p>
    <w:p w14:paraId="2EA20D22" w14:textId="19DEA87F" w:rsidR="00B81659" w:rsidRPr="00B81659" w:rsidRDefault="00EB35F6" w:rsidP="00B81659">
      <w:pPr>
        <w:pStyle w:val="Heading2"/>
      </w:pPr>
      <w:r w:rsidRPr="001B10B6">
        <w:t>Recommendation</w:t>
      </w:r>
      <w:r w:rsidR="00B81659">
        <w:t>s</w:t>
      </w:r>
      <w:r w:rsidRPr="001B10B6">
        <w:t xml:space="preserve"> </w:t>
      </w:r>
    </w:p>
    <w:p w14:paraId="11961713" w14:textId="1047D25F" w:rsidR="002D3BFA" w:rsidRPr="001B10B6" w:rsidRDefault="00B81659" w:rsidP="00B81659">
      <w:pPr>
        <w:pStyle w:val="ListBullet"/>
        <w:numPr>
          <w:ilvl w:val="0"/>
          <w:numId w:val="12"/>
        </w:numPr>
        <w:spacing w:after="120"/>
        <w:contextualSpacing w:val="0"/>
        <w:rPr>
          <w:sz w:val="22"/>
          <w:szCs w:val="24"/>
        </w:rPr>
      </w:pPr>
      <w:r>
        <w:rPr>
          <w:bCs/>
          <w:sz w:val="22"/>
          <w:szCs w:val="24"/>
          <w:u w:val="single"/>
        </w:rPr>
        <w:t>S</w:t>
      </w:r>
      <w:r w:rsidR="00EB35F6" w:rsidRPr="00B81659">
        <w:rPr>
          <w:bCs/>
          <w:sz w:val="22"/>
          <w:szCs w:val="24"/>
          <w:u w:val="single"/>
        </w:rPr>
        <w:t xml:space="preserve">top treating bundling with credit as the </w:t>
      </w:r>
      <w:r w:rsidR="00923452" w:rsidRPr="00B81659">
        <w:rPr>
          <w:bCs/>
          <w:sz w:val="22"/>
          <w:szCs w:val="24"/>
          <w:u w:val="single"/>
        </w:rPr>
        <w:t>ONLY</w:t>
      </w:r>
      <w:r w:rsidR="00EB35F6" w:rsidRPr="00B81659">
        <w:rPr>
          <w:bCs/>
          <w:sz w:val="22"/>
          <w:szCs w:val="24"/>
          <w:u w:val="single"/>
        </w:rPr>
        <w:t xml:space="preserve"> pathway and test competing scaling pathways deliberately</w:t>
      </w:r>
      <w:r w:rsidR="00EB35F6" w:rsidRPr="001B10B6">
        <w:rPr>
          <w:b/>
          <w:sz w:val="22"/>
          <w:szCs w:val="24"/>
        </w:rPr>
        <w:t xml:space="preserve">. </w:t>
      </w:r>
      <w:r w:rsidR="00EB35F6" w:rsidRPr="001B10B6">
        <w:rPr>
          <w:sz w:val="22"/>
          <w:szCs w:val="24"/>
        </w:rPr>
        <w:t>The current pathway of bundling insurance with credit is plausible but not yet proven for Kenya. The team should compare it against at least three other pathways: input-push bundling through seed, fertilizer, or advisory packages; output-pull bundling through contract farming, structured value chains, and buyers; and public or smart-subsidy pathways through government, Treasury, county governments, or social-protection/climate-finance programs. The question is not which pathway is theoretically attractive</w:t>
      </w:r>
      <w:r w:rsidR="00EB35F6" w:rsidRPr="001B10B6">
        <w:rPr>
          <w:sz w:val="22"/>
          <w:szCs w:val="24"/>
        </w:rPr>
        <w:t>, but which one creates strong enough incentives for a powerful scaling actor to invest in market creation.</w:t>
      </w:r>
    </w:p>
    <w:p w14:paraId="5CB62385" w14:textId="284EBAF1" w:rsidR="00EC07C6" w:rsidRPr="001B10B6" w:rsidRDefault="00EC07C6" w:rsidP="00B81659">
      <w:pPr>
        <w:pStyle w:val="ListBullet"/>
        <w:numPr>
          <w:ilvl w:val="0"/>
          <w:numId w:val="12"/>
        </w:numPr>
        <w:spacing w:after="120"/>
        <w:contextualSpacing w:val="0"/>
        <w:rPr>
          <w:sz w:val="22"/>
          <w:szCs w:val="24"/>
        </w:rPr>
      </w:pPr>
      <w:r w:rsidRPr="00B81659">
        <w:rPr>
          <w:b/>
          <w:sz w:val="22"/>
          <w:szCs w:val="24"/>
          <w:u w:val="single"/>
        </w:rPr>
        <w:t xml:space="preserve"> </w:t>
      </w:r>
      <w:r w:rsidRPr="00B81659">
        <w:rPr>
          <w:bCs/>
          <w:sz w:val="22"/>
          <w:szCs w:val="24"/>
          <w:u w:val="single"/>
        </w:rPr>
        <w:t>Advocate with the Central Bank to launch a pilot with several banks and the public agricultural bank to change financial accounting regulations</w:t>
      </w:r>
      <w:r w:rsidRPr="00B81659">
        <w:rPr>
          <w:bCs/>
          <w:sz w:val="22"/>
          <w:szCs w:val="24"/>
        </w:rPr>
        <w:t xml:space="preserve"> that would recognize the risk reduction</w:t>
      </w:r>
      <w:r w:rsidR="00974702" w:rsidRPr="00B81659">
        <w:rPr>
          <w:bCs/>
          <w:sz w:val="22"/>
          <w:szCs w:val="24"/>
        </w:rPr>
        <w:t xml:space="preserve"> of bundling insurance and agricultural loans</w:t>
      </w:r>
      <w:r w:rsidR="00974702" w:rsidRPr="001B10B6">
        <w:rPr>
          <w:b/>
          <w:sz w:val="22"/>
          <w:szCs w:val="24"/>
        </w:rPr>
        <w:t xml:space="preserve">.  </w:t>
      </w:r>
      <w:r w:rsidR="00974702" w:rsidRPr="001B10B6">
        <w:rPr>
          <w:bCs/>
          <w:sz w:val="22"/>
          <w:szCs w:val="24"/>
        </w:rPr>
        <w:t>The project needs to design such a pilot in terms of proposed accounting changes, undertake a stakeholder analysis to identify potential allies and supporters, and put together a stakeholder coalition to conduct such advocacy with clear evidence supporting the message. Potential lead champions include the Treasury and the National Financial Inclusion coalition</w:t>
      </w:r>
      <w:r w:rsidR="00E9783A">
        <w:rPr>
          <w:bCs/>
          <w:sz w:val="22"/>
          <w:szCs w:val="24"/>
        </w:rPr>
        <w:t xml:space="preserve"> as the core members of what should be a much broader organizing coalition</w:t>
      </w:r>
      <w:r w:rsidR="00974702" w:rsidRPr="001B10B6">
        <w:rPr>
          <w:bCs/>
          <w:sz w:val="22"/>
          <w:szCs w:val="24"/>
        </w:rPr>
        <w:t xml:space="preserve">. </w:t>
      </w:r>
    </w:p>
    <w:p w14:paraId="7A25A28E" w14:textId="6F66802C" w:rsidR="00871496" w:rsidRPr="001B10B6" w:rsidRDefault="00871496" w:rsidP="00B81659">
      <w:pPr>
        <w:pStyle w:val="ListBullet"/>
        <w:numPr>
          <w:ilvl w:val="0"/>
          <w:numId w:val="12"/>
        </w:numPr>
        <w:spacing w:after="120"/>
        <w:contextualSpacing w:val="0"/>
        <w:rPr>
          <w:sz w:val="22"/>
          <w:szCs w:val="24"/>
        </w:rPr>
      </w:pPr>
      <w:r w:rsidRPr="00E9783A">
        <w:rPr>
          <w:bCs/>
          <w:sz w:val="22"/>
          <w:szCs w:val="24"/>
          <w:u w:val="single"/>
        </w:rPr>
        <w:t>GESI should not be a primary goal unless it assists in creating a viable commercial market in the medium-term</w:t>
      </w:r>
      <w:r w:rsidRPr="001B10B6">
        <w:rPr>
          <w:bCs/>
          <w:sz w:val="22"/>
          <w:szCs w:val="24"/>
        </w:rPr>
        <w:t xml:space="preserve">. Inclusion is a false priority if there is no viable set of underwriters or other actors to serve it.  Creating that market </w:t>
      </w:r>
      <w:proofErr w:type="gramStart"/>
      <w:r w:rsidRPr="001B10B6">
        <w:rPr>
          <w:bCs/>
          <w:sz w:val="22"/>
          <w:szCs w:val="24"/>
        </w:rPr>
        <w:t>has to</w:t>
      </w:r>
      <w:proofErr w:type="gramEnd"/>
      <w:r w:rsidRPr="001B10B6">
        <w:rPr>
          <w:bCs/>
          <w:sz w:val="22"/>
          <w:szCs w:val="24"/>
        </w:rPr>
        <w:t xml:space="preserve"> be the </w:t>
      </w:r>
      <w:proofErr w:type="gramStart"/>
      <w:r w:rsidRPr="001B10B6">
        <w:rPr>
          <w:bCs/>
          <w:sz w:val="22"/>
          <w:szCs w:val="24"/>
        </w:rPr>
        <w:t>first priority</w:t>
      </w:r>
      <w:proofErr w:type="gramEnd"/>
      <w:r w:rsidRPr="001B10B6">
        <w:rPr>
          <w:bCs/>
          <w:sz w:val="22"/>
          <w:szCs w:val="24"/>
        </w:rPr>
        <w:t>.</w:t>
      </w:r>
      <w:r w:rsidRPr="001B10B6">
        <w:rPr>
          <w:b/>
          <w:sz w:val="22"/>
          <w:szCs w:val="24"/>
        </w:rPr>
        <w:t xml:space="preserve"> </w:t>
      </w:r>
    </w:p>
    <w:p w14:paraId="4FE1544B" w14:textId="77777777" w:rsidR="000111A1" w:rsidRPr="000111A1" w:rsidRDefault="00EB35F6" w:rsidP="000111A1">
      <w:pPr>
        <w:pStyle w:val="Heading2"/>
      </w:pPr>
      <w:r w:rsidRPr="000111A1">
        <w:t xml:space="preserve">S4I funding recommendation: </w:t>
      </w:r>
    </w:p>
    <w:p w14:paraId="45FFF504" w14:textId="564C9256" w:rsidR="002D3BFA" w:rsidRPr="001B10B6" w:rsidRDefault="000111A1" w:rsidP="000111A1">
      <w:r>
        <w:rPr>
          <w:b/>
        </w:rPr>
        <w:t xml:space="preserve">Either DO NOT FUND, of </w:t>
      </w:r>
      <w:r w:rsidR="00EB35F6" w:rsidRPr="001B10B6">
        <w:rPr>
          <w:b/>
        </w:rPr>
        <w:t>fund for one more year</w:t>
      </w:r>
      <w:r>
        <w:rPr>
          <w:b/>
        </w:rPr>
        <w:t xml:space="preserve"> on a probationary basis</w:t>
      </w:r>
      <w:r w:rsidRPr="000111A1">
        <w:rPr>
          <w:b/>
        </w:rPr>
        <w:t xml:space="preserve"> </w:t>
      </w:r>
      <w:r w:rsidRPr="001B10B6">
        <w:rPr>
          <w:b/>
        </w:rPr>
        <w:t>as a targeted transition-to-scale and market-design investment.</w:t>
      </w:r>
      <w:r>
        <w:rPr>
          <w:b/>
        </w:rPr>
        <w:t xml:space="preserve"> The goal would be to see if a viable scaling pathway and lead partner can be created.</w:t>
      </w:r>
      <w:r w:rsidR="008C404A">
        <w:rPr>
          <w:b/>
        </w:rPr>
        <w:t xml:space="preserve"> </w:t>
      </w:r>
      <w:r w:rsidR="008C404A" w:rsidRPr="008C404A">
        <w:rPr>
          <w:bCs/>
        </w:rPr>
        <w:t>T</w:t>
      </w:r>
      <w:r w:rsidR="00EB35F6" w:rsidRPr="001B10B6">
        <w:t>he team has a sophisticated product, a credible commercial partner, a large problem, and unusually rich experience. However, S4I should not fund another year of general expansion</w:t>
      </w:r>
      <w:r w:rsidR="007075AC" w:rsidRPr="001B10B6">
        <w:t xml:space="preserve"> to fifty or hundred thousand farmers</w:t>
      </w:r>
      <w:r w:rsidR="00EB35F6" w:rsidRPr="001B10B6">
        <w:t xml:space="preserve"> or inclusion reporting alone. Continued support should be conditional on producing a Kenya-specific scaling strategy with evidence on business models, market-creation costs, lender incentives, insurer/reinsurer economics, farmer adoption and non-adoption, subsidy logic, delivery models, and a re</w:t>
      </w:r>
      <w:r w:rsidR="00EB35F6" w:rsidRPr="001B10B6">
        <w:t xml:space="preserve">alistic </w:t>
      </w:r>
      <w:r w:rsidR="00EB35F6" w:rsidRPr="001B10B6">
        <w:lastRenderedPageBreak/>
        <w:t>pathway from project scale to market scale.</w:t>
      </w:r>
      <w:r w:rsidR="008C404A">
        <w:t xml:space="preserve">  </w:t>
      </w:r>
      <w:r w:rsidR="008C404A" w:rsidRPr="008C404A">
        <w:rPr>
          <w:u w:val="single"/>
        </w:rPr>
        <w:t xml:space="preserve">As with the Kenya School Meals program, </w:t>
      </w:r>
      <w:r w:rsidR="008C404A">
        <w:rPr>
          <w:u w:val="single"/>
        </w:rPr>
        <w:t xml:space="preserve">the challenges found in </w:t>
      </w:r>
      <w:r w:rsidR="008C404A" w:rsidRPr="008C404A">
        <w:rPr>
          <w:u w:val="single"/>
        </w:rPr>
        <w:t xml:space="preserve">this case raises a fundamental question </w:t>
      </w:r>
      <w:r w:rsidR="008C404A" w:rsidRPr="008C404A">
        <w:rPr>
          <w:b/>
          <w:bCs/>
          <w:u w:val="single"/>
        </w:rPr>
        <w:t>whether IFPRI is a viable recipient of Scaling Solution support</w:t>
      </w:r>
      <w:r w:rsidR="008C404A" w:rsidRPr="008C404A">
        <w:rPr>
          <w:u w:val="single"/>
        </w:rPr>
        <w:t>.</w:t>
      </w:r>
    </w:p>
    <w:p w14:paraId="7BD9D47C" w14:textId="77777777" w:rsidR="002D3BFA" w:rsidRDefault="00EB35F6">
      <w:pPr>
        <w:pStyle w:val="Heading1"/>
      </w:pPr>
      <w:r>
        <w:rPr>
          <w:rFonts w:ascii="Aptos" w:eastAsia="Aptos" w:hAnsi="Aptos"/>
          <w:sz w:val="23"/>
        </w:rPr>
        <w:t>The Intervention and Its Components</w:t>
      </w:r>
    </w:p>
    <w:p w14:paraId="6EB9919B" w14:textId="77777777" w:rsidR="002D3BFA" w:rsidRPr="00D26070" w:rsidRDefault="00EB35F6">
      <w:r w:rsidRPr="00D26070">
        <w:t xml:space="preserve">The intervention is a bundled digital financial-services and agricultural insurance model for smallholder farmers in Kenya, with parallel work in India through </w:t>
      </w:r>
      <w:proofErr w:type="spellStart"/>
      <w:r w:rsidRPr="00D26070">
        <w:t>Dvara</w:t>
      </w:r>
      <w:proofErr w:type="spellEnd"/>
      <w:r w:rsidRPr="00D26070">
        <w:t xml:space="preserve">. The Kenya component is centered on ACRE Africa and the TARA platform, supported by IFPRI and the Alliance of </w:t>
      </w:r>
      <w:proofErr w:type="spellStart"/>
      <w:r w:rsidRPr="00D26070">
        <w:t>Bioversity</w:t>
      </w:r>
      <w:proofErr w:type="spellEnd"/>
      <w:r w:rsidRPr="00D26070">
        <w:t xml:space="preserve"> International and CIAT. The core proposition is that smallholder farmers face a combination of climate risk, production risk, weak collateral, limited credit histories, high transaction costs, and low insurance trust that restricts their access to finance and reduces their willingness or ability to invest in productivity-enhancing inputs and practices. The innovation seeks to unlock</w:t>
      </w:r>
      <w:r w:rsidRPr="00D26070">
        <w:t xml:space="preserve"> investment by using better risk analytics, digital tools, and insurance bundling to make smallholder lending and risk transfer more attractive to financial institutions, insurers, and farmers.</w:t>
      </w:r>
    </w:p>
    <w:p w14:paraId="6013CB30" w14:textId="5251B30D" w:rsidR="002D3BFA" w:rsidRPr="00D26070" w:rsidRDefault="00EB35F6">
      <w:r w:rsidRPr="00D26070">
        <w:t xml:space="preserve">The technical core is not one single product. It is a risk-information and financial intermediation system. TARA, a tool for agricultural risk analytics, </w:t>
      </w:r>
      <w:r w:rsidR="001B10B6" w:rsidRPr="00D26070">
        <w:t xml:space="preserve">that </w:t>
      </w:r>
      <w:r w:rsidRPr="00D26070">
        <w:t>attempts to give financial institutions and other partners better information about the farmer’s production enterprise: what crop is suitable where, what risks are likely in the season, what a farmer can reasonably expect to earn, what the likely production costs are, and what climate or crop risks might affect repayment. The platform includes crop suitability, season monitoring, advisory functionality, an AI or Kilimo Bot component intended to guide users through the loan-assessment process, and a lon</w:t>
      </w:r>
      <w:r w:rsidRPr="00D26070">
        <w:t>ger-term trajectory toward picture-based insurance and potentially more granular plot-level risk assessment. Its promise is that it can convert climate and agricultural information into practical risk intelligence for lenders, insurers, and eventually farmers.</w:t>
      </w:r>
    </w:p>
    <w:p w14:paraId="7266CF38" w14:textId="5D63B702" w:rsidR="002D3BFA" w:rsidRPr="00D26070" w:rsidRDefault="00EB35F6">
      <w:r w:rsidRPr="00D26070">
        <w:t xml:space="preserve">The insurance component has deep historical roots in Kenya. ACRE’s lineage goes back to the Kilimo Salama model, in which farmers buying seed could register through scratch cards and SMS, with weather-station data triggering replanting guarantees or compensation. That model reportedly insured more than 300,000 farmers across Kenya, Tanzania, and Rwanda, </w:t>
      </w:r>
      <w:r w:rsidRPr="00AF1D80">
        <w:rPr>
          <w:u w:val="single"/>
        </w:rPr>
        <w:t>but it also revealed the classic problems of weather-index insurance: basis risk, product risk, farmer misunderstanding, high education costs, and limits to scaling weather-station infrastructure</w:t>
      </w:r>
      <w:r w:rsidRPr="00D26070">
        <w:t xml:space="preserve">. ACRE subsequently moved toward satellite data, digital platforms, advisory, training, village champions, and more recently picture-based insurance </w:t>
      </w:r>
      <w:r w:rsidR="00AF1D80" w:rsidRPr="00D26070">
        <w:t>to</w:t>
      </w:r>
      <w:r w:rsidRPr="00D26070">
        <w:t xml:space="preserve"> reduce basis risk and increase trust. The strategic asset is not only the current product; it is this accumulated learning about what does and does not work in African crop insurance.</w:t>
      </w:r>
    </w:p>
    <w:p w14:paraId="6D288EED" w14:textId="13E2EEDD" w:rsidR="002D3BFA" w:rsidRPr="00D26070" w:rsidRDefault="00EB35F6">
      <w:r w:rsidRPr="00AF1D80">
        <w:rPr>
          <w:u w:val="single"/>
        </w:rPr>
        <w:t xml:space="preserve">Institutionally, ACRE is a product designer, digital platform provider, risk analytics provider, trainer, distribution supporter, and market-development actor. </w:t>
      </w:r>
      <w:r w:rsidRPr="00AF1D80">
        <w:rPr>
          <w:b/>
          <w:bCs/>
          <w:u w:val="single"/>
        </w:rPr>
        <w:t>It is not currently an underwriter</w:t>
      </w:r>
      <w:r w:rsidRPr="00D26070">
        <w:t xml:space="preserve">, although it has a long-term aspiration to underwrite agricultural insurance directly. Its acquisition by ZEP-RE, </w:t>
      </w:r>
      <w:r w:rsidRPr="00AF1D80">
        <w:rPr>
          <w:u w:val="single"/>
        </w:rPr>
        <w:t>a pan-African reinsurance company</w:t>
      </w:r>
      <w:r w:rsidRPr="00D26070">
        <w:t xml:space="preserve"> created by COMESA member states, gives it an institutional platform that can potentially link product design, reinsurance relationships, regional government engagement, and commercial market development. This is a significant strength because most agricultural insurance pilots lack a serious insurance-market home. At the same time, it also sharpens the scaling question: </w:t>
      </w:r>
      <w:r w:rsidRPr="003D69FC">
        <w:rPr>
          <w:b/>
          <w:bCs/>
          <w:u w:val="single"/>
        </w:rPr>
        <w:t>if ACRE and ZEP-RE are not yet underwriting the product directly</w:t>
      </w:r>
      <w:r w:rsidR="00AB087E" w:rsidRPr="003D69FC">
        <w:rPr>
          <w:b/>
          <w:bCs/>
          <w:u w:val="single"/>
        </w:rPr>
        <w:t xml:space="preserve"> but acting as product developers and providers of information products</w:t>
      </w:r>
      <w:r w:rsidRPr="003D69FC">
        <w:rPr>
          <w:b/>
          <w:bCs/>
          <w:u w:val="single"/>
        </w:rPr>
        <w:t>, the pathway still depends on persuading local underwriters, financial institutions, regulators, and government actors to participate in ways that are economically and politically attractive</w:t>
      </w:r>
      <w:r w:rsidRPr="00D26070">
        <w:t>.</w:t>
      </w:r>
    </w:p>
    <w:p w14:paraId="48001667" w14:textId="432B1279" w:rsidR="002D3BFA" w:rsidRPr="00D26070" w:rsidRDefault="00EB35F6">
      <w:r w:rsidRPr="003D69FC">
        <w:rPr>
          <w:u w:val="single"/>
        </w:rPr>
        <w:t xml:space="preserve">The intervention’s current logic </w:t>
      </w:r>
      <w:r w:rsidR="00BC75D6" w:rsidRPr="003D69FC">
        <w:rPr>
          <w:u w:val="single"/>
        </w:rPr>
        <w:t>is</w:t>
      </w:r>
      <w:r w:rsidRPr="003D69FC">
        <w:rPr>
          <w:u w:val="single"/>
        </w:rPr>
        <w:t xml:space="preserve"> that insurance will scale when bundled with credit</w:t>
      </w:r>
      <w:r w:rsidRPr="00D26070">
        <w:t xml:space="preserve">. This is analytically plausible because credit creates both a demand for de-risking and a transactional point at which premiums can be collected. A farmer who </w:t>
      </w:r>
      <w:proofErr w:type="gramStart"/>
      <w:r w:rsidRPr="00D26070">
        <w:t>borrows to</w:t>
      </w:r>
      <w:proofErr w:type="gramEnd"/>
      <w:r w:rsidRPr="00D26070">
        <w:t xml:space="preserve"> purchase inputs has a reason to protect the investment. A lender has a reason to protect its portfolio. An insurer has a distribution channel. ACRE has a revenue opportunity. IFPRI and CGIAR have a path to increasing technology adoption by relaxing the credit and risk constraints. </w:t>
      </w:r>
      <w:r w:rsidRPr="003D69FC">
        <w:rPr>
          <w:u w:val="single"/>
        </w:rPr>
        <w:t xml:space="preserve">But this </w:t>
      </w:r>
      <w:r w:rsidRPr="003D69FC">
        <w:rPr>
          <w:u w:val="single"/>
        </w:rPr>
        <w:lastRenderedPageBreak/>
        <w:t>pathway is less straightforward in Kenya than in India</w:t>
      </w:r>
      <w:r w:rsidRPr="00D26070">
        <w:t xml:space="preserve">. </w:t>
      </w:r>
      <w:r w:rsidRPr="003D69FC">
        <w:rPr>
          <w:b/>
          <w:bCs/>
          <w:u w:val="single"/>
        </w:rPr>
        <w:t>The Kenyan financial system already uses SACCOs, social guarantors, borrower savings, group liability, and other collateral mechanisms that protect lenders against individual default</w:t>
      </w:r>
      <w:r w:rsidRPr="00D26070">
        <w:t xml:space="preserve">. If financial institutions do not experience crop risk as a binding loss problem, </w:t>
      </w:r>
      <w:r w:rsidR="00BC75D6" w:rsidRPr="00D26070">
        <w:t xml:space="preserve">as they apparently don’t, </w:t>
      </w:r>
      <w:r w:rsidRPr="00D26070">
        <w:t>they may not have a strong incentive to sell insurance actively.</w:t>
      </w:r>
    </w:p>
    <w:p w14:paraId="46685472" w14:textId="77777777" w:rsidR="002D3BFA" w:rsidRDefault="00EB35F6">
      <w:pPr>
        <w:pStyle w:val="Heading1"/>
      </w:pPr>
      <w:r>
        <w:rPr>
          <w:rFonts w:ascii="Aptos" w:eastAsia="Aptos" w:hAnsi="Aptos"/>
          <w:sz w:val="23"/>
        </w:rPr>
        <w:t>Where Implemented and Evidence of Impact to Date</w:t>
      </w:r>
    </w:p>
    <w:p w14:paraId="5EF70673" w14:textId="39CA9B28" w:rsidR="002D3BFA" w:rsidRPr="006C5245" w:rsidRDefault="00EB35F6">
      <w:pPr>
        <w:rPr>
          <w:u w:val="single"/>
        </w:rPr>
      </w:pPr>
      <w:r w:rsidRPr="00D26070">
        <w:t xml:space="preserve">The broader solution has been implemented and tested in Kenya and India, but the two country pathways differ substantially. In India, </w:t>
      </w:r>
      <w:proofErr w:type="spellStart"/>
      <w:r w:rsidRPr="00D26070">
        <w:t>Dvara’s</w:t>
      </w:r>
      <w:proofErr w:type="spellEnd"/>
      <w:r w:rsidRPr="00D26070">
        <w:t xml:space="preserve"> </w:t>
      </w:r>
      <w:proofErr w:type="spellStart"/>
      <w:r w:rsidRPr="00D26070">
        <w:t>KhetScore</w:t>
      </w:r>
      <w:proofErr w:type="spellEnd"/>
      <w:r w:rsidRPr="00D26070">
        <w:t xml:space="preserve"> appears to offer a more vertically integrated pathway in which farmer producer organizations, field agents, credit analytics, and financial partnerships create a clearer operational channel. </w:t>
      </w:r>
      <w:r w:rsidR="007A4B71" w:rsidRPr="003D69FC">
        <w:rPr>
          <w:b/>
          <w:bCs/>
        </w:rPr>
        <w:t xml:space="preserve">More importantly, banks and insurers are actively working to sell insurance products and create a viable </w:t>
      </w:r>
      <w:proofErr w:type="gramStart"/>
      <w:r w:rsidR="007A4B71" w:rsidRPr="003D69FC">
        <w:rPr>
          <w:b/>
          <w:bCs/>
        </w:rPr>
        <w:t>market, and</w:t>
      </w:r>
      <w:proofErr w:type="gramEnd"/>
      <w:r w:rsidR="007A4B71" w:rsidRPr="003D69FC">
        <w:rPr>
          <w:b/>
          <w:bCs/>
        </w:rPr>
        <w:t xml:space="preserve"> have strong public support in not just </w:t>
      </w:r>
      <w:proofErr w:type="gramStart"/>
      <w:r w:rsidR="007A4B71" w:rsidRPr="003D69FC">
        <w:rPr>
          <w:b/>
          <w:bCs/>
        </w:rPr>
        <w:t>word</w:t>
      </w:r>
      <w:proofErr w:type="gramEnd"/>
      <w:r w:rsidR="007A4B71" w:rsidRPr="003D69FC">
        <w:rPr>
          <w:b/>
          <w:bCs/>
        </w:rPr>
        <w:t xml:space="preserve"> but </w:t>
      </w:r>
      <w:proofErr w:type="gramStart"/>
      <w:r w:rsidR="007A4B71" w:rsidRPr="003D69FC">
        <w:rPr>
          <w:b/>
          <w:bCs/>
        </w:rPr>
        <w:t>deed</w:t>
      </w:r>
      <w:proofErr w:type="gramEnd"/>
      <w:r w:rsidR="007A4B71" w:rsidRPr="00D26070">
        <w:t xml:space="preserve">. </w:t>
      </w:r>
      <w:r w:rsidR="00B44A83">
        <w:t>This is not true i</w:t>
      </w:r>
      <w:r w:rsidRPr="00D26070">
        <w:t xml:space="preserve">n </w:t>
      </w:r>
      <w:proofErr w:type="gramStart"/>
      <w:r w:rsidRPr="00D26070">
        <w:t>Kenya,</w:t>
      </w:r>
      <w:proofErr w:type="gramEnd"/>
      <w:r w:rsidRPr="00D26070">
        <w:t xml:space="preserve"> ACRE’s </w:t>
      </w:r>
      <w:r w:rsidR="00B44A83">
        <w:t>role</w:t>
      </w:r>
      <w:r w:rsidRPr="00D26070">
        <w:t xml:space="preserve"> </w:t>
      </w:r>
      <w:r w:rsidRPr="003D69FC">
        <w:rPr>
          <w:b/>
          <w:bCs/>
        </w:rPr>
        <w:t xml:space="preserve">is more </w:t>
      </w:r>
      <w:r w:rsidRPr="003D69FC">
        <w:rPr>
          <w:b/>
          <w:bCs/>
        </w:rPr>
        <w:t>platform-based</w:t>
      </w:r>
      <w:r w:rsidR="003D69FC" w:rsidRPr="003D69FC">
        <w:rPr>
          <w:b/>
          <w:bCs/>
        </w:rPr>
        <w:t xml:space="preserve"> but does not create a market</w:t>
      </w:r>
      <w:r w:rsidR="00B44A83">
        <w:rPr>
          <w:b/>
          <w:bCs/>
        </w:rPr>
        <w:t xml:space="preserve"> or sell insurance. </w:t>
      </w:r>
      <w:r w:rsidRPr="00D26070">
        <w:t xml:space="preserve"> ACRE provides risk analytics, product design, insurance support, training, village-level distribution approaches, and engagement with financial institutions and insurers. </w:t>
      </w:r>
      <w:r w:rsidR="003D5ADB" w:rsidRPr="003D69FC">
        <w:rPr>
          <w:u w:val="single"/>
        </w:rPr>
        <w:t xml:space="preserve">Kenyan public policy supports crop insurance on </w:t>
      </w:r>
      <w:proofErr w:type="gramStart"/>
      <w:r w:rsidR="003D5ADB" w:rsidRPr="003D69FC">
        <w:rPr>
          <w:u w:val="single"/>
        </w:rPr>
        <w:t>paper</w:t>
      </w:r>
      <w:proofErr w:type="gramEnd"/>
      <w:r w:rsidR="003D5ADB" w:rsidRPr="003D69FC">
        <w:rPr>
          <w:u w:val="single"/>
        </w:rPr>
        <w:t xml:space="preserve"> but actual financial and programmatic commitments are weak, and even when they existed are not well implemented with long payment delays</w:t>
      </w:r>
      <w:r w:rsidR="003D5ADB" w:rsidRPr="00D26070">
        <w:t xml:space="preserve">. </w:t>
      </w:r>
      <w:r w:rsidRPr="00D26070">
        <w:t xml:space="preserve">The India evidence may be stronger for immediate credit expansion, but it should not be allowed to substitute for Kenya readiness. The Kenya pathway </w:t>
      </w:r>
      <w:r w:rsidR="003D69FC" w:rsidRPr="00D26070">
        <w:t>must</w:t>
      </w:r>
      <w:r w:rsidRPr="00D26070">
        <w:t xml:space="preserve"> be assessed on its own incentives, institutions, and market structure.</w:t>
      </w:r>
      <w:r w:rsidR="006C5245">
        <w:t xml:space="preserve"> </w:t>
      </w:r>
      <w:r w:rsidR="002F63CA" w:rsidRPr="006C5245">
        <w:rPr>
          <w:u w:val="single"/>
        </w:rPr>
        <w:t>T</w:t>
      </w:r>
      <w:r w:rsidRPr="006C5245">
        <w:rPr>
          <w:u w:val="single"/>
        </w:rPr>
        <w:t>he important question is now not whether the product can work in a trial, but whether it can become part of a viable commercial or public-private market.</w:t>
      </w:r>
    </w:p>
    <w:p w14:paraId="45BF5393" w14:textId="7680C33E" w:rsidR="002D3BFA" w:rsidRPr="00D26070" w:rsidRDefault="00EB35F6">
      <w:r w:rsidRPr="00D26070">
        <w:t xml:space="preserve">ACRE’s own evidence base includes experience with Kilimo Salama, weather-index insurance, satellite-based approaches, yield-index products, village champions, lender and regulator training, and national-scheme support in countries such as DRC, Zambia, and Mauritius. This operational learning is unusually important. </w:t>
      </w:r>
      <w:r w:rsidRPr="00D26070">
        <w:t>The movement from weather stations to satellite data to picture-based insurance is a direct response to basis risk, product risk, and trust problems.</w:t>
      </w:r>
    </w:p>
    <w:p w14:paraId="57F61A86" w14:textId="14D496F1" w:rsidR="002D3BFA" w:rsidRPr="00D26070" w:rsidRDefault="00EB35F6">
      <w:r w:rsidRPr="00D26070">
        <w:t xml:space="preserve">However, the evidence still appears incomplete on the questions that matter most for the next scaling decision. </w:t>
      </w:r>
      <w:r w:rsidR="00B929E7" w:rsidRPr="006C5245">
        <w:rPr>
          <w:b/>
          <w:bCs/>
          <w:u w:val="single"/>
        </w:rPr>
        <w:t xml:space="preserve">There is </w:t>
      </w:r>
      <w:r w:rsidRPr="006C5245">
        <w:rPr>
          <w:b/>
          <w:bCs/>
          <w:u w:val="single"/>
        </w:rPr>
        <w:t>not yet a fully developed Kenya-specific business case showing how each actor makes money, avoids losses, or gains enough institutional value to invest in market creation</w:t>
      </w:r>
      <w:r w:rsidRPr="00D26070">
        <w:t xml:space="preserve">. There are indications that crop insurance could be profitable for insurers under some portfolio assumptions, with premiums perhaps in the 6.5 to 7.5 percent range depending on crop and design. </w:t>
      </w:r>
      <w:r w:rsidRPr="006C5245">
        <w:rPr>
          <w:u w:val="single"/>
        </w:rPr>
        <w:t>But a profitable underwriting margin in theory is not the same as a scalable market</w:t>
      </w:r>
      <w:r w:rsidR="006C5245">
        <w:rPr>
          <w:u w:val="single"/>
        </w:rPr>
        <w:t xml:space="preserve"> or a business case</w:t>
      </w:r>
      <w:r w:rsidRPr="00D26070">
        <w:t>. The market requires acquisition costs, commissions, education costs, platform costs, loss ratios, reinsurance costs, claims administration, regulatory compliance, agent incentives, and renewal behavior to work together. That complete business case is the missing evidence.</w:t>
      </w:r>
    </w:p>
    <w:p w14:paraId="32EE120B" w14:textId="77777777" w:rsidR="00FD2279" w:rsidRDefault="00EB35F6">
      <w:r w:rsidRPr="00D26070">
        <w:t xml:space="preserve">The evidence on adoption and non-adoption </w:t>
      </w:r>
      <w:r w:rsidR="006C5245">
        <w:t>is</w:t>
      </w:r>
      <w:r w:rsidRPr="00D26070">
        <w:t xml:space="preserve"> too thin. </w:t>
      </w:r>
      <w:r w:rsidR="00B929E7" w:rsidRPr="00D26070">
        <w:t>Many</w:t>
      </w:r>
      <w:r w:rsidRPr="00D26070">
        <w:t xml:space="preserve"> </w:t>
      </w:r>
      <w:r w:rsidR="003C58CE" w:rsidRPr="00D26070">
        <w:t xml:space="preserve">Kenyan </w:t>
      </w:r>
      <w:r w:rsidRPr="00D26070">
        <w:t xml:space="preserve">farmers </w:t>
      </w:r>
      <w:r w:rsidR="003C58CE" w:rsidRPr="00D26070">
        <w:t>do</w:t>
      </w:r>
      <w:r w:rsidRPr="00D26070">
        <w:t xml:space="preserve"> not see the value of paying for something intangible that </w:t>
      </w:r>
      <w:r w:rsidR="003C58CE" w:rsidRPr="00D26070">
        <w:t>does</w:t>
      </w:r>
      <w:r w:rsidRPr="00D26070">
        <w:t xml:space="preserve"> not pay out if the season is good. Many smallholders have little experience with insurance of any kind, and even when they understand climate risk, they may prefer informal coping, savings groups, emergency borrowing, asset sales, or simply not investing. Insurance is a difficult product because the farmer’s best case is often to pay a premium and receive nothing. This makes trust, payout speed, prior experience, and bundl</w:t>
      </w:r>
      <w:r w:rsidRPr="00D26070">
        <w:t>ing essential.</w:t>
      </w:r>
      <w:r w:rsidR="006659A7">
        <w:t xml:space="preserve"> </w:t>
      </w:r>
    </w:p>
    <w:p w14:paraId="176464A4" w14:textId="2E8EAF76" w:rsidR="002D3BFA" w:rsidRPr="00FD2279" w:rsidRDefault="006659A7">
      <w:pPr>
        <w:rPr>
          <w:b/>
          <w:bCs/>
          <w:u w:val="single"/>
        </w:rPr>
      </w:pPr>
      <w:r w:rsidRPr="00FD2279">
        <w:rPr>
          <w:b/>
          <w:bCs/>
          <w:u w:val="single"/>
        </w:rPr>
        <w:t xml:space="preserve">In our opinion, selling insurance </w:t>
      </w:r>
      <w:r w:rsidR="001806BF" w:rsidRPr="00FD2279">
        <w:rPr>
          <w:b/>
          <w:bCs/>
          <w:u w:val="single"/>
        </w:rPr>
        <w:t xml:space="preserve">as a stand-alone product </w:t>
      </w:r>
      <w:r w:rsidRPr="00FD2279">
        <w:rPr>
          <w:b/>
          <w:bCs/>
          <w:u w:val="single"/>
        </w:rPr>
        <w:t xml:space="preserve">to farmers as individuals </w:t>
      </w:r>
      <w:r w:rsidR="00FD2279" w:rsidRPr="00FD2279">
        <w:rPr>
          <w:b/>
          <w:bCs/>
          <w:u w:val="single"/>
        </w:rPr>
        <w:t>i</w:t>
      </w:r>
      <w:r w:rsidRPr="00FD2279">
        <w:rPr>
          <w:b/>
          <w:bCs/>
          <w:u w:val="single"/>
        </w:rPr>
        <w:t>s a</w:t>
      </w:r>
      <w:r w:rsidR="001806BF" w:rsidRPr="00FD2279">
        <w:rPr>
          <w:b/>
          <w:bCs/>
          <w:u w:val="single"/>
        </w:rPr>
        <w:t xml:space="preserve"> total</w:t>
      </w:r>
      <w:r w:rsidRPr="00FD2279">
        <w:rPr>
          <w:b/>
          <w:bCs/>
          <w:u w:val="single"/>
        </w:rPr>
        <w:t xml:space="preserve"> non-starter, and it </w:t>
      </w:r>
      <w:r w:rsidR="001806BF" w:rsidRPr="00FD2279">
        <w:rPr>
          <w:b/>
          <w:bCs/>
          <w:u w:val="single"/>
        </w:rPr>
        <w:t xml:space="preserve">appears that ACRE has come to the same conclusion.  Whether there is a viable </w:t>
      </w:r>
      <w:r w:rsidR="00FD2279" w:rsidRPr="00FD2279">
        <w:rPr>
          <w:b/>
          <w:bCs/>
          <w:u w:val="single"/>
        </w:rPr>
        <w:t xml:space="preserve">business case, market and scaling driver when bundled with credit, inputs, outputs or to institutional actors like an off-taker or contract remains to be proven. </w:t>
      </w:r>
    </w:p>
    <w:p w14:paraId="0175B8E1" w14:textId="4E6F1223" w:rsidR="002D3BFA" w:rsidRPr="00D26070" w:rsidRDefault="00B22166">
      <w:r w:rsidRPr="00D26070">
        <w:lastRenderedPageBreak/>
        <w:t>As noted above, financial institutions in Kenya do not perceive crop insurance as clearly superior to existing mechanisms of risk management</w:t>
      </w:r>
      <w:r w:rsidR="00557AC0">
        <w:t xml:space="preserve">; a core principle of successful scaling is that the innovation </w:t>
      </w:r>
      <w:r w:rsidR="006C20F5">
        <w:t>must</w:t>
      </w:r>
      <w:r w:rsidR="00557AC0">
        <w:t xml:space="preserve"> be superior in (cost) effectiveness to existing and new alternatives</w:t>
      </w:r>
      <w:r w:rsidRPr="00D26070">
        <w:t xml:space="preserve">. </w:t>
      </w:r>
      <w:r w:rsidR="006C20F5">
        <w:t xml:space="preserve">In Kenya, this is not the case because banks and other financial institutions require two co-signers on every loan e.g. </w:t>
      </w:r>
      <w:r w:rsidRPr="006C20F5">
        <w:t>SACCOs and MFIs can use guarantors and savings to protect themselves.</w:t>
      </w:r>
      <w:r w:rsidRPr="00557AC0">
        <w:rPr>
          <w:b/>
          <w:bCs/>
        </w:rPr>
        <w:t xml:space="preserve"> </w:t>
      </w:r>
      <w:r w:rsidR="00F46810" w:rsidRPr="009D5BE1">
        <w:t xml:space="preserve">According to ACRE, banks compete solely on interest rates, and if banks were to add a </w:t>
      </w:r>
      <w:r w:rsidR="00A11497" w:rsidRPr="009D5BE1">
        <w:t>6.5 – 7.5 interest point to their lending rate, no one would buy it.  In principle, the lower probability of payment default from insurance should allow banks to lower their interest rates significantly in a credit-insurance bundle, though whether that would be a 100% offset is unclear (and should be calculated by ACRE and IFPRI).</w:t>
      </w:r>
      <w:r w:rsidR="00A11497">
        <w:rPr>
          <w:b/>
          <w:bCs/>
        </w:rPr>
        <w:t xml:space="preserve"> </w:t>
      </w:r>
      <w:proofErr w:type="gramStart"/>
      <w:r w:rsidR="009D5BE1">
        <w:t>However</w:t>
      </w:r>
      <w:proofErr w:type="gramEnd"/>
      <w:r w:rsidR="009D5BE1">
        <w:t xml:space="preserve"> it appears that b</w:t>
      </w:r>
      <w:r w:rsidRPr="00F46810">
        <w:t>anks may be constrained by regulation, accounting rules, and competitive concerns that prevent them from lowering interest rates or collateral requirements even when insurance reduces risk.</w:t>
      </w:r>
      <w:r w:rsidRPr="00D26070">
        <w:t xml:space="preserve"> If that is true, the lender-bundling pathway requires policy, regulation, and market design rather than simply product improvement. That is exactly the kind of scaling evidence S4I should value: it reveals that the bottleneck is not product efficacy but actor incentives.</w:t>
      </w:r>
    </w:p>
    <w:p w14:paraId="1C42464A" w14:textId="77777777" w:rsidR="002D3BFA" w:rsidRDefault="00EB35F6">
      <w:pPr>
        <w:pStyle w:val="Heading1"/>
      </w:pPr>
      <w:r>
        <w:rPr>
          <w:rFonts w:ascii="Aptos" w:eastAsia="Aptos" w:hAnsi="Aptos"/>
          <w:sz w:val="23"/>
        </w:rPr>
        <w:t>Scaling Ambition</w:t>
      </w:r>
    </w:p>
    <w:p w14:paraId="358F415A" w14:textId="0ECB4F7C" w:rsidR="002D3BFA" w:rsidRPr="00D26070" w:rsidRDefault="00EB35F6">
      <w:r w:rsidRPr="00D26070">
        <w:t xml:space="preserve">The formal </w:t>
      </w:r>
      <w:r w:rsidR="009D5BE1">
        <w:t xml:space="preserve">scaling </w:t>
      </w:r>
      <w:r w:rsidRPr="00D26070">
        <w:t xml:space="preserve">ambition </w:t>
      </w:r>
      <w:r w:rsidR="009D5BE1">
        <w:t>is</w:t>
      </w:r>
      <w:r w:rsidRPr="00D26070">
        <w:t xml:space="preserve"> to reach approximately 100,000 farmers across Kenya and India, mobilize and insure roughly $25 million in loans or insured value, and benefit several hundred thousand household members. The revised 2026 target appears much smaller, with Kenya reaching only a few thousand farmers compared with a much larger India target. These numbers should be understood as learning-stage numbers, not proof of market scale. They are useful if they generate evidence on business models, customer segments, delivery channels, </w:t>
      </w:r>
      <w:r w:rsidRPr="00D26070">
        <w:t>and institutional incentives</w:t>
      </w:r>
      <w:r w:rsidR="00DE2DA0" w:rsidRPr="00D26070">
        <w:t xml:space="preserve">, but that does not appear to be the case. </w:t>
      </w:r>
      <w:proofErr w:type="gramStart"/>
      <w:r w:rsidR="00DE2DA0" w:rsidRPr="004144AC">
        <w:rPr>
          <w:u w:val="single"/>
        </w:rPr>
        <w:t>Therefore</w:t>
      </w:r>
      <w:proofErr w:type="gramEnd"/>
      <w:r w:rsidR="00DE2DA0" w:rsidRPr="004144AC">
        <w:rPr>
          <w:u w:val="single"/>
        </w:rPr>
        <w:t xml:space="preserve"> numbers of farmer adopters </w:t>
      </w:r>
      <w:proofErr w:type="gramStart"/>
      <w:r w:rsidR="00DE2DA0" w:rsidRPr="004144AC">
        <w:rPr>
          <w:u w:val="single"/>
        </w:rPr>
        <w:t>is</w:t>
      </w:r>
      <w:proofErr w:type="gramEnd"/>
      <w:r w:rsidR="00DE2DA0" w:rsidRPr="004144AC">
        <w:rPr>
          <w:u w:val="single"/>
        </w:rPr>
        <w:t xml:space="preserve"> largely irrelevant.</w:t>
      </w:r>
    </w:p>
    <w:p w14:paraId="53CAEF13" w14:textId="682BB7B1" w:rsidR="002D3BFA" w:rsidRPr="00D26070" w:rsidRDefault="00EB35F6">
      <w:r w:rsidRPr="004144AC">
        <w:rPr>
          <w:u w:val="single"/>
        </w:rPr>
        <w:t>The real scaling ambition should be reconstructed around market formation</w:t>
      </w:r>
      <w:r w:rsidR="004144AC">
        <w:rPr>
          <w:u w:val="single"/>
        </w:rPr>
        <w:t>, proof of a business case and that a private (or public) actor is willing to drive scaling</w:t>
      </w:r>
      <w:r w:rsidRPr="00D26070">
        <w:t>. If the project’s own logic is that crop insurance needs large portfolios to work for underwriters, reinsurers, and platform providers, then the relevant ambition is not 15,000 or 50,000 farmers. It is the path from today’s pilot and early commercial scale to hundreds of thousands or millions of insured farmers, or to premium volumes large enough to justify reinsurance, platform maintenance, sales force investment, and private-sector marketing. That requires a stage-gated ambition: first prove the product;</w:t>
      </w:r>
      <w:r w:rsidRPr="00D26070">
        <w:t xml:space="preserve"> then prove the channel; then prove the actor-specific business case; then prove the market-creation coalition; then scale through commercial, public, or hybrid pathways. The current project has partially completed the first stage and is working on the second. It has not yet proven the third or fourth.</w:t>
      </w:r>
    </w:p>
    <w:p w14:paraId="2B42981A" w14:textId="0EEC96BA" w:rsidR="002D3BFA" w:rsidRPr="00D26070" w:rsidRDefault="00EB35F6">
      <w:r w:rsidRPr="00D26070">
        <w:t xml:space="preserve">A sharper ambition would distinguish six types of scale: technical product scale, farmer adoption scale, premium-volume scale, lender-use scale, underwriting/reinsurance scale, and public-policy scale. </w:t>
      </w:r>
      <w:r w:rsidR="00C14778" w:rsidRPr="00D26070">
        <w:t xml:space="preserve">(Note that this is the kind of pathway and scoring on scaling readiness that needs to be integrated into IPSR more generally, both the analysis that leads to it, rather than the current Scaling Readiness and Use indices which were designed solely for technical </w:t>
      </w:r>
      <w:r w:rsidR="00D26070" w:rsidRPr="00D26070">
        <w:t xml:space="preserve">innovations and which assume that some adoption by end users signifies scalability.) </w:t>
      </w:r>
      <w:r w:rsidRPr="00D26070">
        <w:t>These are not the same. ACRE can have a good product without farmer adoption. Farmers can adopt without banks changing lending behavior. Banks can use TARA without in</w:t>
      </w:r>
      <w:r w:rsidRPr="00D26070">
        <w:t>surers scaling coverage. Insurers can write policies without reinsurers seeing sufficient diversification. Government can endorse insurance without paying subsidies on time. A credible scaling strategy must align all six or deliberately choose the one pathway that is most likely to pull the rest.</w:t>
      </w:r>
    </w:p>
    <w:p w14:paraId="4C5A8D68" w14:textId="77777777" w:rsidR="002D3BFA" w:rsidRDefault="00EB35F6">
      <w:pPr>
        <w:pStyle w:val="Heading1"/>
      </w:pPr>
      <w:r>
        <w:rPr>
          <w:rFonts w:ascii="Aptos" w:eastAsia="Aptos" w:hAnsi="Aptos"/>
          <w:sz w:val="23"/>
        </w:rPr>
        <w:t>Analytical Assessment: Strengths, Weaknesses, Bottlenecks, and Recommendations</w:t>
      </w:r>
    </w:p>
    <w:p w14:paraId="48EF9FB4" w14:textId="46E10551" w:rsidR="002D3BFA" w:rsidRPr="00DA7C2F" w:rsidRDefault="00EB35F6">
      <w:r w:rsidRPr="00DA7C2F">
        <w:t xml:space="preserve">The strongest feature of the intervention is that it is solving the right kind of problem. Crop insurance does not fail primarily because the actuarial model is imperfect, although technical imperfections matter. It fails because the product sits in a weak market: farmers do not understand or trust insurance; insurers face high </w:t>
      </w:r>
      <w:r w:rsidR="004F6072">
        <w:lastRenderedPageBreak/>
        <w:t xml:space="preserve">customer </w:t>
      </w:r>
      <w:r w:rsidRPr="00DA7C2F">
        <w:t>acquisition costs</w:t>
      </w:r>
      <w:r w:rsidR="004F6072">
        <w:t xml:space="preserve">, </w:t>
      </w:r>
      <w:r w:rsidRPr="00DA7C2F">
        <w:t>small premium volumes</w:t>
      </w:r>
      <w:r w:rsidR="004F6072">
        <w:t xml:space="preserve"> and need large numbers to allow for diversification and economies of scale in processing</w:t>
      </w:r>
      <w:r w:rsidRPr="00DA7C2F">
        <w:t xml:space="preserve">; reinsurers need diversified portfolios; </w:t>
      </w:r>
      <w:r w:rsidR="00DF6299">
        <w:t>etc</w:t>
      </w:r>
      <w:r w:rsidRPr="00DA7C2F">
        <w:t xml:space="preserve">. ACRE and IFPRI are at least operating at </w:t>
      </w:r>
      <w:proofErr w:type="gramStart"/>
      <w:r w:rsidRPr="00DA7C2F">
        <w:t>this system</w:t>
      </w:r>
      <w:proofErr w:type="gramEnd"/>
      <w:r w:rsidRPr="00DA7C2F">
        <w:t xml:space="preserve"> level. That is a substantial positive.</w:t>
      </w:r>
    </w:p>
    <w:p w14:paraId="2BCE9CD3" w14:textId="4BDC6E5D" w:rsidR="002D3BFA" w:rsidRPr="00DA7C2F" w:rsidRDefault="00EB35F6">
      <w:r w:rsidRPr="00DA7C2F">
        <w:t xml:space="preserve">The product is probably good enough for the next stage. The team has moved through weather-station index products, satellite products, yield-index products, and picture-based products. It understands basis risk, product risk, claims problems, education problems, and distribution problems. TARA is not perfect, and picture-based insurance still needs refinement, but the product does not have to be perfect to justify transition-to-scale funding. </w:t>
      </w:r>
      <w:r w:rsidRPr="00DF6299">
        <w:rPr>
          <w:b/>
          <w:bCs/>
          <w:u w:val="single"/>
        </w:rPr>
        <w:t>The more important question is whether the product can be attached to a market actor with enough incentive and capacity to scale it</w:t>
      </w:r>
      <w:r w:rsidRPr="00DA7C2F">
        <w:t>.</w:t>
      </w:r>
    </w:p>
    <w:p w14:paraId="563CBF45" w14:textId="77777777" w:rsidR="00F0689E" w:rsidRDefault="00EB35F6">
      <w:r w:rsidRPr="00D72892">
        <w:t xml:space="preserve">The central bottleneck is market creation as a public good. A viable crop-insurance market requires large numbers of customers, trust, data, actuarial experience, distribution channels, underwriting confidence, regulatory support, and reinsurance appetite. Banks may benefit from the market but </w:t>
      </w:r>
      <w:r w:rsidR="00D72892">
        <w:t>do not yet</w:t>
      </w:r>
      <w:r w:rsidRPr="00D72892">
        <w:t xml:space="preserve"> want to pay </w:t>
      </w:r>
      <w:proofErr w:type="gramStart"/>
      <w:r w:rsidRPr="00D72892">
        <w:t>for creating</w:t>
      </w:r>
      <w:proofErr w:type="gramEnd"/>
      <w:r w:rsidRPr="00D72892">
        <w:t xml:space="preserve"> it. Insurers benefit from premium volume but </w:t>
      </w:r>
      <w:r w:rsidR="00D72892">
        <w:t xml:space="preserve">also do </w:t>
      </w:r>
      <w:r w:rsidRPr="00D72892">
        <w:t>not want to fund farmer education</w:t>
      </w:r>
      <w:r w:rsidR="00DF6299">
        <w:t xml:space="preserve">, awareness building, etc. </w:t>
      </w:r>
      <w:r w:rsidR="00DF6299" w:rsidRPr="00DF6299">
        <w:rPr>
          <w:u w:val="single"/>
        </w:rPr>
        <w:t>Neither want to fund customer acquisition, which is arguably a public good and once established, other actors can come into the market without bearing that cost</w:t>
      </w:r>
      <w:r w:rsidR="00DF6299">
        <w:t xml:space="preserve">. </w:t>
      </w:r>
      <w:r w:rsidRPr="00D72892">
        <w:t xml:space="preserve"> Government may want resilience but </w:t>
      </w:r>
      <w:r w:rsidR="000E1B78">
        <w:t>is not yet ready to</w:t>
      </w:r>
      <w:r w:rsidRPr="00D72892">
        <w:t xml:space="preserve"> </w:t>
      </w:r>
      <w:r w:rsidR="000E1B78">
        <w:t xml:space="preserve">finance significant </w:t>
      </w:r>
      <w:r w:rsidRPr="00D72892">
        <w:t xml:space="preserve">subsidies </w:t>
      </w:r>
      <w:r w:rsidR="000E1B78">
        <w:t xml:space="preserve">for multiple types of products, let alone disburse such subsidy payments </w:t>
      </w:r>
      <w:r w:rsidRPr="00D72892">
        <w:t xml:space="preserve">reliably. </w:t>
      </w:r>
      <w:r w:rsidR="008862B7">
        <w:t xml:space="preserve"> </w:t>
      </w:r>
    </w:p>
    <w:p w14:paraId="30631BBA" w14:textId="0E1EFF81" w:rsidR="002D3BFA" w:rsidRPr="00D72892" w:rsidRDefault="008862B7">
      <w:r w:rsidRPr="00F0689E">
        <w:rPr>
          <w:b/>
          <w:bCs/>
          <w:u w:val="single"/>
        </w:rPr>
        <w:t>While we have no estimates of what customer acquisition would cost, it is probably in the millions of dollars if the goal is at least 500,00</w:t>
      </w:r>
      <w:r w:rsidR="00D83D5D" w:rsidRPr="00F0689E">
        <w:rPr>
          <w:b/>
          <w:bCs/>
          <w:u w:val="single"/>
        </w:rPr>
        <w:t>0 farmers to create a viable market</w:t>
      </w:r>
      <w:r w:rsidR="00B3071B" w:rsidRPr="00F0689E">
        <w:rPr>
          <w:b/>
          <w:bCs/>
          <w:u w:val="single"/>
        </w:rPr>
        <w:t xml:space="preserve"> in Kenya</w:t>
      </w:r>
      <w:r w:rsidR="00D83D5D" w:rsidRPr="00F0689E">
        <w:rPr>
          <w:b/>
          <w:bCs/>
          <w:u w:val="single"/>
        </w:rPr>
        <w:t>.</w:t>
      </w:r>
      <w:r w:rsidR="00D83D5D" w:rsidRPr="00B3071B">
        <w:rPr>
          <w:b/>
          <w:bCs/>
          <w:u w:val="single"/>
        </w:rPr>
        <w:t xml:space="preserve">  Since this is more than </w:t>
      </w:r>
      <w:r w:rsidR="00EB35F6" w:rsidRPr="00B3071B">
        <w:rPr>
          <w:b/>
          <w:bCs/>
          <w:u w:val="single"/>
        </w:rPr>
        <w:t xml:space="preserve">S4I </w:t>
      </w:r>
      <w:r w:rsidR="00D83D5D" w:rsidRPr="00B3071B">
        <w:rPr>
          <w:b/>
          <w:bCs/>
          <w:u w:val="single"/>
        </w:rPr>
        <w:t>can provide, this raises the fundamental question of the financial viability of this project unless S4I financing catalyzes other donors, foundations or impact investors</w:t>
      </w:r>
      <w:r w:rsidR="00F0689E">
        <w:rPr>
          <w:b/>
          <w:bCs/>
          <w:u w:val="single"/>
        </w:rPr>
        <w:t xml:space="preserve"> or can create a viable business case for a private sector to drive scaling.  Currently that case doesn’t exist</w:t>
      </w:r>
      <w:r w:rsidR="00D83D5D" w:rsidRPr="00B3071B">
        <w:rPr>
          <w:b/>
          <w:bCs/>
          <w:u w:val="single"/>
        </w:rPr>
        <w:t>.</w:t>
      </w:r>
      <w:r w:rsidR="00D83D5D">
        <w:t xml:space="preserve"> </w:t>
      </w:r>
    </w:p>
    <w:p w14:paraId="652B7693" w14:textId="54320CE9" w:rsidR="002D3BFA" w:rsidRPr="00AD70D4" w:rsidRDefault="00EB35F6">
      <w:r w:rsidRPr="00AD70D4">
        <w:t>The current strategy appears to rely too heavily on credit bundling without proving that lenders are the right scaling driver in Kenya</w:t>
      </w:r>
      <w:r w:rsidR="007B45FA">
        <w:t xml:space="preserve">; </w:t>
      </w:r>
      <w:r w:rsidR="007B45FA" w:rsidRPr="009E5C30">
        <w:rPr>
          <w:u w:val="single"/>
        </w:rPr>
        <w:t>it has looked at the business case and profit margin for farmers but not in sufficient depth for lenders because it has focused only on returns and not whether they have a demand for risk reduction or the profits justify the upfront investment in a public good</w:t>
      </w:r>
      <w:r w:rsidRPr="00AD70D4">
        <w:t xml:space="preserve">. Kenyan lenders may not need crop insurance as much as the theory assumes. SACCOs and MFIs often have borrower savings and multiple guarantors. A borrower may need to save a fraction of the loan amount, and guarantors may have their own savings at risk. </w:t>
      </w:r>
      <w:r w:rsidRPr="009E5C30">
        <w:rPr>
          <w:u w:val="single"/>
        </w:rPr>
        <w:t>From the lender’s perspective, this already creates a form of de facto insurance against individual default</w:t>
      </w:r>
      <w:r w:rsidRPr="00AD70D4">
        <w:t>. If a crop loss affects one borrower, the SACCO can recover from guarantors. This does not protect against systemic drought, but it may reduce the perceived value of insurance for many loan officers and institutions. That is a fundamental scaling challenge.</w:t>
      </w:r>
    </w:p>
    <w:p w14:paraId="5132CB25" w14:textId="60F994A1" w:rsidR="006F478B" w:rsidRPr="00187C2B" w:rsidRDefault="00EB35F6" w:rsidP="006F478B">
      <w:r w:rsidRPr="00F0689E">
        <w:rPr>
          <w:u w:val="single"/>
        </w:rPr>
        <w:t>The lender value proposition should therefore be redesigned</w:t>
      </w:r>
      <w:r w:rsidRPr="00AD70D4">
        <w:t>. TARA and insurance must</w:t>
      </w:r>
      <w:r w:rsidR="00AD70D4">
        <w:t xml:space="preserve"> develop a way</w:t>
      </w:r>
      <w:r w:rsidR="00187C2B">
        <w:t xml:space="preserve"> </w:t>
      </w:r>
      <w:r w:rsidR="009E5C30">
        <w:t xml:space="preserve">to </w:t>
      </w:r>
      <w:r w:rsidR="009E5C30" w:rsidRPr="00AD70D4">
        <w:t>allow</w:t>
      </w:r>
      <w:r w:rsidRPr="00AD70D4">
        <w:t xml:space="preserve"> lenders to do something they cannot already do. The most compelling possibilities are: lend to farmers who lack collateral or guarantors; reduce collateral requirements; increase agricultural loan volumes; reduce systemic portfolio risk; support lending to riskier but higher-return crops; price loans better by geography and season; satisfy regulatory or climate-finance objectives; or reduce the political and reputational risk of default during shocks. If TARA simply adds an insurance premium to an already </w:t>
      </w:r>
      <w:r w:rsidRPr="00AD70D4">
        <w:t>expensive loan without changing the lender’s behavior, it may increase the farmer’s cost without creating a strong incentive for either lender or borrower.</w:t>
      </w:r>
      <w:r w:rsidR="00187C2B">
        <w:t xml:space="preserve">  It also makes the product uncompetitive in the eyes of farmers if it simply increases the interest rate being charged even if the benefits justify the increased cost.</w:t>
      </w:r>
      <w:r w:rsidR="006F478B">
        <w:t xml:space="preserve"> The project needs to have the necessary conversations with banks to determine and/or co-create what such a product would look like and if it is feasible to create one. </w:t>
      </w:r>
    </w:p>
    <w:p w14:paraId="3698BA57" w14:textId="67F5423F" w:rsidR="002D3BFA" w:rsidRPr="00187C2B" w:rsidRDefault="00EB35F6">
      <w:r w:rsidRPr="00187C2B">
        <w:lastRenderedPageBreak/>
        <w:t>The product also needs to be made commercially legible to insurers and reinsurers. An insurer does not need a persuasive development narrative; it needs an actuarial and commercial portfolio. It needs to know premium rates, expected loss ratios, claim frequency, geographic correlation, claims administration costs, acquisition costs, commission structures, reinsurance terms, renewal rates, and regulatory risks. A reinsurer needs enough premium volume and diversification to justify engagement. A 15,000-farmer</w:t>
      </w:r>
      <w:r w:rsidRPr="00187C2B">
        <w:t xml:space="preserve"> or 50,000-farmer target may be meaningful for learning, but it is not necessarily a credible commercial portfolio. </w:t>
      </w:r>
      <w:r w:rsidRPr="007722D9">
        <w:rPr>
          <w:u w:val="single"/>
        </w:rPr>
        <w:t xml:space="preserve">The next phase should </w:t>
      </w:r>
      <w:r w:rsidR="00187C2B" w:rsidRPr="007722D9">
        <w:rPr>
          <w:u w:val="single"/>
        </w:rPr>
        <w:t xml:space="preserve">include </w:t>
      </w:r>
      <w:r w:rsidRPr="007722D9">
        <w:rPr>
          <w:u w:val="single"/>
        </w:rPr>
        <w:t>calculat</w:t>
      </w:r>
      <w:r w:rsidR="00187C2B" w:rsidRPr="007722D9">
        <w:rPr>
          <w:u w:val="single"/>
        </w:rPr>
        <w:t>ing</w:t>
      </w:r>
      <w:r w:rsidRPr="007722D9">
        <w:rPr>
          <w:u w:val="single"/>
        </w:rPr>
        <w:t xml:space="preserve"> the minimum viable portfolio for Kenya: by farmer count, crop mix, geography, premium volume, and loss diversification</w:t>
      </w:r>
      <w:r w:rsidRPr="00187C2B">
        <w:t>.</w:t>
      </w:r>
      <w:r w:rsidR="00187C2B">
        <w:t xml:space="preserve">  </w:t>
      </w:r>
      <w:r w:rsidR="006F478B">
        <w:t xml:space="preserve">The project needs to have the necessary conversations with insurers to determine that. </w:t>
      </w:r>
    </w:p>
    <w:p w14:paraId="1C315D65" w14:textId="571B98FE" w:rsidR="002D3BFA" w:rsidRPr="006F478B" w:rsidRDefault="00EB35F6">
      <w:r w:rsidRPr="007722D9">
        <w:rPr>
          <w:u w:val="single"/>
        </w:rPr>
        <w:t>The farmer business case remains under-specified</w:t>
      </w:r>
      <w:r w:rsidR="006F478B" w:rsidRPr="007722D9">
        <w:rPr>
          <w:u w:val="single"/>
        </w:rPr>
        <w:t xml:space="preserve"> in Kenya</w:t>
      </w:r>
      <w:r w:rsidRPr="006F478B">
        <w:t xml:space="preserve">. Farmers do not buy insurance because climate risk exists. They buy insurance when the product solves a problem they recognize, when the premium is affordable, when payout likelihood and rules are credible, when the product is bundled with something they already value, or when the product is required by a lender or buyer. </w:t>
      </w:r>
      <w:r w:rsidR="00336A51">
        <w:t xml:space="preserve">Most importantly, it assumes that farmers understand how insurance works in general and are familiar with it.  None of this seems to be the case in Kenya, as opposed to India. </w:t>
      </w:r>
      <w:r w:rsidRPr="006F478B">
        <w:t>Many farmer</w:t>
      </w:r>
      <w:r w:rsidRPr="006F478B">
        <w:t xml:space="preserve">s will rationally choose not to buy insurance if they have limited cash, if they have not seen payouts, if they do not understand trigger rules, if basis risk remains high, or if they expect informal coping mechanisms to be sufficient. </w:t>
      </w:r>
      <w:r w:rsidRPr="007722D9">
        <w:rPr>
          <w:u w:val="single"/>
        </w:rPr>
        <w:t>The next phase needs evidence on adoption and non-adoption, not just uptake. Who says yes, who says no, why, and how does prior payout experience affect renewal?</w:t>
      </w:r>
    </w:p>
    <w:p w14:paraId="2CD8B19A" w14:textId="1B4716A8" w:rsidR="002D3BFA" w:rsidRPr="0016573F" w:rsidRDefault="0016573F">
      <w:r w:rsidRPr="0016573F">
        <w:t>Our analysis identif</w:t>
      </w:r>
      <w:r>
        <w:t>i</w:t>
      </w:r>
      <w:r w:rsidRPr="0016573F">
        <w:t xml:space="preserve">ed </w:t>
      </w:r>
      <w:r w:rsidRPr="007722D9">
        <w:rPr>
          <w:u w:val="single"/>
        </w:rPr>
        <w:t>three serious scaling pathways, each with tradeoffs</w:t>
      </w:r>
      <w:r w:rsidRPr="0016573F">
        <w:t xml:space="preserve">. The first is input-push bundling, which ACRE has already used through seed packages and replanting guarantees. This pathway </w:t>
      </w:r>
      <w:proofErr w:type="gramStart"/>
      <w:r w:rsidR="00EE2795">
        <w:t>has to</w:t>
      </w:r>
      <w:proofErr w:type="gramEnd"/>
      <w:r w:rsidR="00EE2795">
        <w:t xml:space="preserve"> be driven by an input supplier like a seed </w:t>
      </w:r>
      <w:proofErr w:type="gramStart"/>
      <w:r w:rsidR="00EE2795">
        <w:t>company, and</w:t>
      </w:r>
      <w:proofErr w:type="gramEnd"/>
      <w:r w:rsidR="00EE2795">
        <w:t xml:space="preserve"> </w:t>
      </w:r>
      <w:r w:rsidRPr="0016573F">
        <w:t>can exploit agro</w:t>
      </w:r>
      <w:r w:rsidR="007722D9">
        <w:t>-</w:t>
      </w:r>
      <w:r w:rsidRPr="0016573F">
        <w:t xml:space="preserve">dealer networks and farmer purchase moments, but it may cover only certain crops and seasons and may produce low premiums unless volumes are very high. The second is output-pull bundling through contract farming, buyers, processors, warehouse-receipt systems, or structured value chains. This may be more attractive because buyers and financiers have a direct interest in delivery and quality, but it excludes farmers outside organized value chains. The third is credit bundling, the current focus, which can work where lenders genuinely need risk protection, but in Kenya it must overcome SACCO collateral structures and lender regulatory constraints. </w:t>
      </w:r>
      <w:r w:rsidR="00EE2795">
        <w:t>(</w:t>
      </w:r>
      <w:r w:rsidRPr="0016573F">
        <w:t>A fourth pathway, public subsidy, may be necessary for poorer farmers or systemic climate resilience, but it depends on credible and timely public financing</w:t>
      </w:r>
      <w:r w:rsidR="00EE2795">
        <w:t xml:space="preserve"> and political will and prioritization; this does not currently </w:t>
      </w:r>
      <w:proofErr w:type="gramStart"/>
      <w:r w:rsidR="00EE2795">
        <w:t>exist</w:t>
      </w:r>
      <w:proofErr w:type="gramEnd"/>
      <w:r w:rsidR="00EE2795">
        <w:t xml:space="preserve"> and it doesn’t seem like the project has political wherewithal to create it</w:t>
      </w:r>
      <w:r w:rsidRPr="0016573F">
        <w:t>.</w:t>
      </w:r>
      <w:r w:rsidR="00EE2795">
        <w:t>)</w:t>
      </w:r>
    </w:p>
    <w:p w14:paraId="1022267B" w14:textId="5E01D433" w:rsidR="002D3BFA" w:rsidRPr="00EE2795" w:rsidRDefault="00EB35F6">
      <w:r w:rsidRPr="00EE2795">
        <w:t xml:space="preserve">The project should stop treating GESI as a parallel objective </w:t>
      </w:r>
      <w:r w:rsidR="002569A6">
        <w:t xml:space="preserve">that needs to be dealt with </w:t>
      </w:r>
      <w:proofErr w:type="gramStart"/>
      <w:r w:rsidR="002569A6">
        <w:t>now;  if</w:t>
      </w:r>
      <w:proofErr w:type="gramEnd"/>
      <w:r w:rsidR="002569A6">
        <w:t xml:space="preserve"> there is no viable commercial (or subsidized market) there is no insurance to anyone, whether male, female, marginalized or not.  </w:t>
      </w:r>
      <w:r w:rsidRPr="00EE2795">
        <w:t xml:space="preserve">Inclusion is important, and the target groups are the right ones: women, youth, tenants, and marginalized farmers are often excluded from finance and insurance. But inclusion will not be sustainable if the product itself does not scale. The correct question is not whether a non-scalable product can reach inclusive targets during a donor-supported phase. The correct question is which inclusive segment can also anchor or benefit from a viable scaling </w:t>
      </w:r>
      <w:proofErr w:type="gramStart"/>
      <w:r w:rsidRPr="00EE2795">
        <w:t>pathway</w:t>
      </w:r>
      <w:r w:rsidR="00EE2795">
        <w:t>, or</w:t>
      </w:r>
      <w:proofErr w:type="gramEnd"/>
      <w:r w:rsidR="00EE2795">
        <w:t xml:space="preserve"> be used to generate political support for one of the above pathways through concerns about social inclusion</w:t>
      </w:r>
      <w:r w:rsidRPr="00EE2795">
        <w:t xml:space="preserve">. </w:t>
      </w:r>
    </w:p>
    <w:p w14:paraId="49952971" w14:textId="2A56EAD1" w:rsidR="002D3BFA" w:rsidRPr="001D7E80" w:rsidRDefault="00EB35F6">
      <w:r w:rsidRPr="001D7E80">
        <w:t>Policy and regulatory engagement may be essential</w:t>
      </w:r>
      <w:r w:rsidR="001F72A2">
        <w:t xml:space="preserve"> if a key bottleneck is financial accounting regulations</w:t>
      </w:r>
      <w:r w:rsidRPr="001D7E80">
        <w:t xml:space="preserve">, but it should be approached with realism. </w:t>
      </w:r>
      <w:r w:rsidR="001D7E80">
        <w:t>E</w:t>
      </w:r>
      <w:r w:rsidRPr="001D7E80">
        <w:t>ngaging Treasury, Central Bank, insurance regulators, ministries, and financial-inclusion actors</w:t>
      </w:r>
      <w:r w:rsidR="008F6AAC">
        <w:t xml:space="preserve"> </w:t>
      </w:r>
      <w:proofErr w:type="gramStart"/>
      <w:r w:rsidR="008F6AAC">
        <w:t>seems</w:t>
      </w:r>
      <w:proofErr w:type="gramEnd"/>
      <w:r w:rsidR="008F6AAC">
        <w:t xml:space="preserve"> necessary </w:t>
      </w:r>
      <w:r w:rsidRPr="001D7E80">
        <w:t xml:space="preserve">because banks </w:t>
      </w:r>
      <w:r w:rsidR="008F6AAC">
        <w:t>are</w:t>
      </w:r>
      <w:r w:rsidRPr="001D7E80">
        <w:t xml:space="preserve"> unable or unwilling to adjust collateral or interest rates without regulatory comfort. At the same time, policy work is slow, uncertain, and easily disconnected from commercial adoption. The project should set practical policy objectives: permitting banks to recognize insurance in risk weighting, supporting targeted premium subsidies,</w:t>
      </w:r>
      <w:r w:rsidRPr="001D7E80">
        <w:t xml:space="preserve"> enabling digital claims and data use, </w:t>
      </w:r>
      <w:r w:rsidRPr="001D7E80">
        <w:lastRenderedPageBreak/>
        <w:t>supporting climate-finance instruments, and avoiding rules that undermine innovation. A general advocacy campaign to make millions of farmers demand insurance is unlikely to be cost-effective.</w:t>
      </w:r>
    </w:p>
    <w:p w14:paraId="659F289F" w14:textId="77777777" w:rsidR="002D3BFA" w:rsidRDefault="00EB35F6">
      <w:pPr>
        <w:pStyle w:val="Heading1"/>
      </w:pPr>
      <w:r>
        <w:rPr>
          <w:rFonts w:ascii="Aptos" w:eastAsia="Aptos" w:hAnsi="Aptos"/>
          <w:sz w:val="23"/>
        </w:rPr>
        <w:t xml:space="preserve">Recommendations </w:t>
      </w:r>
      <w:proofErr w:type="gramStart"/>
      <w:r>
        <w:rPr>
          <w:rFonts w:ascii="Aptos" w:eastAsia="Aptos" w:hAnsi="Aptos"/>
          <w:sz w:val="23"/>
        </w:rPr>
        <w:t>to</w:t>
      </w:r>
      <w:proofErr w:type="gramEnd"/>
      <w:r>
        <w:rPr>
          <w:rFonts w:ascii="Aptos" w:eastAsia="Aptos" w:hAnsi="Aptos"/>
          <w:sz w:val="23"/>
        </w:rPr>
        <w:t xml:space="preserve"> the Project Team</w:t>
      </w:r>
    </w:p>
    <w:p w14:paraId="25E6572C" w14:textId="7D0C6D17" w:rsidR="002D3BFA" w:rsidRPr="003F3430" w:rsidRDefault="00EB35F6">
      <w:r w:rsidRPr="00575856">
        <w:rPr>
          <w:u w:val="single"/>
        </w:rPr>
        <w:t>First, redefine the Kenya scaling ambition around market creation rather than project reach</w:t>
      </w:r>
      <w:r w:rsidRPr="003F3430">
        <w:t xml:space="preserve">. The key outcome should be not only farmer numbers but evidence that a scaling actor is investing </w:t>
      </w:r>
      <w:proofErr w:type="gramStart"/>
      <w:r w:rsidRPr="003F3430">
        <w:t>its</w:t>
      </w:r>
      <w:proofErr w:type="gramEnd"/>
      <w:r w:rsidRPr="003F3430">
        <w:t xml:space="preserve"> own resources</w:t>
      </w:r>
      <w:r w:rsidR="005879BE">
        <w:t xml:space="preserve"> to create a market</w:t>
      </w:r>
    </w:p>
    <w:p w14:paraId="10AAECAF" w14:textId="31F84DEF" w:rsidR="002D3BFA" w:rsidRPr="005879BE" w:rsidRDefault="00EB35F6">
      <w:r w:rsidRPr="00575856">
        <w:rPr>
          <w:u w:val="single"/>
        </w:rPr>
        <w:t>Second, produce actor-specific business cases</w:t>
      </w:r>
      <w:r w:rsidRPr="005879BE">
        <w:t>. ACRE and IFPRI should prepare simple but serious business cases for insurers, reinsurers, banks, SACCOs, MFIs, input companies, contract buyers, government, and farmers. Each business case should identify benefits, costs, risks, margins, required scale, and the reason the actor would invest in market creation. This is the single most important analytical deliverable for the next phase.</w:t>
      </w:r>
      <w:r w:rsidR="00494216">
        <w:t xml:space="preserve"> </w:t>
      </w:r>
    </w:p>
    <w:p w14:paraId="0846A3CF" w14:textId="0DCBD97B" w:rsidR="002D3BFA" w:rsidRPr="00494216" w:rsidRDefault="00EB35F6">
      <w:r w:rsidRPr="00575856">
        <w:rPr>
          <w:u w:val="single"/>
        </w:rPr>
        <w:t>Third, test competing scaling pathways</w:t>
      </w:r>
      <w:r w:rsidRPr="00494216">
        <w:t>. Do not assume credit bundling is the only or best pathway.</w:t>
      </w:r>
      <w:r w:rsidR="00BF5C6E">
        <w:t xml:space="preserve"> Based on the business case analysis, it can then decide which scaling pathway and lead driver makes </w:t>
      </w:r>
      <w:proofErr w:type="gramStart"/>
      <w:r w:rsidR="00BF5C6E">
        <w:t>sense, and</w:t>
      </w:r>
      <w:proofErr w:type="gramEnd"/>
      <w:r w:rsidR="00BF5C6E">
        <w:t xml:space="preserve"> develop a scaling strategy accordingly. </w:t>
      </w:r>
      <w:r w:rsidRPr="00494216">
        <w:t xml:space="preserve"> The team should compare credit-bundled insurance with input-bundled insurance, output-buyer insurance, public subsidy, savings-group delivery, and climate-finance-backed insurance. Each pathway should be tested against the same criteria: incentive strength, cost of acquisition, farmer trust, premiu</w:t>
      </w:r>
      <w:r w:rsidRPr="00494216">
        <w:t>m volume, inclusion, public-goods requirement, and post-donor sustainability.</w:t>
      </w:r>
    </w:p>
    <w:p w14:paraId="3E79C2A9" w14:textId="53C52B71" w:rsidR="002D3BFA" w:rsidRPr="00AC0A85" w:rsidRDefault="00AC0A85">
      <w:r w:rsidRPr="00575856">
        <w:rPr>
          <w:u w:val="single"/>
        </w:rPr>
        <w:t>Fourth, use inclusion strategically</w:t>
      </w:r>
      <w:r w:rsidRPr="00AC0A85">
        <w:t>. The team should target women and youth through channels that improve both inclusion and market viability: chamas, savings groups, women-led cooperatives, organized value chains, and group-based purchasing or insurance mechanisms. Inclusion subsidies should be explicit and targeted rather than hidden inside broad project costs.</w:t>
      </w:r>
    </w:p>
    <w:p w14:paraId="52CBB697" w14:textId="77777777" w:rsidR="002D3BFA" w:rsidRDefault="00EB35F6">
      <w:pPr>
        <w:pStyle w:val="Heading1"/>
      </w:pPr>
      <w:r>
        <w:rPr>
          <w:rFonts w:ascii="Aptos" w:eastAsia="Aptos" w:hAnsi="Aptos"/>
          <w:sz w:val="23"/>
        </w:rPr>
        <w:t>Recommendation for S4I Funding</w:t>
      </w:r>
    </w:p>
    <w:p w14:paraId="6C288FB3" w14:textId="26600E3C" w:rsidR="002D3BFA" w:rsidRPr="00AC0A85" w:rsidRDefault="00EB35F6">
      <w:r w:rsidRPr="005F50A2">
        <w:rPr>
          <w:u w:val="single"/>
        </w:rPr>
        <w:t xml:space="preserve">My recommendation is to </w:t>
      </w:r>
      <w:r w:rsidR="005F50A2" w:rsidRPr="005F50A2">
        <w:rPr>
          <w:u w:val="single"/>
        </w:rPr>
        <w:t xml:space="preserve">not fund this for another year, or to </w:t>
      </w:r>
      <w:r w:rsidRPr="005F50A2">
        <w:rPr>
          <w:u w:val="single"/>
        </w:rPr>
        <w:t>fund the project for one more year</w:t>
      </w:r>
      <w:r w:rsidR="005F50A2" w:rsidRPr="005F50A2">
        <w:rPr>
          <w:u w:val="single"/>
        </w:rPr>
        <w:t xml:space="preserve"> on a probationary basis</w:t>
      </w:r>
      <w:r w:rsidRPr="005F50A2">
        <w:rPr>
          <w:u w:val="single"/>
        </w:rPr>
        <w:t>, but only as a focused transition-to-scale and market-design investment</w:t>
      </w:r>
      <w:r w:rsidRPr="00AC0A85">
        <w:t xml:space="preserve">. </w:t>
      </w:r>
      <w:r w:rsidR="005F50A2">
        <w:t xml:space="preserve">ACRE has been working on this for ten years and </w:t>
      </w:r>
      <w:proofErr w:type="gramStart"/>
      <w:r w:rsidR="005F50A2">
        <w:t>not</w:t>
      </w:r>
      <w:proofErr w:type="gramEnd"/>
      <w:r w:rsidR="005F50A2">
        <w:t xml:space="preserve"> cracked the nut, and it isn’t clear that IFPRI’s help is doing much more than helping refine and improve the product, but the product is not the problem</w:t>
      </w:r>
      <w:r w:rsidRPr="00AC0A85">
        <w:t xml:space="preserve">. </w:t>
      </w:r>
      <w:r w:rsidR="00AC6C67">
        <w:t>If S4I chooses to fund this for another year, it is not clear why funding should go to IFPRI and not ACRE directly. Regardless, t</w:t>
      </w:r>
      <w:r w:rsidRPr="00AC0A85">
        <w:t>he next year should be judged by the quality of the scaling evidence and market commitments it generates, not by modest increases in reach.</w:t>
      </w:r>
    </w:p>
    <w:p w14:paraId="6B1DC5DA" w14:textId="1E12ACF5" w:rsidR="002D3BFA" w:rsidRPr="00415E3F" w:rsidRDefault="00EB35F6">
      <w:r w:rsidRPr="00415E3F">
        <w:t xml:space="preserve">S4I should make continued support conditional on four deliverables. The first is a Kenya-specific scaling pathway that identifies the primary scaling driver and one or two backup pathways. The second is a set of actor-specific business cases. The third is evidence on adoption, non-adoption, renewal, claims speed, and lender behavior change. The fourth is a post-donor financing and ownership plan for the public goods of market creation. </w:t>
      </w:r>
      <w:r w:rsidR="003D7C1D">
        <w:t xml:space="preserve">However, if S4I does fund this for another year, it </w:t>
      </w:r>
      <w:r w:rsidRPr="00415E3F">
        <w:t>risks funding another promising but under-scaled crop-insurance project</w:t>
      </w:r>
      <w:r w:rsidR="003D7C1D">
        <w:t xml:space="preserve"> in a long history of such decisions</w:t>
      </w:r>
      <w:r w:rsidRPr="00415E3F">
        <w:t>.</w:t>
      </w:r>
    </w:p>
    <w:p w14:paraId="703C37E6" w14:textId="77777777" w:rsidR="002D3BFA" w:rsidRDefault="00EB35F6">
      <w:pPr>
        <w:pStyle w:val="Heading1"/>
      </w:pPr>
      <w:r>
        <w:rPr>
          <w:rFonts w:ascii="Aptos" w:eastAsia="Aptos" w:hAnsi="Aptos"/>
          <w:sz w:val="23"/>
        </w:rPr>
        <w:t>Lessons for Future CGIAR Scaling Funding Decisions</w:t>
      </w:r>
    </w:p>
    <w:p w14:paraId="51396E8F" w14:textId="77777777" w:rsidR="002D3BFA" w:rsidRPr="00415E3F" w:rsidRDefault="00EB35F6">
      <w:r w:rsidRPr="00415E3F">
        <w:t>The first lesson is that scaling financial products requires proving the market, not only proving the product. CGIAR and S4I should not be satisfied with evidence that a digital tool, insurance index, or risk score performs technically. They should require evidence that the actors expected to scale the product have incentives, budgets, margins, and institutional authority to do so. This is especially true for agricultural insurance, where market creation itself is a public good.</w:t>
      </w:r>
    </w:p>
    <w:p w14:paraId="23535578" w14:textId="77777777" w:rsidR="002D3BFA" w:rsidRPr="00415E3F" w:rsidRDefault="00EB35F6">
      <w:r w:rsidRPr="00415E3F">
        <w:lastRenderedPageBreak/>
        <w:t>The second lesson is that bundling is not a generic strategy. Bundling works only when the bundle solves a real problem for the bundling actor. Credit bundling works if lenders need risk protection and can adjust lending behavior. Input bundling works if seed or fertilizer firms gain sales or protect customers. Output bundling works if buyers need supply security. Public subsidy works if government values resilience and pays reliably. S4I should require teams to specify why the bundler will actively scale t</w:t>
      </w:r>
      <w:r w:rsidRPr="00415E3F">
        <w:t>he product rather than merely allow it to be attached to an existing transaction.</w:t>
      </w:r>
    </w:p>
    <w:p w14:paraId="4F029730" w14:textId="77777777" w:rsidR="002D3BFA" w:rsidRPr="00415E3F" w:rsidRDefault="00EB35F6">
      <w:r w:rsidRPr="00415E3F">
        <w:t xml:space="preserve">The third lesson is that inclusion cannot substitute for viability. A product that reaches women and youth during a donor-funded phase but does not become commercially or publicly sustainable will not produce durable inclusion. Conversely, a commercially viable pathway that initially reaches less-poor farmers may still be worth supporting if it builds market infrastructure that can later be extended through targeted subsidy or group-based inclusion mechanisms. The point is to be explicit about the tradeoff </w:t>
      </w:r>
      <w:r w:rsidRPr="00415E3F">
        <w:t>and sequence.</w:t>
      </w:r>
    </w:p>
    <w:p w14:paraId="316EE7ED" w14:textId="788513E1" w:rsidR="002D3BFA" w:rsidRPr="00FE3348" w:rsidRDefault="00EB35F6">
      <w:r w:rsidRPr="00FE3348">
        <w:t xml:space="preserve">The fourth lesson is that </w:t>
      </w:r>
      <w:r w:rsidR="00FE3348">
        <w:t xml:space="preserve">S4I’s Solution Track portfolio includes innovations that are in the Proof of Concept, TTS and Scaling phase. </w:t>
      </w:r>
      <w:r w:rsidRPr="00FE3348">
        <w:t>S4I’s</w:t>
      </w:r>
      <w:r w:rsidR="00FE3348">
        <w:t xml:space="preserve"> needs to decide in the next year whether it makes sense for its mission to support scaling of CGIAR innovations with its</w:t>
      </w:r>
      <w:r w:rsidRPr="00FE3348">
        <w:t xml:space="preserve"> comparative advantage is </w:t>
      </w:r>
      <w:r w:rsidR="00FE3348">
        <w:t xml:space="preserve">to continue to fund all three phases of the Innovation to </w:t>
      </w:r>
      <w:r w:rsidR="001C1194">
        <w:t>Institutionalization</w:t>
      </w:r>
      <w:r w:rsidR="00FE3348">
        <w:t xml:space="preserve"> pathway</w:t>
      </w:r>
      <w:r w:rsidR="001C1194">
        <w:t>, and specifically TTS</w:t>
      </w:r>
      <w:r w:rsidRPr="00FE3348">
        <w:t>. This is where products are technically promising but</w:t>
      </w:r>
      <w:r w:rsidR="001C1194">
        <w:t xml:space="preserve"> business cases for all actors in</w:t>
      </w:r>
      <w:r w:rsidRPr="00FE3348">
        <w:t xml:space="preserve"> the market system </w:t>
      </w:r>
      <w:proofErr w:type="gramStart"/>
      <w:r w:rsidRPr="00FE3348">
        <w:t>is</w:t>
      </w:r>
      <w:proofErr w:type="gramEnd"/>
      <w:r w:rsidRPr="00FE3348">
        <w:t xml:space="preserve"> not yet formed. In that space, the most catalytic funding is not more dissemination. It is business-model testing, actor-incentive analysis, market coalition building, regulatory engagement, data-system development, and stage-gated learning. The ACRE/IFPRI case is exactly such a case</w:t>
      </w:r>
      <w:r w:rsidR="003F1B85">
        <w:t xml:space="preserve">, </w:t>
      </w:r>
      <w:r w:rsidR="003F1B85" w:rsidRPr="003F1B85">
        <w:rPr>
          <w:u w:val="single"/>
        </w:rPr>
        <w:t>but probably one of the most challenging because the minimum viable market is so large and a public good</w:t>
      </w:r>
      <w:r w:rsidRPr="00FE3348">
        <w:t>.</w:t>
      </w:r>
    </w:p>
    <w:p w14:paraId="06C440A0" w14:textId="34DF9B5A" w:rsidR="002D3BFA" w:rsidRPr="001C1194" w:rsidRDefault="00EB35F6">
      <w:r w:rsidRPr="001C1194">
        <w:t xml:space="preserve">The final lesson is that CGIAR teams need permission to say that the next scaling step is not expansion but market design. That is not failure. It is </w:t>
      </w:r>
      <w:r w:rsidR="003F1B85">
        <w:t>intellectual responsibility, rigor and honesty</w:t>
      </w:r>
      <w:r w:rsidRPr="001C1194">
        <w:t>. For ACRE and IFPRI, the next question is not whether crop insurance is needed, whether TARA is interesting, or whether ACRE has done impressive work. The answer to all three is yes. The real question is whether the Kenya ecosystem can produce a commercially or publicly financed route to hundreds of thousands or millions of insured farmers. That is the question the next phase should answer.</w:t>
      </w:r>
    </w:p>
    <w:sectPr w:rsidR="002D3BFA" w:rsidRPr="001C1194" w:rsidSect="00B44A83">
      <w:headerReference w:type="default" r:id="rId8"/>
      <w:footerReference w:type="default" r:id="rId9"/>
      <w:footerReference w:type="first" r:id="rId10"/>
      <w:pgSz w:w="12240" w:h="15840"/>
      <w:pgMar w:top="1080" w:right="1224" w:bottom="1080"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DE06A" w14:textId="77777777" w:rsidR="00EB35F6" w:rsidRDefault="00EB35F6">
      <w:pPr>
        <w:spacing w:after="0"/>
      </w:pPr>
      <w:r>
        <w:separator/>
      </w:r>
    </w:p>
  </w:endnote>
  <w:endnote w:type="continuationSeparator" w:id="0">
    <w:p w14:paraId="4547BFD4" w14:textId="77777777" w:rsidR="00EB35F6" w:rsidRDefault="00EB35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E565" w14:textId="3E78820D" w:rsidR="002D3BFA" w:rsidRPr="00B44A83" w:rsidRDefault="00B44A83">
    <w:pPr>
      <w:pStyle w:val="Footer"/>
      <w:jc w:val="center"/>
      <w:rPr>
        <w:sz w:val="28"/>
        <w:szCs w:val="28"/>
      </w:rPr>
    </w:pPr>
    <w:r w:rsidRPr="00B44A83">
      <w:rPr>
        <w:sz w:val="20"/>
        <w:szCs w:val="28"/>
      </w:rPr>
      <w:t>Author: Richard Kohl</w:t>
    </w:r>
    <w:r w:rsidR="00FD2279" w:rsidRPr="00B44A83">
      <w:rPr>
        <w:sz w:val="20"/>
        <w:szCs w:val="28"/>
      </w:rPr>
      <w:tab/>
    </w:r>
    <w:r w:rsidR="00EB35F6" w:rsidRPr="00B44A83">
      <w:rPr>
        <w:sz w:val="20"/>
        <w:szCs w:val="28"/>
      </w:rPr>
      <w:t xml:space="preserve">Page </w:t>
    </w:r>
    <w:r w:rsidR="00EB35F6" w:rsidRPr="00B44A83">
      <w:rPr>
        <w:sz w:val="20"/>
        <w:szCs w:val="28"/>
      </w:rPr>
      <w:fldChar w:fldCharType="begin"/>
    </w:r>
    <w:r w:rsidR="00EB35F6" w:rsidRPr="00B44A83">
      <w:rPr>
        <w:sz w:val="20"/>
        <w:szCs w:val="28"/>
      </w:rPr>
      <w:instrText>PAGE</w:instrText>
    </w:r>
    <w:r w:rsidR="00EB35F6" w:rsidRPr="00B44A83">
      <w:rPr>
        <w:sz w:val="20"/>
        <w:szCs w:val="28"/>
      </w:rPr>
      <w:fldChar w:fldCharType="separate"/>
    </w:r>
    <w:r w:rsidR="00EB35F6" w:rsidRPr="00B44A83">
      <w:rPr>
        <w:sz w:val="20"/>
        <w:szCs w:val="28"/>
      </w:rPr>
      <w:t>1</w:t>
    </w:r>
    <w:r w:rsidR="00EB35F6" w:rsidRPr="00B44A83">
      <w:rPr>
        <w:sz w:val="20"/>
        <w:szCs w:val="28"/>
      </w:rPr>
      <w:fldChar w:fldCharType="end"/>
    </w:r>
    <w:r w:rsidR="00EB35F6" w:rsidRPr="00B44A83">
      <w:rPr>
        <w:sz w:val="20"/>
        <w:szCs w:val="28"/>
      </w:rPr>
      <w:t xml:space="preserve"> of </w:t>
    </w:r>
    <w:r w:rsidR="00EB35F6" w:rsidRPr="00B44A83">
      <w:rPr>
        <w:sz w:val="20"/>
        <w:szCs w:val="28"/>
      </w:rPr>
      <w:fldChar w:fldCharType="begin"/>
    </w:r>
    <w:r w:rsidR="00EB35F6" w:rsidRPr="00B44A83">
      <w:rPr>
        <w:sz w:val="20"/>
        <w:szCs w:val="28"/>
      </w:rPr>
      <w:instrText>NUMPAGES</w:instrText>
    </w:r>
    <w:r w:rsidR="00EB35F6" w:rsidRPr="00B44A83">
      <w:rPr>
        <w:sz w:val="20"/>
        <w:szCs w:val="28"/>
      </w:rPr>
      <w:fldChar w:fldCharType="separate"/>
    </w:r>
    <w:r w:rsidR="00EB35F6" w:rsidRPr="00B44A83">
      <w:rPr>
        <w:sz w:val="20"/>
        <w:szCs w:val="28"/>
      </w:rPr>
      <w:t>1</w:t>
    </w:r>
    <w:r w:rsidR="00EB35F6" w:rsidRPr="00B44A83">
      <w:rPr>
        <w:sz w:val="20"/>
        <w:szCs w:val="28"/>
      </w:rPr>
      <w:fldChar w:fldCharType="end"/>
    </w:r>
    <w:r w:rsidR="00EB35F6" w:rsidRPr="00B44A83">
      <w:rPr>
        <w:sz w:val="20"/>
        <w:szCs w:val="28"/>
      </w:rPr>
      <w:tab/>
      <w:t xml:space="preserve">June </w:t>
    </w:r>
    <w:r>
      <w:rPr>
        <w:sz w:val="20"/>
        <w:szCs w:val="28"/>
      </w:rPr>
      <w:t>23</w:t>
    </w:r>
    <w:r w:rsidR="00EB35F6" w:rsidRPr="00B44A83">
      <w:rPr>
        <w:sz w:val="20"/>
        <w:szCs w:val="28"/>
      </w:rPr>
      <w:t>,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E390" w14:textId="250A6706" w:rsidR="00FD2279" w:rsidRPr="00B44A83" w:rsidRDefault="00B44A83" w:rsidP="00B44A83">
    <w:pPr>
      <w:pStyle w:val="Footer"/>
      <w:jc w:val="center"/>
      <w:rPr>
        <w:sz w:val="28"/>
        <w:szCs w:val="28"/>
      </w:rPr>
    </w:pPr>
    <w:r w:rsidRPr="00B44A83">
      <w:rPr>
        <w:sz w:val="20"/>
        <w:szCs w:val="28"/>
      </w:rPr>
      <w:t>Author: Richard Kohl</w:t>
    </w:r>
    <w:r w:rsidRPr="00B44A83">
      <w:rPr>
        <w:sz w:val="20"/>
        <w:szCs w:val="28"/>
      </w:rPr>
      <w:tab/>
      <w:t xml:space="preserve">Page </w:t>
    </w:r>
    <w:r w:rsidRPr="00B44A83">
      <w:rPr>
        <w:sz w:val="20"/>
        <w:szCs w:val="28"/>
      </w:rPr>
      <w:fldChar w:fldCharType="begin"/>
    </w:r>
    <w:r w:rsidRPr="00B44A83">
      <w:rPr>
        <w:sz w:val="20"/>
        <w:szCs w:val="28"/>
      </w:rPr>
      <w:instrText>PAGE</w:instrText>
    </w:r>
    <w:r w:rsidRPr="00B44A83">
      <w:rPr>
        <w:sz w:val="20"/>
        <w:szCs w:val="28"/>
      </w:rPr>
      <w:fldChar w:fldCharType="separate"/>
    </w:r>
    <w:r>
      <w:rPr>
        <w:sz w:val="20"/>
        <w:szCs w:val="28"/>
      </w:rPr>
      <w:t>4</w:t>
    </w:r>
    <w:r w:rsidRPr="00B44A83">
      <w:rPr>
        <w:sz w:val="20"/>
        <w:szCs w:val="28"/>
      </w:rPr>
      <w:fldChar w:fldCharType="end"/>
    </w:r>
    <w:r w:rsidRPr="00B44A83">
      <w:rPr>
        <w:sz w:val="20"/>
        <w:szCs w:val="28"/>
      </w:rPr>
      <w:t xml:space="preserve"> of </w:t>
    </w:r>
    <w:r w:rsidRPr="00B44A83">
      <w:rPr>
        <w:sz w:val="20"/>
        <w:szCs w:val="28"/>
      </w:rPr>
      <w:fldChar w:fldCharType="begin"/>
    </w:r>
    <w:r w:rsidRPr="00B44A83">
      <w:rPr>
        <w:sz w:val="20"/>
        <w:szCs w:val="28"/>
      </w:rPr>
      <w:instrText>NUMPAGES</w:instrText>
    </w:r>
    <w:r w:rsidRPr="00B44A83">
      <w:rPr>
        <w:sz w:val="20"/>
        <w:szCs w:val="28"/>
      </w:rPr>
      <w:fldChar w:fldCharType="separate"/>
    </w:r>
    <w:r>
      <w:rPr>
        <w:sz w:val="20"/>
        <w:szCs w:val="28"/>
      </w:rPr>
      <w:t>11</w:t>
    </w:r>
    <w:r w:rsidRPr="00B44A83">
      <w:rPr>
        <w:sz w:val="20"/>
        <w:szCs w:val="28"/>
      </w:rPr>
      <w:fldChar w:fldCharType="end"/>
    </w:r>
    <w:r w:rsidRPr="00B44A83">
      <w:rPr>
        <w:sz w:val="20"/>
        <w:szCs w:val="28"/>
      </w:rPr>
      <w:tab/>
      <w:t xml:space="preserve">June </w:t>
    </w:r>
    <w:r>
      <w:rPr>
        <w:sz w:val="20"/>
        <w:szCs w:val="28"/>
      </w:rPr>
      <w:t>23</w:t>
    </w:r>
    <w:r w:rsidRPr="00B44A83">
      <w:rPr>
        <w:sz w:val="20"/>
        <w:szCs w:val="2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07D49" w14:textId="77777777" w:rsidR="00EB35F6" w:rsidRDefault="00EB35F6">
      <w:pPr>
        <w:spacing w:after="0"/>
      </w:pPr>
      <w:r>
        <w:separator/>
      </w:r>
    </w:p>
  </w:footnote>
  <w:footnote w:type="continuationSeparator" w:id="0">
    <w:p w14:paraId="491973F1" w14:textId="77777777" w:rsidR="00EB35F6" w:rsidRDefault="00EB35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39DD" w14:textId="777E1D04" w:rsidR="00FD2279" w:rsidRPr="00B44A83" w:rsidRDefault="00B44A83" w:rsidP="00B44A83">
    <w:pPr>
      <w:pStyle w:val="Header"/>
      <w:jc w:val="right"/>
      <w:rPr>
        <w:rFonts w:cs="Times New Roman"/>
        <w:sz w:val="20"/>
        <w:szCs w:val="20"/>
      </w:rPr>
    </w:pPr>
    <w:r w:rsidRPr="00B44A83">
      <w:rPr>
        <w:rFonts w:cs="Times New Roman"/>
        <w:sz w:val="20"/>
        <w:szCs w:val="20"/>
      </w:rPr>
      <w:t>Kenya and India Digital Financial Services (Insurance) Scaling Coaching Findings and Recommendations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021420"/>
    <w:multiLevelType w:val="hybridMultilevel"/>
    <w:tmpl w:val="6EBE0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F4877E2"/>
    <w:multiLevelType w:val="hybridMultilevel"/>
    <w:tmpl w:val="E990F6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A4C79F7"/>
    <w:multiLevelType w:val="hybridMultilevel"/>
    <w:tmpl w:val="983CBA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59454107">
    <w:abstractNumId w:val="8"/>
  </w:num>
  <w:num w:numId="2" w16cid:durableId="1495950334">
    <w:abstractNumId w:val="6"/>
  </w:num>
  <w:num w:numId="3" w16cid:durableId="499852162">
    <w:abstractNumId w:val="5"/>
  </w:num>
  <w:num w:numId="4" w16cid:durableId="1130170476">
    <w:abstractNumId w:val="4"/>
  </w:num>
  <w:num w:numId="5" w16cid:durableId="800850175">
    <w:abstractNumId w:val="7"/>
  </w:num>
  <w:num w:numId="6" w16cid:durableId="923026057">
    <w:abstractNumId w:val="3"/>
  </w:num>
  <w:num w:numId="7" w16cid:durableId="1476990987">
    <w:abstractNumId w:val="2"/>
  </w:num>
  <w:num w:numId="8" w16cid:durableId="1249194631">
    <w:abstractNumId w:val="1"/>
  </w:num>
  <w:num w:numId="9" w16cid:durableId="128667322">
    <w:abstractNumId w:val="0"/>
  </w:num>
  <w:num w:numId="10" w16cid:durableId="2085175036">
    <w:abstractNumId w:val="9"/>
  </w:num>
  <w:num w:numId="11" w16cid:durableId="72355422">
    <w:abstractNumId w:val="10"/>
  </w:num>
  <w:num w:numId="12" w16cid:durableId="15184235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A1"/>
    <w:rsid w:val="00034616"/>
    <w:rsid w:val="0006063C"/>
    <w:rsid w:val="0007558B"/>
    <w:rsid w:val="000A3C9D"/>
    <w:rsid w:val="000E1B78"/>
    <w:rsid w:val="0015074B"/>
    <w:rsid w:val="0016573F"/>
    <w:rsid w:val="001806BF"/>
    <w:rsid w:val="00187C2B"/>
    <w:rsid w:val="001B10B6"/>
    <w:rsid w:val="001C1194"/>
    <w:rsid w:val="001D7E80"/>
    <w:rsid w:val="001F72A2"/>
    <w:rsid w:val="002569A6"/>
    <w:rsid w:val="0029639D"/>
    <w:rsid w:val="002D3BFA"/>
    <w:rsid w:val="002F63CA"/>
    <w:rsid w:val="00326F90"/>
    <w:rsid w:val="00336A51"/>
    <w:rsid w:val="00394B45"/>
    <w:rsid w:val="003C58CE"/>
    <w:rsid w:val="003D5ADB"/>
    <w:rsid w:val="003D69FC"/>
    <w:rsid w:val="003D7087"/>
    <w:rsid w:val="003D7C1D"/>
    <w:rsid w:val="003D7D58"/>
    <w:rsid w:val="003F1B85"/>
    <w:rsid w:val="003F3430"/>
    <w:rsid w:val="004144AC"/>
    <w:rsid w:val="00415E3F"/>
    <w:rsid w:val="004448E7"/>
    <w:rsid w:val="00494216"/>
    <w:rsid w:val="004F6072"/>
    <w:rsid w:val="00557AC0"/>
    <w:rsid w:val="00575856"/>
    <w:rsid w:val="005879BE"/>
    <w:rsid w:val="005D158A"/>
    <w:rsid w:val="005F50A2"/>
    <w:rsid w:val="00614C4A"/>
    <w:rsid w:val="00625B1B"/>
    <w:rsid w:val="006659A7"/>
    <w:rsid w:val="006C20F5"/>
    <w:rsid w:val="006C5245"/>
    <w:rsid w:val="006F478B"/>
    <w:rsid w:val="007075AC"/>
    <w:rsid w:val="007216AE"/>
    <w:rsid w:val="00723A5D"/>
    <w:rsid w:val="007722D9"/>
    <w:rsid w:val="007842EE"/>
    <w:rsid w:val="007A4B71"/>
    <w:rsid w:val="007B45FA"/>
    <w:rsid w:val="00832469"/>
    <w:rsid w:val="00834251"/>
    <w:rsid w:val="0086675D"/>
    <w:rsid w:val="00871496"/>
    <w:rsid w:val="008862B7"/>
    <w:rsid w:val="008C404A"/>
    <w:rsid w:val="008F6AAC"/>
    <w:rsid w:val="00923452"/>
    <w:rsid w:val="0092774E"/>
    <w:rsid w:val="00974702"/>
    <w:rsid w:val="009D5BE1"/>
    <w:rsid w:val="009E5C30"/>
    <w:rsid w:val="00A11497"/>
    <w:rsid w:val="00A17B73"/>
    <w:rsid w:val="00A33B7E"/>
    <w:rsid w:val="00A40F4F"/>
    <w:rsid w:val="00AA1D8D"/>
    <w:rsid w:val="00AB087E"/>
    <w:rsid w:val="00AC0A85"/>
    <w:rsid w:val="00AC6C67"/>
    <w:rsid w:val="00AD70D4"/>
    <w:rsid w:val="00AF1D80"/>
    <w:rsid w:val="00B22166"/>
    <w:rsid w:val="00B3071B"/>
    <w:rsid w:val="00B44A83"/>
    <w:rsid w:val="00B47730"/>
    <w:rsid w:val="00B81659"/>
    <w:rsid w:val="00B929E7"/>
    <w:rsid w:val="00BC75D6"/>
    <w:rsid w:val="00BF5C6E"/>
    <w:rsid w:val="00C14778"/>
    <w:rsid w:val="00CA075F"/>
    <w:rsid w:val="00CB0664"/>
    <w:rsid w:val="00CB74EC"/>
    <w:rsid w:val="00D26070"/>
    <w:rsid w:val="00D72892"/>
    <w:rsid w:val="00D7517C"/>
    <w:rsid w:val="00D83D5D"/>
    <w:rsid w:val="00DA79AB"/>
    <w:rsid w:val="00DA7C2F"/>
    <w:rsid w:val="00DE137A"/>
    <w:rsid w:val="00DE2DA0"/>
    <w:rsid w:val="00DF6299"/>
    <w:rsid w:val="00E9783A"/>
    <w:rsid w:val="00EB35F6"/>
    <w:rsid w:val="00EC07C6"/>
    <w:rsid w:val="00EE2795"/>
    <w:rsid w:val="00EF17E6"/>
    <w:rsid w:val="00F0689E"/>
    <w:rsid w:val="00F46810"/>
    <w:rsid w:val="00F73812"/>
    <w:rsid w:val="00FC693F"/>
    <w:rsid w:val="00FD2279"/>
    <w:rsid w:val="00FE33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F9A1ED5-C8D0-43BA-8F6B-8B0D14DC0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A83"/>
    <w:pPr>
      <w:spacing w:after="240" w:line="264" w:lineRule="auto"/>
    </w:pPr>
    <w:rPr>
      <w:rFonts w:ascii="Times New Roman" w:eastAsia="Aptos" w:hAnsi="Times New Roman"/>
    </w:rPr>
  </w:style>
  <w:style w:type="paragraph" w:styleId="Heading1">
    <w:name w:val="heading 1"/>
    <w:basedOn w:val="Normal"/>
    <w:next w:val="Normal"/>
    <w:link w:val="Heading1Char"/>
    <w:uiPriority w:val="9"/>
    <w:qFormat/>
    <w:rsid w:val="009D5BE1"/>
    <w:pPr>
      <w:keepNext/>
      <w:keepLines/>
      <w:spacing w:after="120"/>
      <w:outlineLvl w:val="0"/>
    </w:pPr>
    <w:rPr>
      <w:rFonts w:asciiTheme="majorHAnsi" w:eastAsiaTheme="majorEastAsia" w:hAnsiTheme="majorHAnsi" w:cstheme="majorBidi"/>
      <w:b/>
      <w:bCs/>
      <w:color w:val="000000" w:themeColor="text1"/>
      <w:sz w:val="28"/>
      <w:szCs w:val="28"/>
      <w:u w:val="single"/>
    </w:rPr>
  </w:style>
  <w:style w:type="paragraph" w:styleId="Heading2">
    <w:name w:val="heading 2"/>
    <w:basedOn w:val="Normal"/>
    <w:next w:val="Normal"/>
    <w:link w:val="Heading2Char"/>
    <w:uiPriority w:val="9"/>
    <w:unhideWhenUsed/>
    <w:qFormat/>
    <w:rsid w:val="00F73812"/>
    <w:pPr>
      <w:keepNext/>
      <w:keepLines/>
      <w:spacing w:before="80" w:after="40"/>
      <w:outlineLvl w:val="1"/>
    </w:pPr>
    <w:rPr>
      <w:rFonts w:asciiTheme="majorHAnsi" w:eastAsiaTheme="majorEastAsia" w:hAnsiTheme="majorHAnsi" w:cstheme="majorBidi"/>
      <w:b/>
      <w:bCs/>
      <w:i/>
      <w:color w:val="000000" w:themeColor="tex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D5BE1"/>
    <w:rPr>
      <w:rFonts w:asciiTheme="majorHAnsi" w:eastAsiaTheme="majorEastAsia" w:hAnsiTheme="majorHAnsi" w:cstheme="majorBidi"/>
      <w:b/>
      <w:bCs/>
      <w:color w:val="000000" w:themeColor="text1"/>
      <w:sz w:val="28"/>
      <w:szCs w:val="28"/>
      <w:u w:val="single"/>
    </w:rPr>
  </w:style>
  <w:style w:type="character" w:customStyle="1" w:styleId="Heading2Char">
    <w:name w:val="Heading 2 Char"/>
    <w:basedOn w:val="DefaultParagraphFont"/>
    <w:link w:val="Heading2"/>
    <w:uiPriority w:val="9"/>
    <w:rsid w:val="00F73812"/>
    <w:rPr>
      <w:rFonts w:asciiTheme="majorHAnsi" w:eastAsiaTheme="majorEastAsia" w:hAnsiTheme="majorHAnsi" w:cstheme="majorBidi"/>
      <w:b/>
      <w:bCs/>
      <w:i/>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9</Pages>
  <Words>5246</Words>
  <Characters>30429</Characters>
  <Application>Microsoft Office Word</Application>
  <DocSecurity>0</DocSecurity>
  <Lines>385</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Kohl</cp:lastModifiedBy>
  <cp:revision>93</cp:revision>
  <dcterms:created xsi:type="dcterms:W3CDTF">2013-12-23T23:15:00Z</dcterms:created>
  <dcterms:modified xsi:type="dcterms:W3CDTF">2026-06-24T15:26:00Z</dcterms:modified>
  <cp:category/>
</cp:coreProperties>
</file>