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FFC2" w14:textId="71A6A3FB" w:rsidR="00402738" w:rsidRPr="000D1979" w:rsidRDefault="008844EA" w:rsidP="00392A7C">
      <w:pPr>
        <w:pStyle w:val="Title"/>
        <w:spacing w:after="240"/>
        <w:contextualSpacing w:val="0"/>
        <w:jc w:val="center"/>
        <w:rPr>
          <w:sz w:val="24"/>
          <w:szCs w:val="44"/>
        </w:rPr>
      </w:pPr>
      <w:r w:rsidRPr="000D1979">
        <w:rPr>
          <w:rFonts w:ascii="Liberation Sans Narrow" w:eastAsia="Liberation Sans Narrow" w:hAnsi="Liberation Sans Narrow"/>
          <w:sz w:val="26"/>
          <w:szCs w:val="44"/>
        </w:rPr>
        <w:t xml:space="preserve">Field Assessment </w:t>
      </w:r>
      <w:r w:rsidR="000D1979" w:rsidRPr="000D1979">
        <w:rPr>
          <w:rFonts w:ascii="Liberation Sans Narrow" w:eastAsia="Liberation Sans Narrow" w:hAnsi="Liberation Sans Narrow"/>
          <w:sz w:val="26"/>
          <w:szCs w:val="44"/>
        </w:rPr>
        <w:t>of and Recommendations for S4I</w:t>
      </w:r>
      <w:r w:rsidRPr="000D1979">
        <w:rPr>
          <w:rFonts w:ascii="Liberation Sans Narrow" w:eastAsia="Liberation Sans Narrow" w:hAnsi="Liberation Sans Narrow"/>
          <w:sz w:val="26"/>
          <w:szCs w:val="44"/>
        </w:rPr>
        <w:t xml:space="preserve"> Scaling Solution</w:t>
      </w:r>
      <w:r w:rsidR="00392A7C" w:rsidRPr="000D1979">
        <w:rPr>
          <w:rFonts w:ascii="Liberation Sans Narrow" w:eastAsia="Liberation Sans Narrow" w:hAnsi="Liberation Sans Narrow"/>
          <w:sz w:val="26"/>
          <w:szCs w:val="44"/>
        </w:rPr>
        <w:t xml:space="preserve"> </w:t>
      </w:r>
    </w:p>
    <w:p w14:paraId="28847FF5" w14:textId="085A9587" w:rsidR="00402738" w:rsidRDefault="008844EA">
      <w:pPr>
        <w:jc w:val="center"/>
        <w:rPr>
          <w:i/>
        </w:rPr>
      </w:pPr>
      <w:r>
        <w:rPr>
          <w:rFonts w:ascii="Liberation Sans Narrow" w:hAnsi="Liberation Sans Narrow"/>
          <w:i/>
        </w:rPr>
        <w:t>PABRA: Commercialization of Climate-Resilient, Nutrient-Dense Bean Varieties, with Evidence from the Kenya S4I Field Visit</w:t>
      </w:r>
    </w:p>
    <w:p w14:paraId="19BA3F27" w14:textId="2DDA8724" w:rsidR="00EE4139" w:rsidRDefault="00571EB7" w:rsidP="00EE4139">
      <w:pPr>
        <w:jc w:val="center"/>
      </w:pPr>
      <w:r>
        <w:rPr>
          <w:rFonts w:ascii="Times New Roman" w:eastAsia="Times New Roman" w:hAnsi="Times New Roman"/>
        </w:rPr>
        <w:t>Submitted to the</w:t>
      </w:r>
      <w:r w:rsidR="00EE4139">
        <w:rPr>
          <w:rFonts w:ascii="Times New Roman" w:eastAsia="Times New Roman" w:hAnsi="Times New Roman"/>
        </w:rPr>
        <w:t xml:space="preserve"> CGIAR Scaling for Impact </w:t>
      </w:r>
      <w:r w:rsidR="00EE4139">
        <w:t>program</w:t>
      </w:r>
    </w:p>
    <w:p w14:paraId="54CF60DE" w14:textId="10365984" w:rsidR="00392A7C" w:rsidRPr="00633BDF" w:rsidRDefault="00392A7C">
      <w:pPr>
        <w:jc w:val="center"/>
        <w:rPr>
          <w:iCs/>
        </w:rPr>
      </w:pPr>
      <w:proofErr w:type="gramStart"/>
      <w:r w:rsidRPr="00633BDF">
        <w:rPr>
          <w:iCs/>
        </w:rPr>
        <w:t>By</w:t>
      </w:r>
      <w:proofErr w:type="gramEnd"/>
      <w:r w:rsidRPr="00633BDF">
        <w:rPr>
          <w:iCs/>
        </w:rPr>
        <w:t xml:space="preserve"> </w:t>
      </w:r>
    </w:p>
    <w:p w14:paraId="0B1F4B88" w14:textId="553C75BA" w:rsidR="00392A7C" w:rsidRDefault="00392A7C" w:rsidP="00571EB7">
      <w:pPr>
        <w:spacing w:after="60"/>
        <w:jc w:val="center"/>
        <w:rPr>
          <w:i/>
        </w:rPr>
      </w:pPr>
      <w:r>
        <w:rPr>
          <w:i/>
        </w:rPr>
        <w:t>Dr. Richard Kohl</w:t>
      </w:r>
    </w:p>
    <w:p w14:paraId="5DF482CA" w14:textId="44236F25" w:rsidR="00392A7C" w:rsidRDefault="00392A7C">
      <w:pPr>
        <w:jc w:val="center"/>
        <w:rPr>
          <w:i/>
        </w:rPr>
      </w:pPr>
      <w:r>
        <w:rPr>
          <w:i/>
        </w:rPr>
        <w:t>Strategy and Scale LLC</w:t>
      </w:r>
    </w:p>
    <w:p w14:paraId="5B005733" w14:textId="77777777" w:rsidR="00633BDF" w:rsidRDefault="00633BDF">
      <w:pPr>
        <w:jc w:val="center"/>
      </w:pPr>
    </w:p>
    <w:p w14:paraId="7E2DA29B" w14:textId="77777777" w:rsidR="00402738" w:rsidRDefault="008844EA" w:rsidP="00FA7CEF">
      <w:pPr>
        <w:pStyle w:val="Heading1"/>
      </w:pPr>
      <w:r>
        <w:t>Executive Summary</w:t>
      </w:r>
    </w:p>
    <w:p w14:paraId="6EA61C46" w14:textId="77777777" w:rsidR="00835FFC" w:rsidRPr="00571EB7" w:rsidRDefault="008844EA" w:rsidP="00C518B4">
      <w:pPr>
        <w:pStyle w:val="ListBullet"/>
        <w:spacing w:before="120" w:after="120" w:line="240" w:lineRule="auto"/>
        <w:contextualSpacing w:val="0"/>
        <w:rPr>
          <w:rFonts w:asciiTheme="majorHAnsi" w:hAnsiTheme="majorHAnsi" w:cstheme="majorHAnsi"/>
        </w:rPr>
      </w:pPr>
      <w:r w:rsidRPr="00571EB7">
        <w:rPr>
          <w:rFonts w:asciiTheme="majorHAnsi" w:hAnsiTheme="majorHAnsi" w:cstheme="majorHAnsi"/>
          <w:u w:val="single"/>
        </w:rPr>
        <w:t>What is going well</w:t>
      </w:r>
      <w:r w:rsidRPr="00571EB7">
        <w:rPr>
          <w:rFonts w:asciiTheme="majorHAnsi" w:hAnsiTheme="majorHAnsi" w:cstheme="majorHAnsi"/>
        </w:rPr>
        <w:t xml:space="preserve">: PABRA is one of the stronger CGIAR scaling candidates because it addresses a real </w:t>
      </w:r>
      <w:r w:rsidR="00C518B4" w:rsidRPr="00571EB7">
        <w:rPr>
          <w:rFonts w:asciiTheme="majorHAnsi" w:hAnsiTheme="majorHAnsi" w:cstheme="majorHAnsi"/>
        </w:rPr>
        <w:t>end-</w:t>
      </w:r>
      <w:proofErr w:type="gramStart"/>
      <w:r w:rsidR="00C518B4" w:rsidRPr="00571EB7">
        <w:rPr>
          <w:rFonts w:asciiTheme="majorHAnsi" w:hAnsiTheme="majorHAnsi" w:cstheme="majorHAnsi"/>
        </w:rPr>
        <w:t>to-</w:t>
      </w:r>
      <w:proofErr w:type="gramEnd"/>
      <w:r w:rsidR="00C518B4" w:rsidRPr="00571EB7">
        <w:rPr>
          <w:rFonts w:asciiTheme="majorHAnsi" w:hAnsiTheme="majorHAnsi" w:cstheme="majorHAnsi"/>
        </w:rPr>
        <w:t xml:space="preserve">end set of </w:t>
      </w:r>
      <w:r w:rsidRPr="00571EB7">
        <w:rPr>
          <w:rFonts w:asciiTheme="majorHAnsi" w:hAnsiTheme="majorHAnsi" w:cstheme="majorHAnsi"/>
        </w:rPr>
        <w:t>systems bottleneck</w:t>
      </w:r>
      <w:r w:rsidR="00C518B4" w:rsidRPr="00571EB7">
        <w:rPr>
          <w:rFonts w:asciiTheme="majorHAnsi" w:hAnsiTheme="majorHAnsi" w:cstheme="majorHAnsi"/>
        </w:rPr>
        <w:t>s</w:t>
      </w:r>
      <w:r w:rsidRPr="00571EB7">
        <w:rPr>
          <w:rFonts w:asciiTheme="majorHAnsi" w:hAnsiTheme="majorHAnsi" w:cstheme="majorHAnsi"/>
        </w:rPr>
        <w:t xml:space="preserve"> rather than only promoting a research product. </w:t>
      </w:r>
    </w:p>
    <w:p w14:paraId="15151194" w14:textId="77777777" w:rsidR="00205306" w:rsidRPr="00571EB7" w:rsidRDefault="008844EA" w:rsidP="00C518B4">
      <w:pPr>
        <w:pStyle w:val="ListBullet"/>
        <w:spacing w:before="120" w:after="120" w:line="240" w:lineRule="auto"/>
        <w:contextualSpacing w:val="0"/>
        <w:rPr>
          <w:rFonts w:asciiTheme="majorHAnsi" w:hAnsiTheme="majorHAnsi" w:cstheme="majorHAnsi"/>
        </w:rPr>
      </w:pPr>
      <w:r w:rsidRPr="00571EB7">
        <w:rPr>
          <w:rFonts w:asciiTheme="majorHAnsi" w:hAnsiTheme="majorHAnsi" w:cstheme="majorHAnsi"/>
          <w:u w:val="single"/>
        </w:rPr>
        <w:t>What is going well</w:t>
      </w:r>
      <w:r w:rsidRPr="00571EB7">
        <w:rPr>
          <w:rFonts w:asciiTheme="majorHAnsi" w:hAnsiTheme="majorHAnsi" w:cstheme="majorHAnsi"/>
        </w:rPr>
        <w:t>: the Kenya field visit showed a much more demand-led approach than is typical in CGIAR breeding work. KALRO and PABRA are working backward from consumer traits, off-taker preferences, nutrition, cooking time, school feeding, grain quality, and county priorities to shape which varieties are promoted and where seed production should be built.</w:t>
      </w:r>
      <w:r w:rsidR="00C00E75" w:rsidRPr="00571EB7">
        <w:rPr>
          <w:rFonts w:asciiTheme="majorHAnsi" w:hAnsiTheme="majorHAnsi" w:cstheme="majorHAnsi"/>
        </w:rPr>
        <w:t xml:space="preserve">  </w:t>
      </w:r>
    </w:p>
    <w:p w14:paraId="7862169D" w14:textId="76275562" w:rsidR="00402738" w:rsidRPr="00571EB7" w:rsidRDefault="00C00E75" w:rsidP="00205306">
      <w:pPr>
        <w:pStyle w:val="ListBullet"/>
        <w:numPr>
          <w:ilvl w:val="0"/>
          <w:numId w:val="10"/>
        </w:numPr>
        <w:spacing w:before="120" w:after="120" w:line="240" w:lineRule="auto"/>
        <w:contextualSpacing w:val="0"/>
        <w:rPr>
          <w:rFonts w:asciiTheme="majorHAnsi" w:hAnsiTheme="majorHAnsi" w:cstheme="majorHAnsi"/>
        </w:rPr>
      </w:pPr>
      <w:r w:rsidRPr="00571EB7">
        <w:rPr>
          <w:rFonts w:asciiTheme="majorHAnsi" w:hAnsiTheme="majorHAnsi" w:cstheme="majorHAnsi"/>
          <w:b/>
          <w:bCs/>
          <w:i/>
          <w:iCs/>
        </w:rPr>
        <w:t>This and the previous point suggest that PABRA should be written up as a case study that other CGIAR solutions should use as a model and example of excellence in scaling approaches</w:t>
      </w:r>
      <w:r w:rsidR="006330AD">
        <w:rPr>
          <w:rFonts w:asciiTheme="majorHAnsi" w:hAnsiTheme="majorHAnsi" w:cstheme="majorHAnsi"/>
          <w:b/>
          <w:bCs/>
          <w:i/>
          <w:iCs/>
        </w:rPr>
        <w:t>, though there is still much work to be done to accelerate growth and address several bottlenecks to achieving self-sustainability</w:t>
      </w:r>
      <w:r w:rsidRPr="00571EB7">
        <w:rPr>
          <w:rFonts w:asciiTheme="majorHAnsi" w:hAnsiTheme="majorHAnsi" w:cstheme="majorHAnsi"/>
          <w:b/>
          <w:bCs/>
          <w:i/>
          <w:iCs/>
        </w:rPr>
        <w:t>.</w:t>
      </w:r>
    </w:p>
    <w:p w14:paraId="660A702E" w14:textId="77777777" w:rsidR="00402738" w:rsidRPr="00571EB7" w:rsidRDefault="008844EA" w:rsidP="00C518B4">
      <w:pPr>
        <w:pStyle w:val="ListBullet"/>
        <w:spacing w:before="120" w:after="120" w:line="240" w:lineRule="auto"/>
        <w:contextualSpacing w:val="0"/>
        <w:rPr>
          <w:rFonts w:asciiTheme="majorHAnsi" w:hAnsiTheme="majorHAnsi" w:cstheme="majorHAnsi"/>
        </w:rPr>
      </w:pPr>
      <w:r w:rsidRPr="00571EB7">
        <w:rPr>
          <w:rFonts w:asciiTheme="majorHAnsi" w:hAnsiTheme="majorHAnsi" w:cstheme="majorHAnsi"/>
          <w:u w:val="single"/>
        </w:rPr>
        <w:t>What is going well</w:t>
      </w:r>
      <w:r w:rsidRPr="00571EB7">
        <w:rPr>
          <w:rFonts w:asciiTheme="majorHAnsi" w:hAnsiTheme="majorHAnsi" w:cstheme="majorHAnsi"/>
        </w:rPr>
        <w:t xml:space="preserve">: there is real public and private traction. KALRO is the national public anchor for breeding, replacement trials, EGS, certification and technical backstopping; </w:t>
      </w:r>
      <w:proofErr w:type="spellStart"/>
      <w:r w:rsidRPr="00571EB7">
        <w:rPr>
          <w:rFonts w:asciiTheme="majorHAnsi" w:hAnsiTheme="majorHAnsi" w:cstheme="majorHAnsi"/>
        </w:rPr>
        <w:t>Agripack</w:t>
      </w:r>
      <w:proofErr w:type="spellEnd"/>
      <w:r w:rsidRPr="00571EB7">
        <w:rPr>
          <w:rFonts w:asciiTheme="majorHAnsi" w:hAnsiTheme="majorHAnsi" w:cstheme="majorHAnsi"/>
        </w:rPr>
        <w:t xml:space="preserve"> has built a serious certified seed business around Nyota; Delish and Nutri is buying high-iron beans for retail and institutional channels; and PABRA has the credibility to convene actors across the bean value chain.</w:t>
      </w:r>
    </w:p>
    <w:p w14:paraId="397E8B53" w14:textId="62ECF3C7" w:rsidR="00402738" w:rsidRPr="00571EB7" w:rsidRDefault="008844EA" w:rsidP="00C518B4">
      <w:pPr>
        <w:pStyle w:val="ListBullet"/>
        <w:spacing w:before="120" w:after="120" w:line="240" w:lineRule="auto"/>
        <w:contextualSpacing w:val="0"/>
        <w:rPr>
          <w:rFonts w:asciiTheme="majorHAnsi" w:hAnsiTheme="majorHAnsi" w:cstheme="majorHAnsi"/>
        </w:rPr>
      </w:pPr>
      <w:r w:rsidRPr="00571EB7">
        <w:rPr>
          <w:rFonts w:asciiTheme="majorHAnsi" w:hAnsiTheme="majorHAnsi" w:cstheme="majorHAnsi"/>
          <w:u w:val="single"/>
        </w:rPr>
        <w:t>Main concern</w:t>
      </w:r>
      <w:r w:rsidRPr="00571EB7">
        <w:rPr>
          <w:rFonts w:asciiTheme="majorHAnsi" w:hAnsiTheme="majorHAnsi" w:cstheme="majorHAnsi"/>
        </w:rPr>
        <w:t xml:space="preserve">: the strongest bottleneck may now be </w:t>
      </w:r>
      <w:proofErr w:type="gramStart"/>
      <w:r w:rsidRPr="00571EB7">
        <w:rPr>
          <w:rFonts w:asciiTheme="majorHAnsi" w:hAnsiTheme="majorHAnsi" w:cstheme="majorHAnsi"/>
        </w:rPr>
        <w:t>demand</w:t>
      </w:r>
      <w:proofErr w:type="gramEnd"/>
      <w:r w:rsidRPr="00571EB7">
        <w:rPr>
          <w:rFonts w:asciiTheme="majorHAnsi" w:hAnsiTheme="majorHAnsi" w:cstheme="majorHAnsi"/>
        </w:rPr>
        <w:t xml:space="preserve"> formation on both sides of the market. Consumer and institutional demand for high-iron </w:t>
      </w:r>
      <w:r w:rsidR="00F423C9" w:rsidRPr="00571EB7">
        <w:rPr>
          <w:rFonts w:asciiTheme="majorHAnsi" w:hAnsiTheme="majorHAnsi" w:cstheme="majorHAnsi"/>
        </w:rPr>
        <w:t xml:space="preserve">and zinc </w:t>
      </w:r>
      <w:r w:rsidRPr="00571EB7">
        <w:rPr>
          <w:rFonts w:asciiTheme="majorHAnsi" w:hAnsiTheme="majorHAnsi" w:cstheme="majorHAnsi"/>
        </w:rPr>
        <w:t xml:space="preserve">beans must grow fast enough to absorb grain, while farmers must see enough value to buy certified seed rather than rely on saved seed. Without both types of </w:t>
      </w:r>
      <w:proofErr w:type="gramStart"/>
      <w:r w:rsidRPr="00571EB7">
        <w:rPr>
          <w:rFonts w:asciiTheme="majorHAnsi" w:hAnsiTheme="majorHAnsi" w:cstheme="majorHAnsi"/>
        </w:rPr>
        <w:t>demand-pull</w:t>
      </w:r>
      <w:proofErr w:type="gramEnd"/>
      <w:r w:rsidRPr="00571EB7">
        <w:rPr>
          <w:rFonts w:asciiTheme="majorHAnsi" w:hAnsiTheme="majorHAnsi" w:cstheme="majorHAnsi"/>
        </w:rPr>
        <w:t xml:space="preserve">, the system risks localized success around Nyota </w:t>
      </w:r>
      <w:r w:rsidR="00F423C9" w:rsidRPr="00571EB7">
        <w:rPr>
          <w:rFonts w:asciiTheme="majorHAnsi" w:hAnsiTheme="majorHAnsi" w:cstheme="majorHAnsi"/>
        </w:rPr>
        <w:t xml:space="preserve">or very slow growth given scale potential and even potentially plateauing, </w:t>
      </w:r>
      <w:r w:rsidRPr="00571EB7">
        <w:rPr>
          <w:rFonts w:asciiTheme="majorHAnsi" w:hAnsiTheme="majorHAnsi" w:cstheme="majorHAnsi"/>
        </w:rPr>
        <w:t>rather than a scalable commercialization pathway.</w:t>
      </w:r>
    </w:p>
    <w:p w14:paraId="5DBA30BD" w14:textId="77777777" w:rsidR="00F078D6" w:rsidRPr="00571EB7" w:rsidRDefault="008844EA" w:rsidP="00C518B4">
      <w:pPr>
        <w:pStyle w:val="ListBullet"/>
        <w:spacing w:before="120" w:after="120" w:line="240" w:lineRule="auto"/>
        <w:contextualSpacing w:val="0"/>
        <w:rPr>
          <w:rFonts w:asciiTheme="majorHAnsi" w:hAnsiTheme="majorHAnsi" w:cstheme="majorHAnsi"/>
        </w:rPr>
      </w:pPr>
      <w:r w:rsidRPr="00571EB7">
        <w:rPr>
          <w:rFonts w:asciiTheme="majorHAnsi" w:hAnsiTheme="majorHAnsi" w:cstheme="majorHAnsi"/>
          <w:u w:val="single"/>
        </w:rPr>
        <w:t>Main concern</w:t>
      </w:r>
      <w:r w:rsidRPr="00571EB7">
        <w:rPr>
          <w:rFonts w:asciiTheme="majorHAnsi" w:hAnsiTheme="majorHAnsi" w:cstheme="majorHAnsi"/>
        </w:rPr>
        <w:t xml:space="preserve">: the </w:t>
      </w:r>
      <w:r w:rsidR="00F078D6" w:rsidRPr="00571EB7">
        <w:rPr>
          <w:rFonts w:asciiTheme="majorHAnsi" w:hAnsiTheme="majorHAnsi" w:cstheme="majorHAnsi"/>
        </w:rPr>
        <w:t>value proposition</w:t>
      </w:r>
      <w:r w:rsidRPr="00571EB7">
        <w:rPr>
          <w:rFonts w:asciiTheme="majorHAnsi" w:hAnsiTheme="majorHAnsi" w:cstheme="majorHAnsi"/>
        </w:rPr>
        <w:t xml:space="preserve"> is strongest for some actors and unresolved for others</w:t>
      </w:r>
      <w:r w:rsidR="00F078D6" w:rsidRPr="00571EB7">
        <w:rPr>
          <w:rFonts w:asciiTheme="majorHAnsi" w:hAnsiTheme="majorHAnsi" w:cstheme="majorHAnsi"/>
        </w:rPr>
        <w:t>, the weakest link being KALRO</w:t>
      </w:r>
      <w:r w:rsidRPr="00571EB7">
        <w:rPr>
          <w:rFonts w:asciiTheme="majorHAnsi" w:hAnsiTheme="majorHAnsi" w:cstheme="majorHAnsi"/>
        </w:rPr>
        <w:t xml:space="preserve">. </w:t>
      </w:r>
    </w:p>
    <w:p w14:paraId="46B3B73C" w14:textId="4AECA27E" w:rsidR="00402738" w:rsidRPr="00C518B4" w:rsidRDefault="008844EA" w:rsidP="00F078D6">
      <w:pPr>
        <w:pStyle w:val="ListBullet"/>
        <w:tabs>
          <w:tab w:val="clear" w:pos="360"/>
          <w:tab w:val="num" w:pos="720"/>
        </w:tabs>
        <w:spacing w:before="120" w:after="120" w:line="240" w:lineRule="auto"/>
        <w:ind w:left="720"/>
        <w:contextualSpacing w:val="0"/>
        <w:rPr>
          <w:rFonts w:asciiTheme="majorHAnsi" w:hAnsiTheme="majorHAnsi" w:cstheme="majorHAnsi"/>
        </w:rPr>
      </w:pPr>
      <w:r w:rsidRPr="00C518B4">
        <w:rPr>
          <w:rFonts w:asciiTheme="majorHAnsi" w:hAnsiTheme="majorHAnsi" w:cstheme="majorHAnsi"/>
        </w:rPr>
        <w:t xml:space="preserve">the economics </w:t>
      </w:r>
      <w:r w:rsidR="00F423C9">
        <w:rPr>
          <w:rFonts w:asciiTheme="majorHAnsi" w:hAnsiTheme="majorHAnsi" w:cstheme="majorHAnsi"/>
        </w:rPr>
        <w:t xml:space="preserve">and implementation capacity </w:t>
      </w:r>
      <w:r w:rsidRPr="00C518B4">
        <w:rPr>
          <w:rFonts w:asciiTheme="majorHAnsi" w:hAnsiTheme="majorHAnsi" w:cstheme="majorHAnsi"/>
        </w:rPr>
        <w:t>of KALRO</w:t>
      </w:r>
      <w:r w:rsidR="00D67861">
        <w:rPr>
          <w:rFonts w:asciiTheme="majorHAnsi" w:hAnsiTheme="majorHAnsi" w:cstheme="majorHAnsi"/>
        </w:rPr>
        <w:t>’s</w:t>
      </w:r>
      <w:r w:rsidRPr="00C518B4">
        <w:rPr>
          <w:rFonts w:asciiTheme="majorHAnsi" w:hAnsiTheme="majorHAnsi" w:cstheme="majorHAnsi"/>
        </w:rPr>
        <w:t xml:space="preserve"> recurrent EGS production, royalty recovery, KEFIS data access, county extension, MSP coordination, demand forecasting, farmer </w:t>
      </w:r>
      <w:proofErr w:type="gramStart"/>
      <w:r w:rsidRPr="00C518B4">
        <w:rPr>
          <w:rFonts w:asciiTheme="majorHAnsi" w:hAnsiTheme="majorHAnsi" w:cstheme="majorHAnsi"/>
        </w:rPr>
        <w:lastRenderedPageBreak/>
        <w:t>profiling,</w:t>
      </w:r>
      <w:proofErr w:type="gramEnd"/>
      <w:r w:rsidRPr="00C518B4">
        <w:rPr>
          <w:rFonts w:asciiTheme="majorHAnsi" w:hAnsiTheme="majorHAnsi" w:cstheme="majorHAnsi"/>
        </w:rPr>
        <w:t xml:space="preserve"> and post-donor learning are not yet solved. These are </w:t>
      </w:r>
      <w:proofErr w:type="gramStart"/>
      <w:r w:rsidRPr="00C518B4">
        <w:rPr>
          <w:rFonts w:asciiTheme="majorHAnsi" w:hAnsiTheme="majorHAnsi" w:cstheme="majorHAnsi"/>
        </w:rPr>
        <w:t>public-good</w:t>
      </w:r>
      <w:proofErr w:type="gramEnd"/>
      <w:r w:rsidRPr="00C518B4">
        <w:rPr>
          <w:rFonts w:asciiTheme="majorHAnsi" w:hAnsiTheme="majorHAnsi" w:cstheme="majorHAnsi"/>
        </w:rPr>
        <w:t xml:space="preserve"> and coordination functions that private firms will not automatically finance.</w:t>
      </w:r>
      <w:bookmarkStart w:id="0" w:name="resume"/>
      <w:bookmarkEnd w:id="0"/>
    </w:p>
    <w:p w14:paraId="600A01C5" w14:textId="629EAF2C" w:rsidR="00835FFC" w:rsidRPr="00835FFC" w:rsidRDefault="007A56F0" w:rsidP="00835FFC">
      <w:pPr>
        <w:pStyle w:val="ListBullet"/>
        <w:spacing w:before="120" w:after="120" w:line="240" w:lineRule="auto"/>
        <w:contextualSpacing w:val="0"/>
        <w:rPr>
          <w:rFonts w:asciiTheme="majorHAnsi" w:hAnsiTheme="majorHAnsi" w:cstheme="majorHAnsi"/>
        </w:rPr>
      </w:pPr>
      <w:proofErr w:type="gramStart"/>
      <w:r>
        <w:rPr>
          <w:rFonts w:asciiTheme="majorHAnsi" w:hAnsiTheme="majorHAnsi" w:cstheme="majorHAnsi"/>
          <w:u w:val="single"/>
        </w:rPr>
        <w:t xml:space="preserve">Main </w:t>
      </w:r>
      <w:r w:rsidR="00835FFC" w:rsidRPr="00835FFC">
        <w:rPr>
          <w:rFonts w:asciiTheme="majorHAnsi" w:hAnsiTheme="majorHAnsi" w:cstheme="majorHAnsi"/>
          <w:u w:val="single"/>
        </w:rPr>
        <w:t xml:space="preserve"> Concern</w:t>
      </w:r>
      <w:proofErr w:type="gramEnd"/>
      <w:r w:rsidR="00835FFC">
        <w:rPr>
          <w:rFonts w:asciiTheme="majorHAnsi" w:hAnsiTheme="majorHAnsi" w:cstheme="majorHAnsi"/>
        </w:rPr>
        <w:t xml:space="preserve">: </w:t>
      </w:r>
      <w:r>
        <w:rPr>
          <w:rFonts w:asciiTheme="majorHAnsi" w:hAnsiTheme="majorHAnsi" w:cstheme="majorHAnsi"/>
        </w:rPr>
        <w:t>W</w:t>
      </w:r>
      <w:r w:rsidR="00835FFC" w:rsidRPr="00C518B4">
        <w:rPr>
          <w:rFonts w:asciiTheme="majorHAnsi" w:hAnsiTheme="majorHAnsi" w:cstheme="majorHAnsi"/>
        </w:rPr>
        <w:t>hether the seed-to-grain system can generate enough consumer demand, certified seed demand, early-generation seed supply, private-sector investment, quality assurance, and coordination to sustain adoption beyond donor support.</w:t>
      </w:r>
      <w:r w:rsidR="00835FFC">
        <w:rPr>
          <w:rFonts w:asciiTheme="majorHAnsi" w:hAnsiTheme="majorHAnsi" w:cstheme="majorHAnsi"/>
        </w:rPr>
        <w:t xml:space="preserve"> </w:t>
      </w:r>
    </w:p>
    <w:p w14:paraId="77894898" w14:textId="4C547B46" w:rsidR="00402738" w:rsidRPr="00C518B4" w:rsidRDefault="008844EA" w:rsidP="00C518B4">
      <w:pPr>
        <w:pStyle w:val="ListBullet"/>
        <w:spacing w:before="120" w:after="120" w:line="240" w:lineRule="auto"/>
        <w:contextualSpacing w:val="0"/>
        <w:rPr>
          <w:rFonts w:asciiTheme="majorHAnsi" w:hAnsiTheme="majorHAnsi" w:cstheme="majorHAnsi"/>
        </w:rPr>
      </w:pPr>
      <w:r w:rsidRPr="00D67861">
        <w:rPr>
          <w:rFonts w:asciiTheme="majorHAnsi" w:hAnsiTheme="majorHAnsi" w:cstheme="majorHAnsi"/>
          <w:u w:val="single"/>
        </w:rPr>
        <w:t>Main recommendation to the project team</w:t>
      </w:r>
      <w:r w:rsidRPr="00C518B4">
        <w:rPr>
          <w:rFonts w:asciiTheme="majorHAnsi" w:hAnsiTheme="majorHAnsi" w:cstheme="majorHAnsi"/>
        </w:rPr>
        <w:t xml:space="preserve">: narrow the S4I-funded strategy around a few high-leverage bottlenecks. The best use of S4I is not generic support to PABRA, but targeted investment in </w:t>
      </w:r>
      <w:proofErr w:type="gramStart"/>
      <w:r w:rsidRPr="00C518B4">
        <w:rPr>
          <w:rFonts w:asciiTheme="majorHAnsi" w:hAnsiTheme="majorHAnsi" w:cstheme="majorHAnsi"/>
        </w:rPr>
        <w:t>a proof</w:t>
      </w:r>
      <w:proofErr w:type="gramEnd"/>
      <w:r w:rsidRPr="00C518B4">
        <w:rPr>
          <w:rFonts w:asciiTheme="majorHAnsi" w:hAnsiTheme="majorHAnsi" w:cstheme="majorHAnsi"/>
        </w:rPr>
        <w:t xml:space="preserve"> of demand-pull commercialization: strengthen consumer and institutional demand, increase farmer demand for certified seed, resolve EGS and royalty financing, and document the model as a transferable CGIAR case study.</w:t>
      </w:r>
    </w:p>
    <w:p w14:paraId="68B2DA37" w14:textId="0C0FDDEF" w:rsidR="00402738" w:rsidRPr="00C518B4" w:rsidRDefault="008844EA" w:rsidP="00C518B4">
      <w:pPr>
        <w:pStyle w:val="ListBullet"/>
        <w:spacing w:before="120" w:after="120" w:line="240" w:lineRule="auto"/>
        <w:contextualSpacing w:val="0"/>
        <w:rPr>
          <w:rFonts w:asciiTheme="majorHAnsi" w:hAnsiTheme="majorHAnsi" w:cstheme="majorHAnsi"/>
        </w:rPr>
      </w:pPr>
      <w:r w:rsidRPr="00D67861">
        <w:rPr>
          <w:rFonts w:asciiTheme="majorHAnsi" w:hAnsiTheme="majorHAnsi" w:cstheme="majorHAnsi"/>
          <w:u w:val="single"/>
        </w:rPr>
        <w:t>S4I funding recommendation</w:t>
      </w:r>
      <w:r w:rsidRPr="00C518B4">
        <w:rPr>
          <w:rFonts w:asciiTheme="majorHAnsi" w:hAnsiTheme="majorHAnsi" w:cstheme="majorHAnsi"/>
        </w:rPr>
        <w:t xml:space="preserve">: fund for another year, </w:t>
      </w:r>
      <w:r w:rsidR="00A05F13">
        <w:rPr>
          <w:rFonts w:asciiTheme="majorHAnsi" w:hAnsiTheme="majorHAnsi" w:cstheme="majorHAnsi"/>
        </w:rPr>
        <w:t>as a</w:t>
      </w:r>
      <w:r w:rsidRPr="00C518B4">
        <w:rPr>
          <w:rFonts w:asciiTheme="majorHAnsi" w:hAnsiTheme="majorHAnsi" w:cstheme="majorHAnsi"/>
        </w:rPr>
        <w:t xml:space="preserve"> scaling</w:t>
      </w:r>
      <w:r w:rsidR="00942640">
        <w:rPr>
          <w:rFonts w:asciiTheme="majorHAnsi" w:hAnsiTheme="majorHAnsi" w:cstheme="majorHAnsi"/>
        </w:rPr>
        <w:t xml:space="preserve"> and institutionalization</w:t>
      </w:r>
      <w:r w:rsidRPr="00C518B4">
        <w:rPr>
          <w:rFonts w:asciiTheme="majorHAnsi" w:hAnsiTheme="majorHAnsi" w:cstheme="majorHAnsi"/>
        </w:rPr>
        <w:t xml:space="preserve"> model</w:t>
      </w:r>
      <w:r w:rsidR="00A05F13">
        <w:rPr>
          <w:rFonts w:asciiTheme="majorHAnsi" w:hAnsiTheme="majorHAnsi" w:cstheme="majorHAnsi"/>
        </w:rPr>
        <w:t xml:space="preserve"> that can move to be fully self-sustaining and towards critical mass if key bottlenecks are addressed</w:t>
      </w:r>
      <w:r w:rsidRPr="00C518B4">
        <w:rPr>
          <w:rFonts w:asciiTheme="majorHAnsi" w:hAnsiTheme="majorHAnsi" w:cstheme="majorHAnsi"/>
        </w:rPr>
        <w:t>. Continued funding should depend on measurable progress on demand creation, repeat seed purchase, actor-level business cases, EGS sustainability, off-taker contracts, and a documented model that can inform other CGIAR innovations.</w:t>
      </w:r>
    </w:p>
    <w:p w14:paraId="306A5882" w14:textId="77777777" w:rsidR="00402738" w:rsidRPr="00FA7CEF" w:rsidRDefault="008844EA" w:rsidP="00FA7CEF">
      <w:pPr>
        <w:pStyle w:val="Heading1"/>
      </w:pPr>
      <w:r w:rsidRPr="00FA7CEF">
        <w:t>The intervention and its components</w:t>
      </w:r>
    </w:p>
    <w:p w14:paraId="7AD2359C" w14:textId="78D5E854" w:rsidR="00402738" w:rsidRPr="00C518B4" w:rsidRDefault="008844EA">
      <w:r w:rsidRPr="00C518B4">
        <w:t xml:space="preserve">The PABRA scaling solution is best understood as a seed-to-grain commercialization system for improved bean varieties rather than as a conventional variety dissemination project. The formal solution track seeks to accelerate commercialization of climate-resilient and nutrient-dense bean varieties in Kenya </w:t>
      </w:r>
      <w:r w:rsidR="00751294">
        <w:t>(</w:t>
      </w:r>
      <w:r w:rsidRPr="00C518B4">
        <w:t>and Malawi</w:t>
      </w:r>
      <w:r w:rsidR="00751294">
        <w:t>)</w:t>
      </w:r>
      <w:r w:rsidRPr="00C518B4">
        <w:t xml:space="preserve"> by moving varieties from research release into regular farmer use, structured seed markets, reliable grain markets, and nutrition-sensitive demand channels. The core varieties include Nyota, Faida, Waithera, KK-</w:t>
      </w:r>
      <w:proofErr w:type="spellStart"/>
      <w:r w:rsidRPr="00C518B4">
        <w:t>Rosecco</w:t>
      </w:r>
      <w:proofErr w:type="spellEnd"/>
      <w:r w:rsidRPr="00C518B4">
        <w:t xml:space="preserve"> 33 and Angaza in Kenya, and NUA45 and SUG131 in Malawi. The technical proposition is clear: these varieties can offer stronger climate resilience, improved nutrition, faster maturity, lower cooking time, and market-preferred traits</w:t>
      </w:r>
      <w:r w:rsidR="00681BCF">
        <w:t xml:space="preserve"> (and some are flatulence free as well)</w:t>
      </w:r>
      <w:r w:rsidRPr="00C518B4">
        <w:t>. The scal</w:t>
      </w:r>
      <w:r w:rsidRPr="00C518B4">
        <w:t>ing proposition is harder: beans are self-pollinated, farmers can save seed</w:t>
      </w:r>
      <w:r w:rsidR="00681BCF">
        <w:t xml:space="preserve"> from existing varieties and are not accustomed to buying certified bean seed every 2-3 seasons</w:t>
      </w:r>
      <w:r w:rsidRPr="00C518B4">
        <w:t>, and seed companies have weaker incentives than in hybrid maize because repeat annual purchase is not built into the biology of the crop.</w:t>
      </w:r>
      <w:r w:rsidR="00681BCF">
        <w:t xml:space="preserve"> </w:t>
      </w:r>
      <w:proofErr w:type="gramStart"/>
      <w:r w:rsidR="00681BCF">
        <w:t>Moreover</w:t>
      </w:r>
      <w:proofErr w:type="gramEnd"/>
      <w:r w:rsidR="00681BCF">
        <w:t xml:space="preserve"> farmers will only buy and plant these varieties if they perceive there is market for them, either direct to local consumers or indirectly through </w:t>
      </w:r>
      <w:proofErr w:type="spellStart"/>
      <w:r w:rsidR="00681BCF">
        <w:t>offtakers</w:t>
      </w:r>
      <w:proofErr w:type="spellEnd"/>
      <w:r w:rsidR="00681BCF">
        <w:t xml:space="preserve"> and processors. Even if they do switch to these varieties, that does not necessarily mean they will buy </w:t>
      </w:r>
      <w:proofErr w:type="gramStart"/>
      <w:r w:rsidR="00681BCF">
        <w:t>certify</w:t>
      </w:r>
      <w:proofErr w:type="gramEnd"/>
      <w:r w:rsidR="00681BCF">
        <w:t xml:space="preserve"> bean seed regularly as recommended.  Finally, there is a demand project and coordination challenge</w:t>
      </w:r>
      <w:proofErr w:type="gramStart"/>
      <w:r w:rsidR="00681BCF">
        <w:t>:  producing</w:t>
      </w:r>
      <w:proofErr w:type="gramEnd"/>
      <w:r w:rsidR="00681BCF">
        <w:t xml:space="preserve"> </w:t>
      </w:r>
      <w:proofErr w:type="gramStart"/>
      <w:r w:rsidR="00681BCF">
        <w:t>sufficient amounts of</w:t>
      </w:r>
      <w:proofErr w:type="gramEnd"/>
      <w:r w:rsidR="00681BCF">
        <w:t xml:space="preserve"> EGS and certified seed is a two-year </w:t>
      </w:r>
      <w:proofErr w:type="gramStart"/>
      <w:r w:rsidR="00681BCF">
        <w:t>cycle, and</w:t>
      </w:r>
      <w:proofErr w:type="gramEnd"/>
      <w:r w:rsidR="00681BCF">
        <w:t xml:space="preserve"> therefore requires forecasting farmer demand two years in advance and effectively consumer demand three years in advance.  Yet not having an adequate supply of seed on hand risks undermining efforts to increases adoption by farmers and purchases by consumers if seed and grain, respectively, are not available. </w:t>
      </w:r>
    </w:p>
    <w:p w14:paraId="70F2FEB9" w14:textId="029E87D4" w:rsidR="00A765C5" w:rsidRDefault="008844EA" w:rsidP="00A765C5">
      <w:r w:rsidRPr="00C518B4">
        <w:t>The innovation package therefore includes both genetics and the system functions required to turn genetics into adoption</w:t>
      </w:r>
      <w:r w:rsidR="00681BCF">
        <w:t xml:space="preserve"> by farmers, </w:t>
      </w:r>
      <w:r w:rsidR="00681BCF" w:rsidRPr="00A765C5">
        <w:t>processors</w:t>
      </w:r>
      <w:r w:rsidR="00681BCF">
        <w:t xml:space="preserve"> and </w:t>
      </w:r>
      <w:proofErr w:type="gramStart"/>
      <w:r w:rsidR="00681BCF">
        <w:t xml:space="preserve">consumers </w:t>
      </w:r>
      <w:r w:rsidRPr="00C518B4">
        <w:t>.</w:t>
      </w:r>
      <w:proofErr w:type="gramEnd"/>
      <w:r w:rsidRPr="00C518B4">
        <w:t xml:space="preserve"> These functions include early-generation seed </w:t>
      </w:r>
      <w:r w:rsidR="00681BCF">
        <w:t xml:space="preserve">(EGS) </w:t>
      </w:r>
      <w:r w:rsidRPr="00C518B4">
        <w:t xml:space="preserve">production, certified seed multiplication, licensing, KEFIS certification, quality assurance, last-mile distribution, agro-dealer engagement, farmer training, off-taker contracts, grain aggregation, digital farmer profiling, demand forecasting, financial literacy, structured markets, multi-stakeholder platforms, county government engagement, and consumer demand creation. PABRA’s distinctive contribution is </w:t>
      </w:r>
      <w:r w:rsidRPr="00C518B4">
        <w:lastRenderedPageBreak/>
        <w:t>that it has spent decades working across this chain</w:t>
      </w:r>
      <w:r w:rsidR="00FC0B24">
        <w:t xml:space="preserve"> from end-to-end</w:t>
      </w:r>
      <w:r w:rsidRPr="00C518B4">
        <w:t>. The field visit confirmed that th</w:t>
      </w:r>
      <w:r w:rsidRPr="00C518B4">
        <w:t xml:space="preserve">e </w:t>
      </w:r>
      <w:r w:rsidR="00A765C5">
        <w:t>three</w:t>
      </w:r>
      <w:r w:rsidR="00FC0B24">
        <w:t xml:space="preserve"> </w:t>
      </w:r>
      <w:r w:rsidRPr="00C518B4">
        <w:t>strongest feature</w:t>
      </w:r>
      <w:r w:rsidR="007379B1">
        <w:t>s</w:t>
      </w:r>
      <w:r w:rsidRPr="00C518B4">
        <w:t xml:space="preserve"> of the model </w:t>
      </w:r>
      <w:r w:rsidR="00FC0B24">
        <w:t xml:space="preserve">are: </w:t>
      </w:r>
    </w:p>
    <w:p w14:paraId="179AA52D" w14:textId="22BF5CAE" w:rsidR="00A765C5" w:rsidRDefault="00FC0B24" w:rsidP="00A765C5">
      <w:pPr>
        <w:pStyle w:val="ListParagraph"/>
        <w:numPr>
          <w:ilvl w:val="0"/>
          <w:numId w:val="11"/>
        </w:numPr>
      </w:pPr>
      <w:r>
        <w:t xml:space="preserve">new varieties are developed and bred based on consumer demand using target product </w:t>
      </w:r>
      <w:r w:rsidR="008A454A">
        <w:t>profiles</w:t>
      </w:r>
      <w:r>
        <w:t xml:space="preserve"> generated by market research; </w:t>
      </w:r>
    </w:p>
    <w:p w14:paraId="703E6523" w14:textId="4AFFAA51" w:rsidR="00EB0275" w:rsidRDefault="00FC0B24" w:rsidP="00EB0275">
      <w:pPr>
        <w:pStyle w:val="ListParagraph"/>
        <w:numPr>
          <w:ilvl w:val="0"/>
          <w:numId w:val="11"/>
        </w:numPr>
      </w:pPr>
      <w:proofErr w:type="gramStart"/>
      <w:r>
        <w:t>this</w:t>
      </w:r>
      <w:proofErr w:type="gramEnd"/>
      <w:r w:rsidRPr="00C518B4">
        <w:t xml:space="preserve"> end-to-end </w:t>
      </w:r>
      <w:r>
        <w:t>coverage</w:t>
      </w:r>
      <w:r w:rsidR="008A454A">
        <w:t xml:space="preserve"> means that</w:t>
      </w:r>
      <w:r w:rsidRPr="00C518B4">
        <w:t xml:space="preserve"> consumer demand pulls grain; grain demand pulls farmer production; farmer production pulls seed demand; and seed demand pulls breeder seed, EGS, certification, seed company investment, and last-mile distribution. That is the right </w:t>
      </w:r>
      <w:r w:rsidR="00A765C5">
        <w:t>approach to s</w:t>
      </w:r>
      <w:r w:rsidRPr="00C518B4">
        <w:t>cale for a self-pollinated food crop</w:t>
      </w:r>
      <w:r w:rsidR="00A765C5">
        <w:t>;</w:t>
      </w:r>
    </w:p>
    <w:p w14:paraId="6D5F9F53" w14:textId="5CA94699" w:rsidR="00402738" w:rsidRPr="00C518B4" w:rsidRDefault="00EB0275" w:rsidP="00EB0275">
      <w:pPr>
        <w:pStyle w:val="ListParagraph"/>
        <w:numPr>
          <w:ilvl w:val="0"/>
          <w:numId w:val="11"/>
        </w:numPr>
      </w:pPr>
      <w:r>
        <w:t xml:space="preserve">establishing a business case or value propositions for all the actors in a value chain is in most cases a public good and needs a non-private sector actor to both fill that function and drive scaling more generally. </w:t>
      </w:r>
      <w:r w:rsidR="007379B1">
        <w:t>Historically that function, if it is filled at all, has been done by a project management unit as NARES tend to be limited to breeding and knowledge dissemination, and awareness building.  The PABRA Kenya case is exceptional in that KALRO has undertaken both functions, developing the business case and value propositions successfully so that private sector actors do take over, and driving scaling overall. (They do receive important support from PABRA, AGRA, Harvest PLUS and others.)</w:t>
      </w:r>
    </w:p>
    <w:p w14:paraId="08702486" w14:textId="77777777" w:rsidR="00402738" w:rsidRPr="00C518B4" w:rsidRDefault="008844EA">
      <w:r w:rsidRPr="00C518B4">
        <w:t xml:space="preserve">The Kenya evidence also showed that the project is not simply promoting beans as a commodity. It </w:t>
      </w:r>
      <w:proofErr w:type="gramStart"/>
      <w:r w:rsidRPr="00C518B4">
        <w:t>is promoting</w:t>
      </w:r>
      <w:proofErr w:type="gramEnd"/>
      <w:r w:rsidRPr="00C518B4">
        <w:t xml:space="preserve"> specific varieties with specific consumer, nutrition, and market attributes. Nyota is attractive because it is high in iron and zinc, fast maturing, easier to cook, relatively low in flatulence, and marketable through household and institutional channels. External Alliance, HarvestPlus and PABRA materials reinforce this field observation: Nyota is being positioned as a nutrition, cooking-time, school feeding, climate resilience, and women’s economic empowerment product. This matters because far</w:t>
      </w:r>
      <w:r w:rsidRPr="00C518B4">
        <w:t xml:space="preserve">mers do not buy certified </w:t>
      </w:r>
      <w:proofErr w:type="gramStart"/>
      <w:r w:rsidRPr="00C518B4">
        <w:t>seed</w:t>
      </w:r>
      <w:proofErr w:type="gramEnd"/>
      <w:r w:rsidRPr="00C518B4">
        <w:t xml:space="preserve"> because CGIAR says it is improved. They buy it when the grain has a buyer and when the variety solves a problem they experience.</w:t>
      </w:r>
    </w:p>
    <w:p w14:paraId="5135D569" w14:textId="708880C1" w:rsidR="00402738" w:rsidRPr="00C518B4" w:rsidRDefault="008844EA">
      <w:r w:rsidRPr="00C518B4">
        <w:t xml:space="preserve">In operational terms, KALRO and PABRA support variety development, replacement trials, product profiles, market feedback loops, breeder and early-generation seed, and technical backstopping. </w:t>
      </w:r>
      <w:r w:rsidR="009A32B9">
        <w:t>Thanks to KALRO and PABRA proving the business case for the rest of the value chain l</w:t>
      </w:r>
      <w:r w:rsidRPr="00C518B4">
        <w:t xml:space="preserve">icensed companies such as </w:t>
      </w:r>
      <w:proofErr w:type="spellStart"/>
      <w:r w:rsidRPr="00C518B4">
        <w:t>Agripack</w:t>
      </w:r>
      <w:proofErr w:type="spellEnd"/>
      <w:r w:rsidRPr="00C518B4">
        <w:t xml:space="preserve"> multiply, certify, process, dress, package, and distribute seed. Farmers and seed growers multiply </w:t>
      </w:r>
      <w:proofErr w:type="gramStart"/>
      <w:r w:rsidRPr="00C518B4">
        <w:t>seed</w:t>
      </w:r>
      <w:proofErr w:type="gramEnd"/>
      <w:r w:rsidRPr="00C518B4">
        <w:t xml:space="preserve"> or produce grain, often with technical support and quality monitoring. </w:t>
      </w:r>
      <w:proofErr w:type="gramStart"/>
      <w:r w:rsidRPr="00C518B4">
        <w:t>Off-takers</w:t>
      </w:r>
      <w:proofErr w:type="gramEnd"/>
      <w:r w:rsidRPr="00C518B4">
        <w:t xml:space="preserve"> such as Delish and Nutri contract farmers, inspect quality, aggregate grain, process or package beans, and sell into retail, school feeding, supermarkets, hospitals, or other institutional channels. </w:t>
      </w:r>
      <w:r w:rsidR="009A32B9">
        <w:t>Having been shown that the new varieties support government goals around increasing the number and nutritional quality of school meals and the productivity and income of small farmers, c</w:t>
      </w:r>
      <w:r w:rsidRPr="00C518B4">
        <w:t xml:space="preserve">ounty governments provide extension, legitimacy, political support, and a route into school feeding or nutrition programs. AGRA, Equity Bank, </w:t>
      </w:r>
      <w:proofErr w:type="spellStart"/>
      <w:r w:rsidRPr="00C518B4">
        <w:t>Pesira</w:t>
      </w:r>
      <w:proofErr w:type="spellEnd"/>
      <w:r w:rsidRPr="00C518B4">
        <w:t xml:space="preserve"> and others are expected to strengthen last-mile delivery, finance, digital systems and policy alignment, but their operational roles remain less proven than those of KALRO</w:t>
      </w:r>
      <w:r w:rsidR="009A32B9">
        <w:t>, private seed producers, processors and agrodealers.</w:t>
      </w:r>
    </w:p>
    <w:p w14:paraId="194907D8" w14:textId="77777777" w:rsidR="00402738" w:rsidRDefault="008844EA" w:rsidP="00FA7CEF">
      <w:pPr>
        <w:pStyle w:val="Heading1"/>
      </w:pPr>
      <w:r>
        <w:t>Where implemented and evidence of impact to date</w:t>
      </w:r>
    </w:p>
    <w:p w14:paraId="21BEB61F" w14:textId="7F65A889" w:rsidR="00402738" w:rsidRPr="00001828" w:rsidRDefault="008844EA">
      <w:r w:rsidRPr="00001828">
        <w:t xml:space="preserve">The solution track is formally focused on Kenya and Malawi, drawing on PABRA’s broader work across Africa. PABRA itself is not new. It is a mature regional platform linking national agricultural research </w:t>
      </w:r>
      <w:r w:rsidRPr="00001828">
        <w:lastRenderedPageBreak/>
        <w:t xml:space="preserve">systems, seed companies, private partners, donors and value-chain actors across roughly 30 countries. This gives the scaling track unusual credibility. Unlike many CGIAR scaling investments, this is not a new pilot searching for proof that an innovation works. It </w:t>
      </w:r>
      <w:proofErr w:type="gramStart"/>
      <w:r w:rsidRPr="00001828">
        <w:t>builds</w:t>
      </w:r>
      <w:proofErr w:type="gramEnd"/>
      <w:r w:rsidRPr="00001828">
        <w:t xml:space="preserve"> on a platform with decades of experience in variety release, NAR</w:t>
      </w:r>
      <w:r w:rsidR="0065040C">
        <w:t>E</w:t>
      </w:r>
      <w:r w:rsidRPr="00001828">
        <w:t xml:space="preserve">S partnerships, bean corridors, seed systems and market engagement. </w:t>
      </w:r>
    </w:p>
    <w:p w14:paraId="2C5D9622" w14:textId="38EF62CC" w:rsidR="00402738" w:rsidRPr="00001828" w:rsidRDefault="008844EA">
      <w:r w:rsidRPr="00001828">
        <w:t xml:space="preserve">The Kenya </w:t>
      </w:r>
      <w:r w:rsidR="0065040C">
        <w:t xml:space="preserve">field </w:t>
      </w:r>
      <w:r w:rsidRPr="00001828">
        <w:t>visit</w:t>
      </w:r>
      <w:r w:rsidR="0065040C">
        <w:t>s</w:t>
      </w:r>
      <w:r w:rsidRPr="00001828">
        <w:t xml:space="preserve"> provided important evidence that the model is more than a paper pathway. KALRO showed that the bean program has internalized a demand-led approach to commercialization. The team described using market feedback, multi-stakeholder platforms and product development profiles to identify market-demanded traits rather than promoting only breeder-preferred traits. That is a serious shift from conventional public </w:t>
      </w:r>
      <w:r w:rsidR="009C4CA1">
        <w:t xml:space="preserve">sector </w:t>
      </w:r>
      <w:r w:rsidRPr="00001828">
        <w:t>breeding</w:t>
      </w:r>
      <w:r w:rsidR="009C4CA1">
        <w:t xml:space="preserve"> efforts</w:t>
      </w:r>
      <w:r w:rsidRPr="00001828">
        <w:t xml:space="preserve">. The model is not yet fully demand-pull in the sense that private </w:t>
      </w:r>
      <w:r w:rsidRPr="00001828">
        <w:t>actors pay for all the functions they need, but it is clearly market-sensitive and moving toward stronger demand-pull. That distinction matters. A market-sensitive model listens to consumers and off-takers; a demand-pull model reaches the point where private and public actors invest their own resources to finance seed production, grain aggregation, promotion and distribution.</w:t>
      </w:r>
      <w:r w:rsidR="009C4CA1">
        <w:t xml:space="preserve">  That should be a goal for KALRO and PABRA in the future, but in no way undermines the accomplishments to date.</w:t>
      </w:r>
    </w:p>
    <w:p w14:paraId="1D556C26" w14:textId="77777777" w:rsidR="00402738" w:rsidRPr="00001828" w:rsidRDefault="008844EA">
      <w:proofErr w:type="spellStart"/>
      <w:r w:rsidRPr="00001828">
        <w:t>Agripack</w:t>
      </w:r>
      <w:proofErr w:type="spellEnd"/>
      <w:r w:rsidRPr="00001828">
        <w:t xml:space="preserve"> provided some of the strongest evidence of private-sector traction. The company reported that Nyota is its leading bean product, with seed sales growing from roughly 30 tons to about 150 tons over five years and around 100 tons sold in the current year by the time of the visit. </w:t>
      </w:r>
      <w:proofErr w:type="spellStart"/>
      <w:r w:rsidRPr="00001828">
        <w:t>Agripack</w:t>
      </w:r>
      <w:proofErr w:type="spellEnd"/>
      <w:r w:rsidRPr="00001828">
        <w:t xml:space="preserve"> has invested in processing, dressing, packaging, quality control and relationships with out-growers. It pays certification costs for contract farmers, works with smallholder groups including many women, and deliberately sel</w:t>
      </w:r>
      <w:r w:rsidRPr="00001828">
        <w:t>ls higher seed classes to protect quality even when farmers save seed for subsequent seasons. Germination rates were reported above 98 percent. This is meaningful evidence that the seed business can work when the variety has strong traits, quality is maintained, and market demand is visible.</w:t>
      </w:r>
    </w:p>
    <w:p w14:paraId="7122A074" w14:textId="5FDBDCCF" w:rsidR="00402738" w:rsidRPr="00001828" w:rsidRDefault="008844EA">
      <w:proofErr w:type="spellStart"/>
      <w:r w:rsidRPr="00001828">
        <w:t>Agripack</w:t>
      </w:r>
      <w:proofErr w:type="spellEnd"/>
      <w:r w:rsidRPr="00001828">
        <w:t xml:space="preserve"> also exposed unresolved scaling constraints. Smallholder out-growers reportedly produce only three to five 90 kg bags per acre, while </w:t>
      </w:r>
      <w:proofErr w:type="spellStart"/>
      <w:r w:rsidRPr="00001828">
        <w:t>Agripack’s</w:t>
      </w:r>
      <w:proofErr w:type="spellEnd"/>
      <w:r w:rsidRPr="00001828">
        <w:t xml:space="preserve"> own production can reach eight to nine bags per acre. That gap means certified seed supply is not only a seed multiplication issue; it is also an agronomy, extension, farmer capability and risk-management issue. </w:t>
      </w:r>
      <w:proofErr w:type="spellStart"/>
      <w:r w:rsidRPr="00001828">
        <w:t>Agripack’s</w:t>
      </w:r>
      <w:proofErr w:type="spellEnd"/>
      <w:r w:rsidRPr="00001828">
        <w:t xml:space="preserve"> decision to bear certification costs may be commercially sensible for building out-grower loyalty, but it may not be replicable across less cap</w:t>
      </w:r>
      <w:r w:rsidRPr="00001828">
        <w:t>able seed firms. The company’s strategy of selling higher-quality seed so farmers can save seed for a few seasons is farmer-friendly, but it also reinforces the structural challenge of creating repeat certified seed demand in a self-pollinated crop.</w:t>
      </w:r>
      <w:r w:rsidR="00956019">
        <w:t xml:space="preserve">  </w:t>
      </w:r>
      <w:r w:rsidR="000656A2">
        <w:t>PABRA may wish to address these issues as it works with other seed companies as, hopefully, demand for the new varieties and certified seed increases.</w:t>
      </w:r>
    </w:p>
    <w:p w14:paraId="58727A40" w14:textId="550BB84E" w:rsidR="00402738" w:rsidRPr="00001828" w:rsidRDefault="008844EA">
      <w:r w:rsidRPr="00001828">
        <w:t xml:space="preserve">Delish and Nutri provided the grain market side of the evidence. The company buys Nyota and other high-iron beans, processes and packages them, and </w:t>
      </w:r>
      <w:proofErr w:type="gramStart"/>
      <w:r w:rsidRPr="00001828">
        <w:t>sells</w:t>
      </w:r>
      <w:proofErr w:type="gramEnd"/>
      <w:r w:rsidRPr="00001828">
        <w:t xml:space="preserve"> through supermarkets, cereal shops, schools and institutional channels including Food4Education-type markets. It reported buying around 20 tons per season </w:t>
      </w:r>
      <w:r w:rsidR="001D4D19">
        <w:t xml:space="preserve">(which we believe to be a mistaken translation and is more likely 10-100-100x that figure) </w:t>
      </w:r>
      <w:r w:rsidRPr="00001828">
        <w:t xml:space="preserve">and seeing growth since 2019, with an ambition to double purchases over roughly two years. It uses contracts with farmers, inspects quality through an agronomist, works through local aggregators, and pays commissions to farmer-aggregators. </w:t>
      </w:r>
      <w:r w:rsidR="00A206BF">
        <w:t xml:space="preserve">One of its strongest features worth noting is that it pays farmers quickly providing cash for the next season or other needs like school fees. </w:t>
      </w:r>
      <w:r w:rsidRPr="00001828">
        <w:t xml:space="preserve">This is real market </w:t>
      </w:r>
      <w:r w:rsidRPr="00001828">
        <w:lastRenderedPageBreak/>
        <w:t xml:space="preserve">evidence. It is much stronger than a project team asserting that a market </w:t>
      </w:r>
      <w:r w:rsidRPr="00A206BF">
        <w:rPr>
          <w:u w:val="single"/>
        </w:rPr>
        <w:t>might</w:t>
      </w:r>
      <w:r w:rsidRPr="00001828">
        <w:t xml:space="preserve"> exist</w:t>
      </w:r>
      <w:r w:rsidR="00A206BF">
        <w:t xml:space="preserve"> or that there is “need” for the new </w:t>
      </w:r>
      <w:proofErr w:type="gramStart"/>
      <w:r w:rsidR="00A206BF">
        <w:t>variety;  need</w:t>
      </w:r>
      <w:proofErr w:type="gramEnd"/>
      <w:r w:rsidR="00A206BF">
        <w:t xml:space="preserve"> does not equal demand</w:t>
      </w:r>
      <w:r w:rsidRPr="00001828">
        <w:t>.</w:t>
      </w:r>
    </w:p>
    <w:p w14:paraId="3AC8C9AF" w14:textId="77777777" w:rsidR="00402738" w:rsidRPr="00001828" w:rsidRDefault="008844EA">
      <w:r w:rsidRPr="00001828">
        <w:t xml:space="preserve">At the same time, Delish revealed the most important market-side bottleneck. The company sees demand and </w:t>
      </w:r>
      <w:proofErr w:type="gramStart"/>
      <w:r w:rsidRPr="00001828">
        <w:t>growth, but</w:t>
      </w:r>
      <w:proofErr w:type="gramEnd"/>
      <w:r w:rsidRPr="00001828">
        <w:t xml:space="preserve"> also wants larger markets and acknowledged challenges in expanding sales. It has beans in store and is looking toward schools, hospitals, retail channels and perhaps export opportunities. That means market demand still requires active creation. If grain demand grows slowly, certified seed demand will also hit a ceiling. If grain demand expands through school feeding, hospitals, supermarkets, county nutrition programs and regional trade, seed demand could grow much faster. This is why S4I should </w:t>
      </w:r>
      <w:r w:rsidRPr="00001828">
        <w:t>focus explicitly on consumer and institutional demand, not only seed production.</w:t>
      </w:r>
    </w:p>
    <w:p w14:paraId="43EE0FA6" w14:textId="77777777" w:rsidR="00402738" w:rsidRDefault="008844EA" w:rsidP="00FA7CEF">
      <w:pPr>
        <w:pStyle w:val="Heading1"/>
      </w:pPr>
      <w:r>
        <w:t>Scaling ambition</w:t>
      </w:r>
    </w:p>
    <w:p w14:paraId="1EDB1B50" w14:textId="2AB4BA91" w:rsidR="00402738" w:rsidRPr="00001828" w:rsidRDefault="008844EA">
      <w:r w:rsidRPr="00001828">
        <w:t xml:space="preserve">The formal ambition is to reach 100,000 farmers, 60 percent women, across 50,000 hectares by 2028; distribute 3,000 tons of certified seed through at least five licensed seed companies; create about 2,000 youth employment opportunities; and build a pathway toward 500,000 farmers by 2030. The 2026 target is more modest: 10,000 farmers, 3,500 hectares, 600 tons of certified seed and at least 200 jobs. These targets are plausible as transition-to-scale milestones, but they are not yet a full theory of </w:t>
      </w:r>
      <w:r w:rsidR="004F5F4B">
        <w:t xml:space="preserve">change to get from the 2026 to the 2030 targets, a plan for </w:t>
      </w:r>
      <w:r w:rsidRPr="00001828">
        <w:t>acceleration</w:t>
      </w:r>
      <w:r w:rsidR="004F5F4B">
        <w:t xml:space="preserve"> is needed</w:t>
      </w:r>
      <w:r w:rsidRPr="00001828">
        <w:t>. Moving from 10,000 to 100,000 farmers requires a mechanism that changes the slope: larger consumer markets, institutional procurement, repeat seed purchase, better demand forecasting, expanded EGS capacity, seed company investment, agro-dealer networks, county extension, or some combination.</w:t>
      </w:r>
      <w:r w:rsidR="00E30143">
        <w:t xml:space="preserve">  </w:t>
      </w:r>
      <w:r w:rsidR="00E30143" w:rsidRPr="00DE2D29">
        <w:rPr>
          <w:u w:val="single"/>
        </w:rPr>
        <w:t xml:space="preserve">While </w:t>
      </w:r>
      <w:proofErr w:type="gramStart"/>
      <w:r w:rsidR="00E30143" w:rsidRPr="00DE2D29">
        <w:rPr>
          <w:u w:val="single"/>
        </w:rPr>
        <w:t>it is clear that KALRO</w:t>
      </w:r>
      <w:proofErr w:type="gramEnd"/>
      <w:r w:rsidR="00E30143" w:rsidRPr="00DE2D29">
        <w:rPr>
          <w:u w:val="single"/>
        </w:rPr>
        <w:t xml:space="preserve"> and PABRA are working with many partners, especially the public sector, to increase demand, more of the same is likely to result in linear growth, not the </w:t>
      </w:r>
      <w:r w:rsidR="00DE2D29" w:rsidRPr="00DE2D29">
        <w:rPr>
          <w:u w:val="single"/>
        </w:rPr>
        <w:t>acceleration</w:t>
      </w:r>
      <w:r w:rsidR="00E30143" w:rsidRPr="00DE2D29">
        <w:rPr>
          <w:u w:val="single"/>
        </w:rPr>
        <w:t xml:space="preserve"> </w:t>
      </w:r>
      <w:r w:rsidR="00DE2D29" w:rsidRPr="00DE2D29">
        <w:rPr>
          <w:u w:val="single"/>
        </w:rPr>
        <w:t>or exponential growth required to achieve the 2028 and 2030 goals.</w:t>
      </w:r>
    </w:p>
    <w:p w14:paraId="56B394E4" w14:textId="3E8E516C" w:rsidR="00402738" w:rsidRPr="00A3375A" w:rsidRDefault="008844EA">
      <w:r w:rsidRPr="00A3375A">
        <w:t>The more analytically useful ambition is not simply more farmers using improved beans</w:t>
      </w:r>
      <w:r w:rsidR="002F1F7B">
        <w:t xml:space="preserve"> using the current market sensitive approach, as significant accomplishment as that already is</w:t>
      </w:r>
      <w:r w:rsidRPr="00A3375A">
        <w:t>. It is to prove and document a demand-pull seed-to-grain commercialization pathway for self-pollinated, nutrient-dense crop varieties. That pathway would begin with consumer and institutional demand; translate that demand into grain purchase commitments; convert grain demand into farmer production plans; convert farmer production plans into certified seed demand; convert certified seed demand into EGS plans; and s</w:t>
      </w:r>
      <w:r w:rsidRPr="00A3375A">
        <w:t xml:space="preserve">ustain the loop through quality control, off-taker trust, farmer returns, private seed company margins and public support for nutrition and food security. If PABRA can demonstrate that loop in a few Kenyan counties and in Malawi, the model could matter far beyond beans. </w:t>
      </w:r>
      <w:r w:rsidR="002F1F7B">
        <w:t xml:space="preserve">While we </w:t>
      </w:r>
      <w:r w:rsidR="007F40C9">
        <w:t xml:space="preserve">already </w:t>
      </w:r>
      <w:r w:rsidR="002F1F7B">
        <w:t xml:space="preserve">recommend that </w:t>
      </w:r>
      <w:r w:rsidR="007F40C9">
        <w:t xml:space="preserve">PABRA is worthy of </w:t>
      </w:r>
      <w:r w:rsidRPr="00A3375A">
        <w:t xml:space="preserve">a CGIAR case study </w:t>
      </w:r>
      <w:r w:rsidR="007F40C9">
        <w:t xml:space="preserve">on an end-to-end scaling </w:t>
      </w:r>
      <w:proofErr w:type="gramStart"/>
      <w:r w:rsidR="007F40C9">
        <w:t xml:space="preserve">approach, </w:t>
      </w:r>
      <w:r w:rsidRPr="00A3375A">
        <w:t xml:space="preserve"> moving</w:t>
      </w:r>
      <w:proofErr w:type="gramEnd"/>
      <w:r w:rsidRPr="00A3375A">
        <w:t xml:space="preserve"> breeding investments from varietal release to market-driven adoption</w:t>
      </w:r>
      <w:r w:rsidR="007F40C9">
        <w:t xml:space="preserve"> and accelerate growth would be seminal</w:t>
      </w:r>
      <w:r w:rsidRPr="00A3375A">
        <w:t>.</w:t>
      </w:r>
    </w:p>
    <w:p w14:paraId="4263DDF2" w14:textId="4E9AD068" w:rsidR="00402738" w:rsidRPr="00A3375A" w:rsidRDefault="008844EA">
      <w:r w:rsidRPr="00A3375A">
        <w:t>The numerical targets should therefore be treated as means, not the end. Reaching 100,000 farmers by 2028 matters only if it proves that the system can continue expanding with declining donor intensity. A functioning system in which farmers periodically buy improved seed because the grain market rewards them, seed companies forecast and supply demand, and public institutions maintain EGS and quality assurance because the value chain contributes to food security, nutrition, income and county revenues is scal</w:t>
      </w:r>
      <w:r w:rsidRPr="00A3375A">
        <w:t>e. The 2030 target of 500,000 farmers is credible only if 2026-2028 demonstrates those system dynamics.</w:t>
      </w:r>
    </w:p>
    <w:p w14:paraId="0C467511" w14:textId="77777777" w:rsidR="00402738" w:rsidRDefault="008844EA" w:rsidP="00FA7CEF">
      <w:pPr>
        <w:pStyle w:val="Heading1"/>
      </w:pPr>
      <w:r>
        <w:lastRenderedPageBreak/>
        <w:t>Stakeholders and roles</w:t>
      </w:r>
    </w:p>
    <w:p w14:paraId="0605D316" w14:textId="77777777" w:rsidR="00402738" w:rsidRPr="00A3375A" w:rsidRDefault="008844EA">
      <w:r w:rsidRPr="00A3375A">
        <w:t xml:space="preserve">PABRA and the Alliance of </w:t>
      </w:r>
      <w:proofErr w:type="spellStart"/>
      <w:r w:rsidRPr="00A3375A">
        <w:t>Bioversity</w:t>
      </w:r>
      <w:proofErr w:type="spellEnd"/>
      <w:r w:rsidRPr="00A3375A">
        <w:t xml:space="preserve"> International and CIAT are the central regional platform, technical convener and learning intermediary. Their roles include breeding support, regional knowledge, cross-country learning, demand-led bean corridor development, market-system coordination, and the institutional credibility needed to convene public and private actors. PABRA’s value added is not only science; it </w:t>
      </w:r>
      <w:proofErr w:type="gramStart"/>
      <w:r w:rsidRPr="00A3375A">
        <w:t>is</w:t>
      </w:r>
      <w:proofErr w:type="gramEnd"/>
      <w:r w:rsidRPr="00A3375A">
        <w:t xml:space="preserve"> accumulated capacity to see and work across the full bean value chain. This makes PABRA unusually valuable as a scaling pla</w:t>
      </w:r>
      <w:r w:rsidRPr="00A3375A">
        <w:t>tform. It also creates a donor-exit question: if PABRA remains the actor holding the system together, then the model is not fully institutionalized. The next stage should clarify which functions PABRA will continue permanently, which can be transferred, and which are temporary transition functions.</w:t>
      </w:r>
    </w:p>
    <w:p w14:paraId="287FB887" w14:textId="42DE7452" w:rsidR="00402738" w:rsidRPr="00A3375A" w:rsidRDefault="008844EA">
      <w:r w:rsidRPr="00A3375A">
        <w:t>KALRO is the essential national public anchor in Kenya</w:t>
      </w:r>
      <w:r w:rsidR="00B72956">
        <w:t xml:space="preserve"> and the primary driver of the scaling effort in partnership with PABRA</w:t>
      </w:r>
      <w:r w:rsidRPr="00A3375A">
        <w:t xml:space="preserve">. The field visit made clear that KALRO’s role is much broader than variety release. It produces or supports </w:t>
      </w:r>
      <w:proofErr w:type="gramStart"/>
      <w:r w:rsidRPr="00A3375A">
        <w:t>breeder</w:t>
      </w:r>
      <w:proofErr w:type="gramEnd"/>
      <w:r w:rsidRPr="00A3375A">
        <w:t xml:space="preserve"> and early-generation </w:t>
      </w:r>
      <w:proofErr w:type="gramStart"/>
      <w:r w:rsidRPr="00A3375A">
        <w:t>seed</w:t>
      </w:r>
      <w:proofErr w:type="gramEnd"/>
      <w:r w:rsidRPr="00A3375A">
        <w:t>; coordinates replacement trials; convenes market feedback; supports seed companies; engages with certification processes; provides technical backstopping; links with county governments; and helps create public legitimacy for improved varieties to enter school feeding, nutrition and county agricult</w:t>
      </w:r>
      <w:r w:rsidRPr="00A3375A">
        <w:t>ure agendas. For beans, KALRO is not optional. Because beans are self-pollinated and less commercially attractive to seed companies than hybrid crops, public EGS and technical support are binding public-good functions</w:t>
      </w:r>
      <w:r w:rsidR="004450D7">
        <w:t xml:space="preserve"> as are initial catalytic efforts </w:t>
      </w:r>
      <w:proofErr w:type="gramStart"/>
      <w:r w:rsidR="004450D7">
        <w:t>a proving</w:t>
      </w:r>
      <w:proofErr w:type="gramEnd"/>
      <w:r w:rsidR="004450D7">
        <w:t xml:space="preserve"> the private business case, as is discussed above</w:t>
      </w:r>
      <w:r w:rsidRPr="00A3375A">
        <w:t xml:space="preserve">. The sustainability question is whether KALRO has sufficient recurrent funding, royalty income, staff incentives and political support to play this role </w:t>
      </w:r>
      <w:proofErr w:type="gramStart"/>
      <w:r w:rsidRPr="00A3375A">
        <w:t>at</w:t>
      </w:r>
      <w:proofErr w:type="gramEnd"/>
      <w:r w:rsidRPr="00A3375A">
        <w:t xml:space="preserve"> scale.</w:t>
      </w:r>
    </w:p>
    <w:p w14:paraId="46D6DC19" w14:textId="4E5EB7DB" w:rsidR="00402738" w:rsidRPr="00A3375A" w:rsidRDefault="005D0979">
      <w:r>
        <w:t>See</w:t>
      </w:r>
      <w:r w:rsidR="0006228D">
        <w:t>d</w:t>
      </w:r>
      <w:r>
        <w:t xml:space="preserve"> companies are the primary driver of</w:t>
      </w:r>
      <w:r w:rsidRPr="00A3375A">
        <w:t xml:space="preserve"> the certified seed pathway. </w:t>
      </w:r>
      <w:r w:rsidR="0006228D">
        <w:t>They</w:t>
      </w:r>
      <w:r w:rsidRPr="00A3375A">
        <w:t xml:space="preserve"> </w:t>
      </w:r>
      <w:proofErr w:type="gramStart"/>
      <w:r w:rsidRPr="00A3375A">
        <w:t>multiplies</w:t>
      </w:r>
      <w:proofErr w:type="gramEnd"/>
      <w:r w:rsidRPr="00A3375A">
        <w:t>, process, certif</w:t>
      </w:r>
      <w:r w:rsidR="0006228D">
        <w:t>y</w:t>
      </w:r>
      <w:r w:rsidRPr="00A3375A">
        <w:t xml:space="preserve">, dress, package and distribute seed, working with small-scale farmers and agro-dealers across substantial distances. </w:t>
      </w:r>
      <w:r w:rsidR="0006228D">
        <w:t>Their</w:t>
      </w:r>
      <w:r w:rsidRPr="00A3375A">
        <w:t xml:space="preserve"> role is commercially credible because it has invested in facilities and grown sales. But </w:t>
      </w:r>
      <w:r w:rsidR="0006228D">
        <w:t>seed companies</w:t>
      </w:r>
      <w:r w:rsidRPr="00A3375A">
        <w:t xml:space="preserve"> also demonstrate that </w:t>
      </w:r>
      <w:r w:rsidR="0006228D">
        <w:t>their</w:t>
      </w:r>
      <w:r w:rsidRPr="00A3375A">
        <w:t xml:space="preserve"> participation depends on visible market demand, quality control, certification support, reliable EGS, and a clear path to selling enough seed to justify investment. </w:t>
      </w:r>
      <w:r w:rsidR="00E47AEA">
        <w:t xml:space="preserve">Processors like </w:t>
      </w:r>
      <w:r w:rsidRPr="00A3375A">
        <w:t xml:space="preserve">Delish and Nutri represent the grain off-taker and consumer-market pathway. </w:t>
      </w:r>
      <w:r w:rsidR="00E47AEA">
        <w:t>The fact that they have invested their own resources in buying, processing and distributing grain</w:t>
      </w:r>
      <w:r w:rsidRPr="00A3375A">
        <w:t xml:space="preserve"> is the strongest evidence that consumer and institutional markets can pull seed demand, but it also shows why the project must invest</w:t>
      </w:r>
      <w:r w:rsidR="009C50E0">
        <w:t xml:space="preserve">, at least in the </w:t>
      </w:r>
      <w:proofErr w:type="gramStart"/>
      <w:r w:rsidR="009C50E0">
        <w:t>short-run</w:t>
      </w:r>
      <w:proofErr w:type="gramEnd"/>
      <w:r w:rsidRPr="00A3375A">
        <w:t xml:space="preserve"> in </w:t>
      </w:r>
      <w:r w:rsidR="009C50E0">
        <w:t xml:space="preserve">ensuring </w:t>
      </w:r>
      <w:r w:rsidRPr="00A3375A">
        <w:t>quality, moisture control, aggregation, marketing and institutional procurement.</w:t>
      </w:r>
    </w:p>
    <w:p w14:paraId="3BC688BE" w14:textId="16A63EB9" w:rsidR="00402738" w:rsidRPr="00A3375A" w:rsidRDefault="008844EA">
      <w:r w:rsidRPr="00A3375A">
        <w:t>Other stakeholders are important but less fully specified. County governments can mobilize extension officers, endorse priority varieties, support school feeding and nutrition agendas, and provide political legitimacy. KEFIS is essential for certification and seed quality, but data access and royalty collection appear to be bottlenecks. AGRA is expected to contribute market-system capacity, last-mile delivery, village-based advisors, policy engagement and financing, but the exact commitments and fallback pl</w:t>
      </w:r>
      <w:r w:rsidRPr="00A3375A">
        <w:t xml:space="preserve">an remain unclear. Equity Bank may provide financial literacy and credit, but the actual products, risk-sharing model and borrower segment are not yet visible. </w:t>
      </w:r>
      <w:proofErr w:type="spellStart"/>
      <w:r w:rsidRPr="00A3375A">
        <w:t>Pesira</w:t>
      </w:r>
      <w:proofErr w:type="spellEnd"/>
      <w:r w:rsidRPr="00A3375A">
        <w:t xml:space="preserve"> may support farmer profiling, traceability and demand forecasting, but the payer and use case need clarity. Farmers, women’s groups, youth, agro-dealers and aggregators are not passive beneficiaries; they are the actors whose behavior </w:t>
      </w:r>
      <w:r w:rsidR="00DA2EB5">
        <w:lastRenderedPageBreak/>
        <w:t xml:space="preserve">could assist with acceleration of demand for certified seed, and that </w:t>
      </w:r>
      <w:r w:rsidRPr="00A3375A">
        <w:t>the model becomes self-sustaining.</w:t>
      </w:r>
      <w:r w:rsidR="00DA2EB5">
        <w:t xml:space="preserve">  </w:t>
      </w:r>
      <w:proofErr w:type="gramStart"/>
      <w:r w:rsidR="00DA2EB5">
        <w:t>However</w:t>
      </w:r>
      <w:proofErr w:type="gramEnd"/>
      <w:r w:rsidR="00DA2EB5">
        <w:t xml:space="preserve"> demand for certified seed cannot and will not happen until there is consumer demand pulling the whole value chain. </w:t>
      </w:r>
    </w:p>
    <w:p w14:paraId="4A78BCCF" w14:textId="77777777" w:rsidR="00402738" w:rsidRDefault="008844EA" w:rsidP="00FA7CEF">
      <w:pPr>
        <w:pStyle w:val="Heading1"/>
      </w:pPr>
      <w:r>
        <w:t>Analytical assessment: strengths, weaknesses and bottlenecks</w:t>
      </w:r>
    </w:p>
    <w:p w14:paraId="14F03E99" w14:textId="77777777" w:rsidR="00402738" w:rsidRPr="00A3375A" w:rsidRDefault="008844EA" w:rsidP="00A3375A">
      <w:pPr>
        <w:pStyle w:val="Heading2"/>
      </w:pPr>
      <w:r w:rsidRPr="00A3375A">
        <w:t>Strong innovation-plus-system, unfinished demand-pull</w:t>
      </w:r>
    </w:p>
    <w:p w14:paraId="5F9E2E8D" w14:textId="2BDE9304" w:rsidR="00402738" w:rsidRPr="00A3375A" w:rsidRDefault="008844EA">
      <w:r w:rsidRPr="00A3375A">
        <w:t>Against the integrated scaling framework, the biggest strength is that the unit of analysis is increasingly the innovation-plus-</w:t>
      </w:r>
      <w:r w:rsidR="00250378">
        <w:t xml:space="preserve">market </w:t>
      </w:r>
      <w:r w:rsidRPr="00A3375A">
        <w:t xml:space="preserve">system rather than the variety alone. PABRA and KALRO understand that a bean variety does not scale because it is released. It scales because enough actors have reasons to produce, certify, distribute, buy, plant, aggregate, process, promote, consume and reinvest in it. The Kenya </w:t>
      </w:r>
      <w:r w:rsidR="00250378">
        <w:t xml:space="preserve">field </w:t>
      </w:r>
      <w:r w:rsidRPr="00A3375A">
        <w:t>visit</w:t>
      </w:r>
      <w:r w:rsidR="00250378">
        <w:t>s</w:t>
      </w:r>
      <w:r w:rsidRPr="00A3375A">
        <w:t xml:space="preserve"> showed a mature systems instinct: KALRO is addressing EGS, seed companies, agro-dealers, off-takers, consumers, county governments, IP and royalties, certification, training, school feeding and market cartels. T</w:t>
      </w:r>
      <w:r w:rsidRPr="00A3375A">
        <w:t>hat is the real work of scaling.</w:t>
      </w:r>
    </w:p>
    <w:p w14:paraId="526CAF30" w14:textId="5DCF84A7" w:rsidR="00402738" w:rsidRPr="00A3375A" w:rsidRDefault="008844EA">
      <w:r w:rsidRPr="00A3375A">
        <w:t xml:space="preserve">The weakness is that the model is still more market-sensitive than fully market-pulled. PABRA and KALRO listen to market demand and adjust varieties accordingly. </w:t>
      </w:r>
      <w:proofErr w:type="spellStart"/>
      <w:r w:rsidRPr="00A3375A">
        <w:t>Agripack</w:t>
      </w:r>
      <w:proofErr w:type="spellEnd"/>
      <w:r w:rsidRPr="00A3375A">
        <w:t xml:space="preserve"> and Delish are investing because they see business value. But the system still depends heavily on PABRA and KALRO to convene, coordinate, diagnose and solve problems. Private actors are not yet paying for the full range of </w:t>
      </w:r>
      <w:proofErr w:type="gramStart"/>
      <w:r w:rsidRPr="00A3375A">
        <w:t>public-good</w:t>
      </w:r>
      <w:proofErr w:type="gramEnd"/>
      <w:r w:rsidRPr="00A3375A">
        <w:t xml:space="preserve"> and coordination functions. KALRO remains underfunded for recurrent EGS and relies on project support</w:t>
      </w:r>
      <w:r w:rsidR="002A0783">
        <w:t xml:space="preserve">, </w:t>
      </w:r>
      <w:r w:rsidRPr="00A3375A">
        <w:t>incomplete royalty flows</w:t>
      </w:r>
      <w:r w:rsidR="002A0783">
        <w:t>, and what appears to be declining public sector financing</w:t>
      </w:r>
      <w:r w:rsidRPr="00A3375A">
        <w:t xml:space="preserve">. The project is therefore </w:t>
      </w:r>
      <w:r w:rsidR="003A0B65">
        <w:t>well beyond the transition-to-scale and fully scaling, but not yet in the institutionalization phase</w:t>
      </w:r>
      <w:r w:rsidRPr="00A3375A">
        <w:t>: credible, advanced and promising, but not yet self-sustaining.</w:t>
      </w:r>
    </w:p>
    <w:p w14:paraId="2E89A7B8" w14:textId="77777777" w:rsidR="00402738" w:rsidRDefault="008844EA" w:rsidP="00A3375A">
      <w:pPr>
        <w:pStyle w:val="Heading2"/>
      </w:pPr>
      <w:r>
        <w:t>Consumer demand is the first binding bottleneck</w:t>
      </w:r>
    </w:p>
    <w:p w14:paraId="71F40B2B" w14:textId="14EB605A" w:rsidR="00402738" w:rsidRPr="00A3375A" w:rsidRDefault="008844EA">
      <w:r w:rsidRPr="00A3375A">
        <w:t xml:space="preserve">The field visit strongly suggests that the most underappreciated bottleneck is consumer and institutional demand. Before the visit, it would have been easy to frame the main bottleneck as EGS or certified seed supply. Those are </w:t>
      </w:r>
      <w:r w:rsidR="00456976">
        <w:t xml:space="preserve">indeed </w:t>
      </w:r>
      <w:r w:rsidRPr="00A3375A">
        <w:t>real constraints</w:t>
      </w:r>
      <w:r w:rsidR="00456976">
        <w:t xml:space="preserve"> and very much in KALRO’s wheelhouse and responsibility</w:t>
      </w:r>
      <w:r w:rsidRPr="00A3375A">
        <w:t>. But Delish and the KALRO discussion revealed that seed demand cannot grow indefinitely unless grain demand grows. If consumer demand is weak</w:t>
      </w:r>
      <w:r w:rsidR="004F2484">
        <w:t xml:space="preserve"> or </w:t>
      </w:r>
      <w:proofErr w:type="gramStart"/>
      <w:r w:rsidR="004F2484">
        <w:t>at</w:t>
      </w:r>
      <w:proofErr w:type="gramEnd"/>
      <w:r w:rsidR="004F2484">
        <w:t xml:space="preserve"> a plateau, which may currently be </w:t>
      </w:r>
      <w:proofErr w:type="gramStart"/>
      <w:r w:rsidR="004F2484">
        <w:t xml:space="preserve">the  </w:t>
      </w:r>
      <w:r w:rsidR="00A02EEF">
        <w:t>c</w:t>
      </w:r>
      <w:r w:rsidR="004F2484">
        <w:t>ase</w:t>
      </w:r>
      <w:proofErr w:type="gramEnd"/>
      <w:r w:rsidRPr="00A3375A">
        <w:t>, the entire chain stalls.</w:t>
      </w:r>
    </w:p>
    <w:p w14:paraId="3A5D5BD8" w14:textId="1D28F2F1" w:rsidR="00402738" w:rsidRDefault="0091617D">
      <w:r w:rsidRPr="0091617D">
        <w:t xml:space="preserve">PABRA should not only ask how to </w:t>
      </w:r>
      <w:r w:rsidR="009D2F17" w:rsidRPr="0091617D">
        <w:t xml:space="preserve">produce </w:t>
      </w:r>
      <w:proofErr w:type="gramStart"/>
      <w:r w:rsidRPr="0091617D">
        <w:t>distribute more certified seed</w:t>
      </w:r>
      <w:proofErr w:type="gramEnd"/>
      <w:r w:rsidRPr="0091617D">
        <w:t>. It should ask how to create a larger, more predictable market for high-iron beans. That could include school feeding procurement, Food4Education-type channels, hospitals, supermarkets, cereal shops, county nutrition programs, consumer marketing around cooking time and nutrition, and potentially export or regional trade. Demand creation should be measured by tons purchased, repeat buyers, institutional contracts, retail listings, price premiums, and off-taker expansion, not only by awareness outputs.</w:t>
      </w:r>
      <w:r w:rsidR="009D2F17" w:rsidRPr="0091617D">
        <w:t xml:space="preserve"> In that regard, it is worth noting that the much-celebrated orange flesh sweet potatoes</w:t>
      </w:r>
      <w:r w:rsidR="002C450B">
        <w:t xml:space="preserve"> took around ten years after the initial </w:t>
      </w:r>
      <w:proofErr w:type="gramStart"/>
      <w:r w:rsidR="002C450B">
        <w:t>large scale</w:t>
      </w:r>
      <w:proofErr w:type="gramEnd"/>
      <w:r w:rsidR="002C450B">
        <w:t xml:space="preserve"> demonstrations for proof of concept, though this was largely </w:t>
      </w:r>
      <w:r w:rsidR="002C450B">
        <w:t>driven</w:t>
      </w:r>
      <w:r w:rsidR="002C450B">
        <w:t xml:space="preserve"> by CIP and Harvest Plus and supporting projects/donors and not really a market-demand pull approach.  (See a short case study in Annex I.) </w:t>
      </w:r>
    </w:p>
    <w:p w14:paraId="46C87E80" w14:textId="77777777" w:rsidR="00F616B2" w:rsidRPr="00A3375A" w:rsidRDefault="00F616B2"/>
    <w:p w14:paraId="2A99449D" w14:textId="77777777" w:rsidR="00402738" w:rsidRDefault="008844EA" w:rsidP="00A3375A">
      <w:pPr>
        <w:pStyle w:val="Heading2"/>
      </w:pPr>
      <w:r>
        <w:lastRenderedPageBreak/>
        <w:t>Farmer demand for certified seed is the second binding bottleneck</w:t>
      </w:r>
    </w:p>
    <w:p w14:paraId="54E9F807" w14:textId="77777777" w:rsidR="00402738" w:rsidRPr="00A3375A" w:rsidRDefault="008844EA">
      <w:r w:rsidRPr="00A3375A">
        <w:t xml:space="preserve">The second bottleneck is farmer willingness to buy certified seed repeatedly. Beans are self-pollinated and farmers can save seed. </w:t>
      </w:r>
      <w:proofErr w:type="spellStart"/>
      <w:r w:rsidRPr="00A3375A">
        <w:t>Agripack’s</w:t>
      </w:r>
      <w:proofErr w:type="spellEnd"/>
      <w:r w:rsidRPr="00A3375A">
        <w:t xml:space="preserve"> decision to sell higher-quality seed classes so farmers can save seed for a few seasons is farmer-friendly, but it weakens repeat-sales logic. The team’s argument is that market pull, off-take, training and quality incentives will lead farmers to buy certified seed periodically. That is plausible but unproven. Farmers will replace </w:t>
      </w:r>
      <w:proofErr w:type="gramStart"/>
      <w:r w:rsidRPr="00A3375A">
        <w:t>seed</w:t>
      </w:r>
      <w:proofErr w:type="gramEnd"/>
      <w:r w:rsidRPr="00A3375A">
        <w:t xml:space="preserve"> when they believe the yield, grain quality, market access, price premium, reduced cooking time, disease tolerance or school feeding demand makes replacement profit</w:t>
      </w:r>
      <w:r w:rsidRPr="00A3375A">
        <w:t>able.</w:t>
      </w:r>
    </w:p>
    <w:p w14:paraId="2EDCF8D7" w14:textId="093B37B9" w:rsidR="00402738" w:rsidRPr="00A3375A" w:rsidRDefault="00776171">
      <w:r w:rsidRPr="000645FF">
        <w:rPr>
          <w:u w:val="single"/>
        </w:rPr>
        <w:t xml:space="preserve">PABRA needs to develop a farmer demand </w:t>
      </w:r>
      <w:r w:rsidR="000645FF">
        <w:rPr>
          <w:u w:val="single"/>
        </w:rPr>
        <w:t xml:space="preserve">acceleration strategy </w:t>
      </w:r>
      <w:r w:rsidRPr="000645FF">
        <w:rPr>
          <w:u w:val="single"/>
        </w:rPr>
        <w:t>based on a more granular analysis of farmer adoption behavior.</w:t>
      </w:r>
      <w:r w:rsidRPr="00776171">
        <w:t xml:space="preserve"> The project needs to know who buys certified </w:t>
      </w:r>
      <w:proofErr w:type="gramStart"/>
      <w:r w:rsidRPr="00776171">
        <w:t>seed</w:t>
      </w:r>
      <w:proofErr w:type="gramEnd"/>
      <w:r w:rsidRPr="00776171">
        <w:t xml:space="preserve">, who repeats, who saves, how long they save, why they return or do not return, and what price premium or yield advantage is necessary to sustain the cycle. It should distinguish one-time project-induced adoption from market-based repeat demand. It should also </w:t>
      </w:r>
      <w:r>
        <w:t>generate and evaluate</w:t>
      </w:r>
      <w:r w:rsidR="00500CE3" w:rsidRPr="00776171">
        <w:t xml:space="preserve"> for evidence about current </w:t>
      </w:r>
      <w:r w:rsidRPr="00776171">
        <w:t>farmer</w:t>
      </w:r>
      <w:r w:rsidR="00500CE3" w:rsidRPr="00776171">
        <w:t xml:space="preserve"> demand and demand growth potential segmented by type of farmers</w:t>
      </w:r>
      <w:r w:rsidRPr="00776171">
        <w:t>: commercial farmers linked to off-takers may behave differently from subsistence farmers; women farmers may value nutrition and cooking time differently from male household decision-makers; and counties with strong extension and school feeding links may adopt faster than areas with weak markets.</w:t>
      </w:r>
    </w:p>
    <w:p w14:paraId="6E4310D7" w14:textId="77777777" w:rsidR="00402738" w:rsidRDefault="008844EA" w:rsidP="00A3375A">
      <w:pPr>
        <w:pStyle w:val="Heading2"/>
      </w:pPr>
      <w:r>
        <w:t>EGS, royalties and KALRO financing are public-good bottlenecks</w:t>
      </w:r>
    </w:p>
    <w:p w14:paraId="1DEA05EA" w14:textId="340D1DEB" w:rsidR="00402738" w:rsidRPr="00A3375A" w:rsidRDefault="008844EA">
      <w:r w:rsidRPr="00A3375A">
        <w:t xml:space="preserve">The most obvious upstream bottleneck is early-generation seed. KALRO’s role is essential because private companies have weaker incentives to invest heavily in upstream seed for a self-pollinated crop: remove KALRO and the seed companies’ ability to produce bean seed collapses. The recurrent cost of variety release, maintenance, breeder seed, EGS, trials and technical backstopping cannot be wished away. KALRO staff also </w:t>
      </w:r>
      <w:r w:rsidR="00E01092">
        <w:t xml:space="preserve">faces challenges </w:t>
      </w:r>
      <w:r w:rsidR="00C2462E">
        <w:t>of</w:t>
      </w:r>
      <w:r w:rsidRPr="00A3375A">
        <w:t xml:space="preserve"> national performance trial costs, variety release costs, and the difficulty of ensuring seed companies pay royalties. KEFIS certification data apparently cannot easily be used for royalty enforcement without company permission. This is a public-sector scaling bottleneck hidden beneath a market-systems narrative.</w:t>
      </w:r>
    </w:p>
    <w:p w14:paraId="35F19496" w14:textId="408D3FCA" w:rsidR="00402738" w:rsidRPr="00A3375A" w:rsidRDefault="00C2462E">
      <w:r w:rsidRPr="009F3643">
        <w:rPr>
          <w:u w:val="single"/>
        </w:rPr>
        <w:t>PABRA should treat KALRO’s financing model as a core scaling issue</w:t>
      </w:r>
      <w:r w:rsidRPr="00A3375A">
        <w:t>. If EGS production remains dependent on project funding, the system is not sustainable. Potential solutions include government budget allocations for EGS as a public-good nutrition and food security investment; stronger royalty enforcement and data-sharing arrangements; modest levies on certified seed or grain trade earmarked for breeder seed and EGS; structured cost-sharing with licensed companies; and county contributions where bean value chains generate revenue and political benefits. The point is not that one mechanism is obvious. The point is that PABRA cannot claim a sustainable pathway unless recurrent funding for KALRO’s essential functions is addressed.</w:t>
      </w:r>
    </w:p>
    <w:p w14:paraId="0FDE0946" w14:textId="77777777" w:rsidR="00402738" w:rsidRDefault="008844EA" w:rsidP="00A3375A">
      <w:pPr>
        <w:pStyle w:val="Heading2"/>
      </w:pPr>
      <w:r>
        <w:t>Off-taker and aggregation models are promising but fragile</w:t>
      </w:r>
    </w:p>
    <w:p w14:paraId="5416808B" w14:textId="21821E7F" w:rsidR="00402738" w:rsidRPr="00A3375A" w:rsidRDefault="009F3643">
      <w:r>
        <w:t xml:space="preserve">The S4I team’s field visit with </w:t>
      </w:r>
      <w:r w:rsidRPr="00A3375A">
        <w:t xml:space="preserve">Delish </w:t>
      </w:r>
      <w:r>
        <w:t xml:space="preserve">and Nutri </w:t>
      </w:r>
      <w:r w:rsidRPr="00A3375A">
        <w:t>provide</w:t>
      </w:r>
      <w:r>
        <w:t>d</w:t>
      </w:r>
      <w:r w:rsidRPr="00A3375A">
        <w:t xml:space="preserve"> a concrete buyer and a </w:t>
      </w:r>
      <w:r>
        <w:t xml:space="preserve">valuable </w:t>
      </w:r>
      <w:r w:rsidRPr="00A3375A">
        <w:t xml:space="preserve">business case beyond project rhetoric. But off-taker models can fail when aggregation, quality, moisture, trust, payment, side-selling or market demand </w:t>
      </w:r>
      <w:proofErr w:type="gramStart"/>
      <w:r w:rsidRPr="00A3375A">
        <w:t>break</w:t>
      </w:r>
      <w:proofErr w:type="gramEnd"/>
      <w:r w:rsidRPr="00A3375A">
        <w:t xml:space="preserve"> down. Delish identified moisture content as a major quality issue. KALRO described cases where brokers or cartels substituted poor-quality beans into bags, </w:t>
      </w:r>
      <w:r w:rsidRPr="00A3375A">
        <w:lastRenderedPageBreak/>
        <w:t>damaged trust, and undermined off-taker willingness to buy. These are not small operational details. They are political economy and implementation fidelity problems that can determine whether a grain market pulls seed demand or collapses under mistrust.</w:t>
      </w:r>
    </w:p>
    <w:p w14:paraId="7E4E4496" w14:textId="68FB8A09" w:rsidR="00402738" w:rsidRPr="00A3375A" w:rsidRDefault="00A02EEF">
      <w:r w:rsidRPr="00A02EEF">
        <w:rPr>
          <w:u w:val="single"/>
        </w:rPr>
        <w:t>PABRA should elevate quality control, post-harvest handling, aggregation governance and broker politics into the scaling strategy</w:t>
      </w:r>
      <w:r w:rsidRPr="00A3375A">
        <w:t>. The model needs trusted local aggregation points, moisture testing, farmer training, transparent payment, traceability, buyer standards and county-level support against predatory brokers. The theory says aggregation centers solve collection. The field evidence says aggregation works when trusted people manage it and have incentives to maintain quality. The scaling model must reflect that difference.</w:t>
      </w:r>
    </w:p>
    <w:p w14:paraId="1BAA2482" w14:textId="77777777" w:rsidR="00402738" w:rsidRDefault="008844EA" w:rsidP="00A3375A">
      <w:pPr>
        <w:pStyle w:val="Heading2"/>
      </w:pPr>
      <w:r>
        <w:t>Private-sector business cases are real but uneven</w:t>
      </w:r>
    </w:p>
    <w:p w14:paraId="56CB85C0" w14:textId="77777777" w:rsidR="006A3B32" w:rsidRDefault="008844EA">
      <w:r w:rsidRPr="00A3375A">
        <w:t xml:space="preserve">The project has stronger private-sector traction than many CGIAR solutions. </w:t>
      </w:r>
      <w:proofErr w:type="spellStart"/>
      <w:r w:rsidRPr="00A3375A">
        <w:t>Agripack</w:t>
      </w:r>
      <w:proofErr w:type="spellEnd"/>
      <w:r w:rsidRPr="00A3375A">
        <w:t xml:space="preserve"> makes money from seed. Delish makes money from grain products. Agro-dealers earn margins </w:t>
      </w:r>
      <w:r w:rsidR="000645FF">
        <w:t xml:space="preserve">from selling and, thanks to KALRO’s setting an example, </w:t>
      </w:r>
      <w:proofErr w:type="gramStart"/>
      <w:r w:rsidR="000645FF">
        <w:t>actually delivering</w:t>
      </w:r>
      <w:proofErr w:type="gramEnd"/>
      <w:r w:rsidR="000645FF">
        <w:t xml:space="preserve"> </w:t>
      </w:r>
      <w:r w:rsidR="006A3B32">
        <w:t>seeds</w:t>
      </w:r>
      <w:r w:rsidR="000645FF">
        <w:t xml:space="preserve"> to farmer customers</w:t>
      </w:r>
      <w:r w:rsidRPr="00A3375A">
        <w:t xml:space="preserve">. Aggregator-farmers earn commissions. </w:t>
      </w:r>
    </w:p>
    <w:p w14:paraId="694745FF" w14:textId="1ADA30A5" w:rsidR="00402738" w:rsidRPr="00A3375A" w:rsidRDefault="006A3B32">
      <w:r>
        <w:t xml:space="preserve">While the S4I team did not have the time to do a thorough survey of seed companies, processors and did not visit with either agrodealers or farmers who buy seed, </w:t>
      </w:r>
      <w:r w:rsidRPr="00A3375A">
        <w:t xml:space="preserve">the </w:t>
      </w:r>
      <w:r>
        <w:t xml:space="preserve">anecdotal evidence suggests that </w:t>
      </w:r>
      <w:r w:rsidRPr="00A3375A">
        <w:t xml:space="preserve">business cases are uneven and incomplete. </w:t>
      </w:r>
      <w:proofErr w:type="spellStart"/>
      <w:r w:rsidRPr="00A3375A">
        <w:t>Agripack</w:t>
      </w:r>
      <w:proofErr w:type="spellEnd"/>
      <w:r w:rsidRPr="00A3375A">
        <w:t xml:space="preserve"> is serious, but other seed companies may not have the same capacity. Delish wants larger markets. Equity Bank is named as a partner, but the field evidence does not yet show a clear loan product, borrower segment, risk-sharing model or repayment case. </w:t>
      </w:r>
      <w:proofErr w:type="spellStart"/>
      <w:r w:rsidRPr="00A3375A">
        <w:t>Pesira</w:t>
      </w:r>
      <w:proofErr w:type="spellEnd"/>
      <w:r w:rsidRPr="00A3375A">
        <w:t xml:space="preserve"> is named for farmer profiling and traceability, but the </w:t>
      </w:r>
      <w:proofErr w:type="gramStart"/>
      <w:r w:rsidRPr="00A3375A">
        <w:t>payer</w:t>
      </w:r>
      <w:proofErr w:type="gramEnd"/>
      <w:r w:rsidRPr="00A3375A">
        <w:t xml:space="preserve"> and operational integration remain unclear. </w:t>
      </w:r>
    </w:p>
    <w:p w14:paraId="6E553F5F" w14:textId="22EF1824" w:rsidR="00402738" w:rsidRDefault="006C5CC1">
      <w:r w:rsidRPr="006C5CC1">
        <w:rPr>
          <w:u w:val="single"/>
        </w:rPr>
        <w:t>An improved scaling strategy and workplan requires actor-level business cases</w:t>
      </w:r>
      <w:r>
        <w:rPr>
          <w:u w:val="single"/>
        </w:rPr>
        <w:t xml:space="preserve"> and activities to address weaknesses and variance within each part of the value chain</w:t>
      </w:r>
      <w:r w:rsidRPr="006C5CC1">
        <w:rPr>
          <w:u w:val="single"/>
        </w:rPr>
        <w:t>.</w:t>
      </w:r>
      <w:r w:rsidRPr="00A3375A">
        <w:t xml:space="preserve"> For each actor, the project should specify what value is created, who pays, who bears risk, what behavior must change, and what evidence shows that the actor will continue after donor exit. For seed companies, the evidence is seed volumes, margins, inventory turnover, distribution costs, certification costs, and repeat orders. For </w:t>
      </w:r>
      <w:proofErr w:type="gramStart"/>
      <w:r w:rsidRPr="00A3375A">
        <w:t>off-takers</w:t>
      </w:r>
      <w:proofErr w:type="gramEnd"/>
      <w:r w:rsidRPr="00A3375A">
        <w:t>, it is volumes purchased, rejection rates, price premiums, retail or institutional demand, working capital, and consumer demand. For KALRO, it is recurrent funding, EGS volumes, royalty collection, staff time and mandates. For counties, it is levies, nutrition outcomes, school feeding alignment, extension budget and political incentive.</w:t>
      </w:r>
    </w:p>
    <w:p w14:paraId="481ECA88" w14:textId="2CA07443" w:rsidR="00B879E0" w:rsidRPr="00B879E0" w:rsidRDefault="00B879E0">
      <w:pPr>
        <w:rPr>
          <w:b/>
          <w:bCs/>
          <w:u w:val="single"/>
        </w:rPr>
      </w:pPr>
      <w:r w:rsidRPr="00B879E0">
        <w:rPr>
          <w:b/>
          <w:bCs/>
          <w:highlight w:val="yellow"/>
          <w:u w:val="single"/>
        </w:rPr>
        <w:t>The rest of this paper is for S4I “eyes-only” and would be cut or modified if shared with PABRA.</w:t>
      </w:r>
    </w:p>
    <w:p w14:paraId="576D0364" w14:textId="48E1D813" w:rsidR="00402738" w:rsidRPr="00B879E0" w:rsidRDefault="00F539B5" w:rsidP="00A3375A">
      <w:pPr>
        <w:pStyle w:val="Heading2"/>
      </w:pPr>
      <w:r w:rsidRPr="00B879E0">
        <w:t>S4I: Minimum viable package and donor exit</w:t>
      </w:r>
    </w:p>
    <w:p w14:paraId="0C27F21E" w14:textId="77777777" w:rsidR="00402738" w:rsidRPr="00B879E0" w:rsidRDefault="008844EA">
      <w:r w:rsidRPr="00B879E0">
        <w:t xml:space="preserve">One persistent critique in the early S4I discussions was that the PABRA track risked becoming a continuation of what PABRA already does rather than a distinct scaling solution. The field visit clarifies the answer. S4I should not fund the entire PABRA universe. It should fund the minimum viable commercialization system for scaling nutrient-dense bean varieties: consumer demand creation; off-taker commitments; farmer certified seed demand; EGS and certified seed planning; </w:t>
      </w:r>
      <w:proofErr w:type="gramStart"/>
      <w:r w:rsidRPr="00B879E0">
        <w:t>seed company</w:t>
      </w:r>
      <w:proofErr w:type="gramEnd"/>
      <w:r w:rsidRPr="00B879E0">
        <w:t xml:space="preserve"> </w:t>
      </w:r>
      <w:r w:rsidRPr="00B879E0">
        <w:lastRenderedPageBreak/>
        <w:t>production; last-mile distribution; quality control; county extension; and adaptive data. Digital tools, finance and MSPs are useful only if they strengthen these core functions.</w:t>
      </w:r>
    </w:p>
    <w:p w14:paraId="738013C1" w14:textId="77777777" w:rsidR="00402738" w:rsidRPr="00B879E0" w:rsidRDefault="008844EA">
      <w:r w:rsidRPr="00B879E0">
        <w:t>Donor exit depends on who owns coordination. The question is not whether beans will still be grown after S4I ends. They will be. The question is whether improved-variety commercialization will continue expanding with quality, fidelity and inclusion. Who convenes seed companies, off-takers, counties, KALRO, KEFIS and farmer groups? Who maintains demand forecasting? Who identifies the next bottleneck when the current one is solved? Who supports new varieties after Nyota? PABRA currently plays much of this int</w:t>
      </w:r>
      <w:r w:rsidRPr="00B879E0">
        <w:t xml:space="preserve">ermediary role. KALRO plays </w:t>
      </w:r>
      <w:proofErr w:type="gramStart"/>
      <w:r w:rsidRPr="00B879E0">
        <w:t>much</w:t>
      </w:r>
      <w:proofErr w:type="gramEnd"/>
      <w:r w:rsidRPr="00B879E0">
        <w:t xml:space="preserve"> of the national public-good role. Private actors will not pay for all coordination functions because the benefits are diffuse. The best sustainability strategy is therefore function-by-function ownership: commercial actors pay for commercial functions, government funds public goods, and PABRA/AGRA support temporary transition and learning functions until they are institutionalized.</w:t>
      </w:r>
    </w:p>
    <w:p w14:paraId="1382CF6C" w14:textId="77777777" w:rsidR="00402738" w:rsidRPr="00B879E0" w:rsidRDefault="008844EA" w:rsidP="00A3375A">
      <w:pPr>
        <w:pStyle w:val="Heading2"/>
      </w:pPr>
      <w:r w:rsidRPr="00B879E0">
        <w:t>IPSR contribution and limitations</w:t>
      </w:r>
    </w:p>
    <w:p w14:paraId="1C5C22E6" w14:textId="77777777" w:rsidR="00402738" w:rsidRPr="00B879E0" w:rsidRDefault="008844EA">
      <w:r w:rsidRPr="00B879E0">
        <w:t>The EOI mentions IPSR and Scaling Readiness as useful resources and refers to high IPSR scores for varieties with market potential. That is helpful insofar as IPSR encourages teams to define innovation packages, assess readiness and identify bottlenecks. But the PABRA case also shows a limitation of how IPSR is often applied. It can lead teams to describe a large bundle of technologies, institutions, digital tools and finance mechanisms without forcing the harder decision: which bottleneck is binding, which</w:t>
      </w:r>
      <w:r w:rsidRPr="00B879E0">
        <w:t xml:space="preserve"> actor will solve it, who pays, what evidence is needed by the next decision point, and what is the minimum viable scaling package?</w:t>
      </w:r>
    </w:p>
    <w:p w14:paraId="15B3A208" w14:textId="77777777" w:rsidR="00402738" w:rsidRPr="00A3375A" w:rsidRDefault="008844EA">
      <w:r w:rsidRPr="00B879E0">
        <w:t>An improved IPSR workshop for this case would begin with field evidence and force a bottleneck hierarchy. It would distinguish Nyota as a partially scaling product from the broader PABRA commercialization model. It would ask whether S4I is funding consumer demand, farmer certified seed demand, EGS financing, last-mile distribution, MSP coordination, digital demand forecasting, or the PABRA-AGRA institutional model. It would require a doer-payer map, actor-specific business cases, and stage-gated evidence. I</w:t>
      </w:r>
      <w:r w:rsidRPr="00B879E0">
        <w:t>PSR should be less of a readiness labeling exercise and more of a strategy stress test.</w:t>
      </w:r>
    </w:p>
    <w:p w14:paraId="275BC388" w14:textId="6EBB4729" w:rsidR="00402738" w:rsidRDefault="008844EA" w:rsidP="00FA7CEF">
      <w:pPr>
        <w:pStyle w:val="Heading1"/>
      </w:pPr>
      <w:r>
        <w:t xml:space="preserve">Recommendations </w:t>
      </w:r>
      <w:r w:rsidR="00D416CC">
        <w:t xml:space="preserve">from </w:t>
      </w:r>
      <w:r w:rsidR="00B879E0">
        <w:t xml:space="preserve">S4I </w:t>
      </w:r>
      <w:r>
        <w:t>to the project team</w:t>
      </w:r>
      <w:r w:rsidR="00B879E0">
        <w:t xml:space="preserve"> </w:t>
      </w:r>
      <w:r w:rsidR="00B879E0" w:rsidRPr="00B879E0">
        <w:rPr>
          <w:highlight w:val="yellow"/>
        </w:rPr>
        <w:t>(to be rewritten in a version shared with PABRA)</w:t>
      </w:r>
    </w:p>
    <w:p w14:paraId="0668FBD8" w14:textId="77777777" w:rsidR="00402738" w:rsidRPr="00A3375A" w:rsidRDefault="008844EA">
      <w:r w:rsidRPr="00765571">
        <w:rPr>
          <w:u w:val="single"/>
        </w:rPr>
        <w:t>First, explicitly define the S4I-funded scaling thesis as a demand-pull commercialization model for nutrient-dense beans</w:t>
      </w:r>
      <w:r w:rsidRPr="00A3375A">
        <w:t xml:space="preserve">. The project should state that S4I is not funding general PABRA operations. It </w:t>
      </w:r>
      <w:proofErr w:type="gramStart"/>
      <w:r w:rsidRPr="00A3375A">
        <w:t>is testing</w:t>
      </w:r>
      <w:proofErr w:type="gramEnd"/>
      <w:r w:rsidRPr="00A3375A">
        <w:t xml:space="preserve"> the system by which consumer and institutional demand for high-iron beans pulls grain demand, grain demand pulls farmer production, farmer production pulls certified seed demand, and certified seed demand pulls EGS and private seed company investment. That would clarify the scaling engine and make the work easier to evaluate.</w:t>
      </w:r>
    </w:p>
    <w:p w14:paraId="0492533B" w14:textId="77777777" w:rsidR="00402738" w:rsidRPr="00A3375A" w:rsidRDefault="008844EA">
      <w:r w:rsidRPr="00765571">
        <w:rPr>
          <w:u w:val="single"/>
        </w:rPr>
        <w:t>Second, make consumer and institutional demand a core workstream</w:t>
      </w:r>
      <w:r w:rsidRPr="00A3375A">
        <w:t xml:space="preserve">. The team should invest in expanding demand through school feeding, Food4Education-type channels, hospitals, supermarkets, cereal shops, county nutrition programs, public procurement, and targeted consumer promotion around </w:t>
      </w:r>
      <w:r w:rsidRPr="00A3375A">
        <w:lastRenderedPageBreak/>
        <w:t>cooking time, taste, nutrition and local economic value. Deliverables should include purchase agreements, tons of grain purchased, retail penetration, repeat orders, price premiums, and off-taker expansion.</w:t>
      </w:r>
    </w:p>
    <w:p w14:paraId="7C8FB607" w14:textId="77777777" w:rsidR="00402738" w:rsidRPr="00A3375A" w:rsidRDefault="008844EA">
      <w:r w:rsidRPr="00765571">
        <w:rPr>
          <w:u w:val="single"/>
        </w:rPr>
        <w:t xml:space="preserve">Third, make farmer demand for certified </w:t>
      </w:r>
      <w:proofErr w:type="gramStart"/>
      <w:r w:rsidRPr="00765571">
        <w:rPr>
          <w:u w:val="single"/>
        </w:rPr>
        <w:t>seed</w:t>
      </w:r>
      <w:proofErr w:type="gramEnd"/>
      <w:r w:rsidRPr="00765571">
        <w:rPr>
          <w:u w:val="single"/>
        </w:rPr>
        <w:t xml:space="preserve"> a core workstream</w:t>
      </w:r>
      <w:r w:rsidRPr="00A3375A">
        <w:t>. The team should measure and intentionally increase repeat certified seed purchase. It should track certified seed sold, farmers purchasing seed with their own money, repeat buyers, saved-seed cycles, yield differences, grain marketed, and continued adoption after facilitation declines. Farmer reach and training numbers should be secondary indicators, not the main proof of scale.</w:t>
      </w:r>
    </w:p>
    <w:p w14:paraId="30472234" w14:textId="77777777" w:rsidR="00402738" w:rsidRPr="00A3375A" w:rsidRDefault="008844EA">
      <w:r w:rsidRPr="00765571">
        <w:rPr>
          <w:u w:val="single"/>
        </w:rPr>
        <w:t>Fourth, solve the KALRO/EGS financing problem as a strategic bottleneck</w:t>
      </w:r>
      <w:r w:rsidRPr="00A3375A">
        <w:t>. The team should develop a concrete EGS sustainability plan covering government budget, royalty enforcement, KEFIS data-sharing constraints, seed company cost-sharing, potential levies, and county or national nutrition justification. By the end of the next S4I phase, the team should be able to say who will finance EGS and breeder seed functions for priority varieties after project support declines.</w:t>
      </w:r>
    </w:p>
    <w:p w14:paraId="33F801E1" w14:textId="77777777" w:rsidR="00402738" w:rsidRPr="00A3375A" w:rsidRDefault="008844EA">
      <w:r w:rsidRPr="00765571">
        <w:rPr>
          <w:u w:val="single"/>
        </w:rPr>
        <w:t>Fifth, convert the field evidence into actor-level business cases and a CGIAR learning case</w:t>
      </w:r>
      <w:r w:rsidRPr="00A3375A">
        <w:t xml:space="preserve">. The project should prepare practical business cases for KALRO, </w:t>
      </w:r>
      <w:proofErr w:type="spellStart"/>
      <w:r w:rsidRPr="00A3375A">
        <w:t>Agripack</w:t>
      </w:r>
      <w:proofErr w:type="spellEnd"/>
      <w:r w:rsidRPr="00A3375A">
        <w:t xml:space="preserve">-type seed companies, Delish-type off-takers, agro-dealers, aggregators, farmers, county governments, Equity Bank, </w:t>
      </w:r>
      <w:proofErr w:type="spellStart"/>
      <w:r w:rsidRPr="00A3375A">
        <w:t>Pesira</w:t>
      </w:r>
      <w:proofErr w:type="spellEnd"/>
      <w:r w:rsidRPr="00A3375A">
        <w:t xml:space="preserve"> and AGRA. It should also document the sequence of bottleneck resolution in Kenya: variety demand, EGS, seed company licensing, agro-dealer expansion, off-take, quality control, cartels, county politics, seed saving, consumer demand, school feeding and donor exit. This would be highly valuable for other CGIAR innovat</w:t>
      </w:r>
      <w:r w:rsidRPr="00A3375A">
        <w:t>ions, especially self-pollinated crops and nutrition-sensitive varieties.</w:t>
      </w:r>
    </w:p>
    <w:p w14:paraId="4C6CD82C" w14:textId="77777777" w:rsidR="00402738" w:rsidRDefault="008844EA" w:rsidP="00FA7CEF">
      <w:pPr>
        <w:pStyle w:val="Heading1"/>
      </w:pPr>
      <w:r>
        <w:t>Recommendation to S4I</w:t>
      </w:r>
    </w:p>
    <w:p w14:paraId="06ADFC1C" w14:textId="596241FB" w:rsidR="00402738" w:rsidRPr="00A3375A" w:rsidRDefault="008844EA">
      <w:r w:rsidRPr="00A3375A">
        <w:t>S4I should fund this track for another year</w:t>
      </w:r>
      <w:r w:rsidR="00477A97">
        <w:t xml:space="preserve"> with the goals of (a) supporting activities to accelerate growth of consumer </w:t>
      </w:r>
      <w:r w:rsidR="00581D9E">
        <w:t>grain and farmer seed demand and (b) moving to sustainability and institutionalization</w:t>
      </w:r>
      <w:r w:rsidRPr="00A3375A">
        <w:t>.</w:t>
      </w:r>
      <w:r w:rsidR="000824C4">
        <w:t xml:space="preserve"> </w:t>
      </w:r>
      <w:r w:rsidRPr="00A3375A">
        <w:t xml:space="preserve">The right classification is </w:t>
      </w:r>
      <w:r w:rsidR="000824C4">
        <w:t xml:space="preserve">scaling and institutionalization </w:t>
      </w:r>
      <w:r w:rsidRPr="00A3375A">
        <w:t>with strong evidence of market traction and high learning value</w:t>
      </w:r>
      <w:r w:rsidR="000824C4">
        <w:t>;</w:t>
      </w:r>
      <w:r w:rsidR="000824C4" w:rsidRPr="00A3375A">
        <w:t xml:space="preserve"> too many functions still depend on public goods, project facilitation, unresolved royalties, uncertain AGRA co-investment, incomplete finance and digital business models, and fragile consumer and institutional demand.</w:t>
      </w:r>
    </w:p>
    <w:p w14:paraId="5BAD75C4" w14:textId="298A2123" w:rsidR="00402738" w:rsidRPr="00A3375A" w:rsidRDefault="008844EA">
      <w:r w:rsidRPr="00A3375A">
        <w:t>The justification for funding is strong. PABRA has a credible model, long-standing institutional capacity, real public and private actors, and field evidence that the approach can work. KALRO is market-sensitive and technically capable. Nyota has a genuine consumer value proposition. County governments can be mobilized. PABRA has regional reach. This is exactly the kind of mature platform where modest S4I support can be catalytic, provided it is targeted at binding constraints rather than spread across a br</w:t>
      </w:r>
      <w:r w:rsidRPr="00A3375A">
        <w:t>oad portfolio.</w:t>
      </w:r>
    </w:p>
    <w:p w14:paraId="288BD7DE" w14:textId="782BBF65" w:rsidR="00402738" w:rsidRPr="00A3375A" w:rsidRDefault="008844EA">
      <w:r w:rsidRPr="00A3375A">
        <w:t>S4I should expect six outputs and outcomes from the next phase. First, a clear scaling pathway statement and bottleneck hierarchy</w:t>
      </w:r>
      <w:r w:rsidR="00D11164">
        <w:t>, the latter based on the recommendations above</w:t>
      </w:r>
      <w:r w:rsidRPr="00A3375A">
        <w:t xml:space="preserve">. Second, evidence of expanded consumer and institutional demand, including signed or active purchase agreements and tons of high-iron beans sold. Third, evidence of increased farmer certified seed demand, including repeat purchases and seed replacement behavior. Fourth, an EGS and royalty sustainability plan with </w:t>
      </w:r>
      <w:r w:rsidRPr="00A3375A">
        <w:lastRenderedPageBreak/>
        <w:t>KALRO, KEFIS, seed companies and government. Fifth, actor-level business cases and formalized partner commitments, including AGRA’s role and fallback</w:t>
      </w:r>
      <w:r w:rsidRPr="00A3375A">
        <w:t xml:space="preserve"> plan. Sixth, a high-quality case study and learning product on demand-led seed-to-grain scaling for CGIAR. Continuation after the next year should depend on these system proof points, not only farmers reached or seed distributed.</w:t>
      </w:r>
    </w:p>
    <w:p w14:paraId="17E51633" w14:textId="77777777" w:rsidR="00402738" w:rsidRPr="00A3375A" w:rsidRDefault="008844EA">
      <w:r w:rsidRPr="00A3375A">
        <w:t>S4I should not fund expansion to new countries as the primary objective yet. PABRA already works across countries, and the model has regional relevance. But the highest-value S4I use is to demonstrate the pathway deeply in Kenya and Malawi, with Kenya field evidence as a strong case, before claiming broader replicability. Scaling out geographically before the demand-pull, EGS financing, business model and coordination functions are documented would risk turning a strong platform into another broad but under</w:t>
      </w:r>
      <w:r w:rsidRPr="00A3375A">
        <w:t>-specified CGIAR scaling story.</w:t>
      </w:r>
    </w:p>
    <w:p w14:paraId="4A915EFF" w14:textId="77777777" w:rsidR="00402738" w:rsidRDefault="008844EA" w:rsidP="00FA7CEF">
      <w:pPr>
        <w:pStyle w:val="Heading1"/>
      </w:pPr>
      <w:r>
        <w:t>Lessons for CGIAR scaling</w:t>
      </w:r>
    </w:p>
    <w:p w14:paraId="45F62684" w14:textId="77777777" w:rsidR="00402738" w:rsidRPr="00A3375A" w:rsidRDefault="008844EA">
      <w:r w:rsidRPr="00A3375A">
        <w:t>The first lesson is that scaling science-based agricultural innovations often means market creation, not dissemination. PABRA is not struggling because farmers have never heard of beans. It is struggling with the functions that make improved beans commercially and institutionally attractive: consumer demand, seed demand, EGS supply, quality control, aggregation, off-take, finance, extension and policy support. CGIAR scaling strategies should therefore avoid counting dissemination as scale. The real question</w:t>
      </w:r>
      <w:r w:rsidRPr="00A3375A">
        <w:t xml:space="preserve"> is whether the system creates ongoing incentives for adoption and reinvestment.</w:t>
      </w:r>
    </w:p>
    <w:p w14:paraId="0F30738B" w14:textId="77777777" w:rsidR="00402738" w:rsidRPr="00A3375A" w:rsidRDefault="008844EA">
      <w:r w:rsidRPr="00A3375A">
        <w:t>The second lesson is that self-pollinated crops require a different scaling strategy from hybrids. In hybrid maize, annual seed purchase is built into the technology. In beans, farmers can save seed. This means certified seed scaling requires either a compelling quality and yield advantage, periodic replacement logic, strong grain market pull, or institutional procurement that rewards quality. CGIAR should treat crop biology and seed-market structure as central to scaling strategy.</w:t>
      </w:r>
    </w:p>
    <w:p w14:paraId="50CD49F3" w14:textId="5A690843" w:rsidR="00402738" w:rsidRPr="00A3375A" w:rsidRDefault="008844EA">
      <w:r w:rsidRPr="00A3375A">
        <w:t>The third lesson is that NAR</w:t>
      </w:r>
      <w:r w:rsidR="00851058">
        <w:t>E</w:t>
      </w:r>
      <w:r w:rsidRPr="00A3375A">
        <w:t xml:space="preserve">S </w:t>
      </w:r>
      <w:r w:rsidR="00851058">
        <w:t xml:space="preserve">leadership, </w:t>
      </w:r>
      <w:r w:rsidRPr="00A3375A">
        <w:t xml:space="preserve">financing and incentives </w:t>
      </w:r>
      <w:r w:rsidR="00851058">
        <w:t>can be</w:t>
      </w:r>
      <w:r w:rsidRPr="00A3375A">
        <w:t xml:space="preserve"> decisive</w:t>
      </w:r>
      <w:r w:rsidR="00851058">
        <w:t xml:space="preserve"> </w:t>
      </w:r>
      <w:r w:rsidR="00851058" w:rsidRPr="002C7C4E">
        <w:rPr>
          <w:u w:val="single"/>
        </w:rPr>
        <w:t>if they have the motivation, resources, and institutional capacity to move beyond breeding, awareness building and dissemination</w:t>
      </w:r>
      <w:r w:rsidR="002C7C4E">
        <w:rPr>
          <w:u w:val="single"/>
        </w:rPr>
        <w:t xml:space="preserve"> to embrace </w:t>
      </w:r>
      <w:proofErr w:type="gramStart"/>
      <w:r w:rsidR="002C7C4E">
        <w:rPr>
          <w:u w:val="single"/>
        </w:rPr>
        <w:t>a market</w:t>
      </w:r>
      <w:proofErr w:type="gramEnd"/>
      <w:r w:rsidR="002C7C4E">
        <w:rPr>
          <w:u w:val="single"/>
        </w:rPr>
        <w:t xml:space="preserve"> sensitive/demand-pull approach and work with the end-to-end value chain</w:t>
      </w:r>
      <w:r w:rsidRPr="00A3375A">
        <w:t>. KALRO’s role is essential, but KALRO’s funding, royalties, data access and staff capacity are not automatically sufficient for scale. Many CGIAR innovations depend on national public institutions for</w:t>
      </w:r>
      <w:r w:rsidR="00F2359B">
        <w:t xml:space="preserve"> (usually more limited) </w:t>
      </w:r>
      <w:r w:rsidRPr="00A3375A">
        <w:t>public-good functions</w:t>
      </w:r>
      <w:r w:rsidR="00F2359B">
        <w:t xml:space="preserve"> (like EGS)</w:t>
      </w:r>
      <w:r w:rsidRPr="00A3375A">
        <w:t>, yet scaling strategies often assume those institutions will continue without analyzing their budget, incentives and political economy. S4I should make NAR</w:t>
      </w:r>
      <w:r w:rsidR="00E2358B">
        <w:t>E</w:t>
      </w:r>
      <w:r w:rsidRPr="00A3375A">
        <w:t>S business models and public-good financing a standard part of scaling assessments.</w:t>
      </w:r>
      <w:r w:rsidR="00E2358B">
        <w:t xml:space="preserve">  The upcoming </w:t>
      </w:r>
      <w:r w:rsidR="006E4AC2" w:rsidRPr="006E4AC2">
        <w:t>AICCRA IV FSRP - Institutional Scaling Capacity Assessment </w:t>
      </w:r>
      <w:r w:rsidR="006E4AC2">
        <w:t xml:space="preserve">has a major focus on NARES capacity to scale, and a partnership with that effort could help generate broader lessons of when, why and how NARES can and do support scaling. </w:t>
      </w:r>
    </w:p>
    <w:p w14:paraId="6E9AE0CB" w14:textId="77777777" w:rsidR="00402738" w:rsidRPr="00A3375A" w:rsidRDefault="008844EA">
      <w:r w:rsidRPr="006E4AC2">
        <w:rPr>
          <w:u w:val="single"/>
        </w:rPr>
        <w:t>The fourth lesson is that mature platforms may be the best S4I investments if they accept scaling discipline</w:t>
      </w:r>
      <w:r w:rsidRPr="00A3375A">
        <w:t>. PABRA has trust, history, partners, credibility, technical experience and regional reach. But maturity can conceal the need for a precise scaling thesis. S4I’s value added is to help mature platforms sharpen ambition, identify the next binding bottleneck, and generate evidence that the model can transition from project-supported success to self-sustaining scaling.</w:t>
      </w:r>
    </w:p>
    <w:p w14:paraId="2A455901" w14:textId="4099211C" w:rsidR="009A6B40" w:rsidRDefault="008844EA">
      <w:r w:rsidRPr="00A3375A">
        <w:lastRenderedPageBreak/>
        <w:t xml:space="preserve">The final judgment is positive but conditional. This is a good past investment and likely a good future investment if S4I uses its leverage properly. The strengths are real: strong platform, credible science, market-demanded varieties, motivated public and private actors, and field evidence of commercial traction. The weaknesses are </w:t>
      </w:r>
      <w:r w:rsidR="009B7D71">
        <w:t xml:space="preserve">relatively minor compared to most of the Scaling Solutions funded but nonetheless are </w:t>
      </w:r>
      <w:r w:rsidRPr="00A3375A">
        <w:t xml:space="preserve">also real: incomplete consumer demand, uncertain repeat certified seed demand, </w:t>
      </w:r>
      <w:r w:rsidR="009B7D71">
        <w:t xml:space="preserve">linear growth of both, </w:t>
      </w:r>
      <w:r w:rsidRPr="00A3375A">
        <w:t>unresolved EGS financing, imperfect royalties, uneven business models, political economy risks, and reliance on PABRA/KALRO coordination. The right response is to fund it more strategically, with sharper bottleneck focus, stronger evidence requirements, and a clear expectation that PABRA becomes both a scaling solution and</w:t>
      </w:r>
      <w:r w:rsidRPr="00A3375A">
        <w:t xml:space="preserve"> a learning case for </w:t>
      </w:r>
      <w:proofErr w:type="gramStart"/>
      <w:r w:rsidRPr="00A3375A">
        <w:t>CGIAR as a whole</w:t>
      </w:r>
      <w:proofErr w:type="gramEnd"/>
      <w:r w:rsidRPr="00A3375A">
        <w:t>.</w:t>
      </w:r>
    </w:p>
    <w:p w14:paraId="4D9818BF" w14:textId="77777777" w:rsidR="009A6B40" w:rsidRDefault="009A6B40">
      <w:pPr>
        <w:spacing w:after="200" w:line="276" w:lineRule="auto"/>
      </w:pPr>
      <w:r>
        <w:br w:type="page"/>
      </w:r>
    </w:p>
    <w:p w14:paraId="6182D6F4" w14:textId="00094D3A" w:rsidR="009A6B40" w:rsidRDefault="009A6B40" w:rsidP="009A6B40">
      <w:pPr>
        <w:jc w:val="center"/>
      </w:pPr>
      <w:r w:rsidRPr="009A6B40">
        <w:rPr>
          <w:b/>
          <w:bCs/>
          <w:sz w:val="24"/>
          <w:szCs w:val="24"/>
          <w:u w:val="single"/>
        </w:rPr>
        <w:lastRenderedPageBreak/>
        <w:t xml:space="preserve">Annex I.  </w:t>
      </w:r>
      <w:r w:rsidRPr="009A6B40">
        <w:rPr>
          <w:rFonts w:eastAsia="Calibri"/>
          <w:b/>
          <w:bCs/>
          <w:sz w:val="24"/>
          <w:szCs w:val="24"/>
          <w:u w:val="single"/>
        </w:rPr>
        <w:t>Scaling Orange-Fleshed Sweet</w:t>
      </w:r>
      <w:r>
        <w:rPr>
          <w:rFonts w:eastAsia="Calibri"/>
          <w:b/>
          <w:bCs/>
          <w:sz w:val="24"/>
          <w:szCs w:val="24"/>
          <w:u w:val="single"/>
        </w:rPr>
        <w:t xml:space="preserve"> </w:t>
      </w:r>
      <w:r w:rsidRPr="009A6B40">
        <w:rPr>
          <w:rFonts w:eastAsia="Calibri"/>
          <w:b/>
          <w:bCs/>
          <w:sz w:val="24"/>
          <w:szCs w:val="24"/>
          <w:u w:val="single"/>
        </w:rPr>
        <w:t>potato Demand</w:t>
      </w:r>
      <w:r>
        <w:rPr>
          <w:rFonts w:eastAsia="Calibri"/>
          <w:b/>
          <w:bCs/>
          <w:sz w:val="24"/>
          <w:szCs w:val="24"/>
          <w:u w:val="single"/>
        </w:rPr>
        <w:t xml:space="preserve">: </w:t>
      </w:r>
      <w:r w:rsidRPr="009A6B40">
        <w:rPr>
          <w:rFonts w:eastAsia="Calibri"/>
          <w:b/>
          <w:bCs/>
          <w:iCs/>
          <w:sz w:val="24"/>
          <w:szCs w:val="24"/>
          <w:u w:val="single"/>
        </w:rPr>
        <w:t>Timing Analysis</w:t>
      </w:r>
    </w:p>
    <w:p w14:paraId="737D342A" w14:textId="77777777" w:rsidR="009A6B40" w:rsidRDefault="009A6B40" w:rsidP="009A6B40">
      <w:pPr>
        <w:spacing w:before="120" w:after="120"/>
      </w:pPr>
      <w:r>
        <w:rPr>
          <w:rFonts w:eastAsia="Calibri"/>
          <w:b/>
          <w:sz w:val="24"/>
          <w:u w:val="single"/>
        </w:rPr>
        <w:t>OFSP scaling took roughly a generation, not a project cycle</w:t>
      </w:r>
    </w:p>
    <w:p w14:paraId="2547342F" w14:textId="7FE44E42" w:rsidR="009A6B40" w:rsidRDefault="009A6B40" w:rsidP="009A6B40">
      <w:r>
        <w:rPr>
          <w:rFonts w:eastAsia="Calibri"/>
        </w:rPr>
        <w:t>The orange-fleshed sweet</w:t>
      </w:r>
      <w:r>
        <w:rPr>
          <w:rFonts w:eastAsia="Calibri"/>
        </w:rPr>
        <w:t xml:space="preserve"> </w:t>
      </w:r>
      <w:r>
        <w:rPr>
          <w:rFonts w:eastAsia="Calibri"/>
        </w:rPr>
        <w:t>potato (OFSP) case is often treated as a CGIAR scaling success, but its timing is the most important part of the story. OFSP did not move from research to large consumer demand in one neat five-year project. It took roughly twenty-five years from early varietal development and proof-of-concept work in the 1990s to meaningful regional platform scale and visible commercial processing markets in the late 2010s and early 2020s. Fresh-root household consumption could be created in three to five years under intensive programming. Widespread national or regional demand took closer to ten to fifteen years. Processed-product demand, especially puree-based bakery products, took still longer: roughly fifteen to twenty years after the first food-based OFSP demonstrations, and about five to eight years after serious private-sector processing experiments began.</w:t>
      </w:r>
    </w:p>
    <w:p w14:paraId="37A9AB8B" w14:textId="77777777" w:rsidR="009A6B40" w:rsidRDefault="009A6B40" w:rsidP="009A6B40">
      <w:r>
        <w:rPr>
          <w:rFonts w:eastAsia="Calibri"/>
        </w:rPr>
        <w:t xml:space="preserve">The key lesson for CGIAR and S4I is not simply that demand creation matters. It is that different kinds of demand emerged on different clocks. Farmer demand for vines could be induced within two or three seasons when planting material, nutrition messaging, and agronomic support were bundled. Household consumer demand for fresh roots could emerge in a three-year intervention period, but it was initially acceptance-plus-use, not a robust consumer market. Commercial root demand from processors and bakeries emerged much later and only after a second </w:t>
      </w:r>
      <w:proofErr w:type="gramStart"/>
      <w:r>
        <w:rPr>
          <w:rFonts w:eastAsia="Calibri"/>
        </w:rPr>
        <w:t>value-chain architecture had</w:t>
      </w:r>
      <w:proofErr w:type="gramEnd"/>
      <w:r>
        <w:rPr>
          <w:rFonts w:eastAsia="Calibri"/>
        </w:rPr>
        <w:t xml:space="preserve"> been built around puree, substitution economics, shelf life, bakery trials, product formulation, food safety, consumer testing, and reliable root supply. OFSP therefore scaled first as a public-health and rural household food intervention, and only later as a commercial food-system innovation.</w:t>
      </w:r>
    </w:p>
    <w:p w14:paraId="0326BD61" w14:textId="77777777" w:rsidR="009A6B40" w:rsidRDefault="009A6B40" w:rsidP="009A6B40">
      <w:pPr>
        <w:spacing w:before="120" w:after="120"/>
      </w:pPr>
      <w:r>
        <w:rPr>
          <w:rFonts w:eastAsia="Calibri"/>
          <w:b/>
          <w:sz w:val="24"/>
          <w:u w:val="single"/>
        </w:rPr>
        <w:t>The stage timing is the central finding</w:t>
      </w:r>
    </w:p>
    <w:p w14:paraId="003BE977" w14:textId="77777777" w:rsidR="009A6B40" w:rsidRDefault="009A6B40" w:rsidP="009A6B40">
      <w:r>
        <w:rPr>
          <w:rFonts w:eastAsia="Calibri"/>
        </w:rPr>
        <w:t>A practical chronology is as follows. These are not exact project boundaries, because activities overlapped by country, but they are the most useful timing estimates for scaling analysis.</w:t>
      </w:r>
    </w:p>
    <w:p w14:paraId="157828B1" w14:textId="77777777" w:rsidR="009A6B40" w:rsidRDefault="009A6B40" w:rsidP="009A6B40">
      <w:pPr>
        <w:pStyle w:val="ListBullet"/>
        <w:spacing w:after="120" w:line="240" w:lineRule="auto"/>
      </w:pPr>
      <w:r>
        <w:rPr>
          <w:rFonts w:ascii="Calibri" w:eastAsia="Calibri" w:hAnsi="Calibri"/>
        </w:rPr>
        <w:t>Scientific and varietal development: roughly mid-1990s to 2006/2009, or about 10-15 years before OFSP had enough adapted varieties, evidence, and credibility to support large-scale dissemination. In individual proof sites such as Mozambique, the food-based intervention evidence was generated in about two years, but that was built on prior breeding and varietal work.</w:t>
      </w:r>
    </w:p>
    <w:p w14:paraId="3DBDCA17" w14:textId="77777777" w:rsidR="009A6B40" w:rsidRDefault="009A6B40" w:rsidP="009A6B40">
      <w:pPr>
        <w:pStyle w:val="ListBullet"/>
        <w:spacing w:after="120" w:line="240" w:lineRule="auto"/>
      </w:pPr>
      <w:r>
        <w:rPr>
          <w:rFonts w:ascii="Calibri" w:eastAsia="Calibri" w:hAnsi="Calibri"/>
        </w:rPr>
        <w:t>Induced adoption through agriculture-nutrition programming: roughly 2006-2009 for the HarvestPlus Reaching End Users phase in Mozambique and Uganda, or about three years to show that high adoption and increased vitamin A intake could be generated when vines, behavior change, extension, and nutrition education were delivered together.</w:t>
      </w:r>
    </w:p>
    <w:p w14:paraId="34FE9BFD" w14:textId="77777777" w:rsidR="009A6B40" w:rsidRDefault="009A6B40" w:rsidP="009A6B40">
      <w:pPr>
        <w:pStyle w:val="ListBullet"/>
        <w:spacing w:after="120" w:line="240" w:lineRule="auto"/>
      </w:pPr>
      <w:r>
        <w:rPr>
          <w:rFonts w:ascii="Calibri" w:eastAsia="Calibri" w:hAnsi="Calibri"/>
        </w:rPr>
        <w:t>Platform scaling through national systems and donor-backed initiatives: roughly 2009-2020, or about 10-11 years, through SPHI, SASHA, RAC, SUSTAIN, national programs, vine multiplier networks, advocacy, and coalition-building. This is when OFSP moved beyond a successful household pilot into a multi-country scaling platform.</w:t>
      </w:r>
    </w:p>
    <w:p w14:paraId="26B30544" w14:textId="77777777" w:rsidR="009A6B40" w:rsidRDefault="009A6B40" w:rsidP="009A6B40">
      <w:pPr>
        <w:pStyle w:val="ListBullet"/>
        <w:spacing w:after="240" w:line="240" w:lineRule="auto"/>
      </w:pPr>
      <w:r>
        <w:rPr>
          <w:rFonts w:ascii="Calibri" w:eastAsia="Calibri" w:hAnsi="Calibri"/>
        </w:rPr>
        <w:t xml:space="preserve">Market formation through puree, bakeries, and processed foods: roughly 2013/2015 to 2023 and still ongoing, or about 8-10 years from early commercial bread and puree efforts to </w:t>
      </w:r>
      <w:proofErr w:type="gramStart"/>
      <w:r>
        <w:rPr>
          <w:rFonts w:ascii="Calibri" w:eastAsia="Calibri" w:hAnsi="Calibri"/>
        </w:rPr>
        <w:t>broader</w:t>
      </w:r>
      <w:proofErr w:type="gramEnd"/>
      <w:r>
        <w:rPr>
          <w:rFonts w:ascii="Calibri" w:eastAsia="Calibri" w:hAnsi="Calibri"/>
        </w:rPr>
        <w:t xml:space="preserve"> evidence of willingness to pay, and about 15-20 years from early OFSP dissemination to serious processed-product market formation.</w:t>
      </w:r>
    </w:p>
    <w:p w14:paraId="3CDDB8B3" w14:textId="77777777" w:rsidR="009A6B40" w:rsidRDefault="009A6B40" w:rsidP="009A6B40">
      <w:r>
        <w:rPr>
          <w:rFonts w:eastAsia="Calibri"/>
        </w:rPr>
        <w:lastRenderedPageBreak/>
        <w:t>This timing matters because it changes the interpretation of success. The initial rapid growth was not a sign that a normal consumer market had already formed. It was a sign that a well-designed public-health intervention could overcome the initial color, taste, awareness, and planting-material barriers. The later acceleration came only when OFSP moved from a crop promoted to households into a system embedded in national programs, advocacy platforms, multipliers, health systems, school and community nutrition messaging, and eventually food processors.</w:t>
      </w:r>
    </w:p>
    <w:p w14:paraId="2103914F" w14:textId="77777777" w:rsidR="009A6B40" w:rsidRDefault="009A6B40" w:rsidP="009A6B40">
      <w:pPr>
        <w:spacing w:before="120" w:after="120"/>
      </w:pPr>
      <w:r>
        <w:rPr>
          <w:rFonts w:eastAsia="Calibri"/>
          <w:b/>
          <w:sz w:val="24"/>
          <w:u w:val="single"/>
        </w:rPr>
        <w:t>Stage 1: scientific and varietal development took about 10-15 years</w:t>
      </w:r>
    </w:p>
    <w:p w14:paraId="20EA34DB" w14:textId="77777777" w:rsidR="009A6B40" w:rsidRDefault="009A6B40" w:rsidP="009A6B40">
      <w:r>
        <w:rPr>
          <w:rFonts w:eastAsia="Calibri"/>
        </w:rPr>
        <w:t xml:space="preserve">The first stage was not </w:t>
      </w:r>
      <w:proofErr w:type="gramStart"/>
      <w:r>
        <w:rPr>
          <w:rFonts w:eastAsia="Calibri"/>
        </w:rPr>
        <w:t>demand</w:t>
      </w:r>
      <w:proofErr w:type="gramEnd"/>
      <w:r>
        <w:rPr>
          <w:rFonts w:eastAsia="Calibri"/>
        </w:rPr>
        <w:t xml:space="preserve"> creation but technical readiness. It is reasonable to date this from the mid-1990s through the mid-to-late 2000s. During this period, CIP, national breeding programs, and partners had to identify and adapt varieties that combined high beta-carotene with acceptable yields, dry matter, taste, texture, agronomic performance, and local consumer acceptability. This was not automatic. The visible orange trait was nutritionally valuable but commercially disruptive because many consumers in East and Southern Africa were accustomed to white- or yellow-fleshed </w:t>
      </w:r>
      <w:proofErr w:type="spellStart"/>
      <w:r>
        <w:rPr>
          <w:rFonts w:eastAsia="Calibri"/>
        </w:rPr>
        <w:t>sweetpotato</w:t>
      </w:r>
      <w:proofErr w:type="spellEnd"/>
      <w:r>
        <w:rPr>
          <w:rFonts w:eastAsia="Calibri"/>
        </w:rPr>
        <w:t>. The early problem was therefore not simply that farmers lacked vines. The problem was that a nutritionally superior crop had to be made agronomically credible and culturally acceptable before demand creation could be meaningful.</w:t>
      </w:r>
    </w:p>
    <w:p w14:paraId="53FA6F07" w14:textId="77777777" w:rsidR="009A6B40" w:rsidRDefault="009A6B40" w:rsidP="009A6B40">
      <w:r>
        <w:rPr>
          <w:rFonts w:eastAsia="Calibri"/>
        </w:rPr>
        <w:t>The duration of this stage is easily underestimated. A two-year nutrition intervention could show impact, but it could do so only because a decade of prior crop development and partner learning had already reduced the risk that farmers would reject the crop on agronomic or sensory grounds. For scaling purposes, the first lesson is that the visible 'pilot' was not the beginning of the scaling clock. By the time OFSP became a large dissemination candidate around 2006-2009, the underlying R&amp;D and adaptation process had already consumed approximately one project generation.</w:t>
      </w:r>
    </w:p>
    <w:p w14:paraId="49824598" w14:textId="77777777" w:rsidR="009A6B40" w:rsidRDefault="009A6B40" w:rsidP="009A6B40">
      <w:pPr>
        <w:spacing w:before="120" w:after="120"/>
      </w:pPr>
      <w:r>
        <w:rPr>
          <w:rFonts w:eastAsia="Calibri"/>
          <w:b/>
          <w:sz w:val="24"/>
          <w:u w:val="single"/>
        </w:rPr>
        <w:t>Stage 2: induced adoption took about three years in intensive project areas</w:t>
      </w:r>
    </w:p>
    <w:p w14:paraId="25B4C132" w14:textId="77777777" w:rsidR="009A6B40" w:rsidRDefault="009A6B40" w:rsidP="009A6B40">
      <w:r>
        <w:rPr>
          <w:rFonts w:eastAsia="Calibri"/>
        </w:rPr>
        <w:t>The second stage was the most dramatic short-term scaling phase. The Reaching End Users work in Mozambique and Uganda from roughly 2006 to 2009 showed that OFSP adoption and consumption could increase quickly when the intervention simultaneously solved access, knowledge, and motivation. In time terms, that means significant household uptake could be generated in about three years, or roughly two to four production seasons depending on rainfall and local planting cycles. This is the strongest evidence that consumer demand for fresh roots could be induced rapidly, but only under a bundled delivery model.</w:t>
      </w:r>
    </w:p>
    <w:p w14:paraId="22646100" w14:textId="77777777" w:rsidR="009A6B40" w:rsidRDefault="009A6B40" w:rsidP="009A6B40">
      <w:r>
        <w:rPr>
          <w:rFonts w:eastAsia="Calibri"/>
        </w:rPr>
        <w:t>The activities that made the three-year adoption curve possible were not conventional marketing. They included decentralized vine distribution, farmer training, nutrition education, community demonstrations, behavior change communication aimed particularly at mothers and young children, and direct efforts to normalize the orange color as a health advantage rather than a defect. Access to vines was decisive. Nutrition information mattered, but information without planting material would not have created adoption. Conversely, vines without nutrition messaging and cooking demonstrations would probably have produced weaker household consumption. The early demand was therefore a managed package: supply access plus behavior change plus agronomic confidence.</w:t>
      </w:r>
    </w:p>
    <w:p w14:paraId="7FE9FB90" w14:textId="77777777" w:rsidR="009A6B40" w:rsidRDefault="009A6B40" w:rsidP="009A6B40">
      <w:r>
        <w:rPr>
          <w:rFonts w:eastAsia="Calibri"/>
        </w:rPr>
        <w:lastRenderedPageBreak/>
        <w:t>The implication is that the first meaningful consumer demand for fresh OFSP emerged within about three years in supported project areas, but it was not yet self-sustaining mass-market demand. It was induced household demand under donor- and NGO-backed implementation. Families grew and consumed OFSP because the system made it available, explained its value, reduced risk, and reinforced use. That is a real scaling achievement, but it is not the same as a commercial demand-pull model.</w:t>
      </w:r>
    </w:p>
    <w:p w14:paraId="4E64B6DA" w14:textId="77777777" w:rsidR="009A6B40" w:rsidRDefault="009A6B40" w:rsidP="009A6B40">
      <w:pPr>
        <w:spacing w:before="120" w:after="120"/>
      </w:pPr>
      <w:r>
        <w:rPr>
          <w:rFonts w:eastAsia="Calibri"/>
          <w:b/>
          <w:sz w:val="24"/>
          <w:u w:val="single"/>
        </w:rPr>
        <w:t>Stage 3: platform scaling took about a decade after the first proof</w:t>
      </w:r>
    </w:p>
    <w:p w14:paraId="08C7A6A2" w14:textId="77777777" w:rsidR="009A6B40" w:rsidRDefault="009A6B40" w:rsidP="009A6B40">
      <w:r>
        <w:rPr>
          <w:rFonts w:eastAsia="Calibri"/>
        </w:rPr>
        <w:t xml:space="preserve">The third stage began around 2009, when OFSP moved from a successful adoption-and-nutrition proof point toward a regional scaling platform. This phase lasted roughly a decade, from 2009 to 2020, and included the </w:t>
      </w:r>
      <w:proofErr w:type="spellStart"/>
      <w:r>
        <w:rPr>
          <w:rFonts w:eastAsia="Calibri"/>
        </w:rPr>
        <w:t>Sweetpotato</w:t>
      </w:r>
      <w:proofErr w:type="spellEnd"/>
      <w:r>
        <w:rPr>
          <w:rFonts w:eastAsia="Calibri"/>
        </w:rPr>
        <w:t xml:space="preserve"> for Profit and Health Initiative, SASHA, Reaching Agents of Change, SUSTAIN, national breeding and seed systems, advocacy investments, training of trainers, vine multiplier networks, and integration into agriculture-nutrition programming. This was the period when growth accelerated beyond the initial rapid increase from a small base. The acceleration was not spontaneous. It was organized through platform investment.</w:t>
      </w:r>
    </w:p>
    <w:p w14:paraId="6E505BBB" w14:textId="77777777" w:rsidR="009A6B40" w:rsidRDefault="009A6B40" w:rsidP="009A6B40">
      <w:r>
        <w:rPr>
          <w:rFonts w:eastAsia="Calibri"/>
        </w:rPr>
        <w:t xml:space="preserve">The practical acceleration appears to have become visible around 2013-2016. By then, enough project, advocacy, and national-system infrastructure existed for OFSP to move from pilot districts to broader country and regional programming. RAC ran from roughly 2011 to 2014 and helped create policy and investment demand. SUSTAIN ran </w:t>
      </w:r>
      <w:proofErr w:type="gramStart"/>
      <w:r>
        <w:rPr>
          <w:rFonts w:eastAsia="Calibri"/>
        </w:rPr>
        <w:t>from roughly</w:t>
      </w:r>
      <w:proofErr w:type="gramEnd"/>
      <w:r>
        <w:rPr>
          <w:rFonts w:eastAsia="Calibri"/>
        </w:rPr>
        <w:t xml:space="preserve"> 2013 to 2018 and targeted large numbers of households across multiple countries. SPHI provided a 2009-2020 umbrella ambition. The timing suggests that it took about four to seven years after the REU proof phase before OFSP had a recognizable platform-scaling architecture, and about ten years after that proof phase to become a widely recognized multi-country CGIAR scaling case.</w:t>
      </w:r>
    </w:p>
    <w:p w14:paraId="1BDC0EB2" w14:textId="77777777" w:rsidR="009A6B40" w:rsidRDefault="009A6B40" w:rsidP="009A6B40">
      <w:r>
        <w:rPr>
          <w:rFonts w:eastAsia="Calibri"/>
        </w:rPr>
        <w:t xml:space="preserve">This is also when farmer demand for vines became more complex. In the early project phase, vines were primarily pushed through projects and multipliers. During platform scaling, demand became more mixed: some farmers actively wanted vines because they </w:t>
      </w:r>
      <w:proofErr w:type="gramStart"/>
      <w:r>
        <w:rPr>
          <w:rFonts w:eastAsia="Calibri"/>
        </w:rPr>
        <w:t>had experienced</w:t>
      </w:r>
      <w:proofErr w:type="gramEnd"/>
      <w:r>
        <w:rPr>
          <w:rFonts w:eastAsia="Calibri"/>
        </w:rPr>
        <w:t xml:space="preserve"> the crop or heard about its benefits; some demand was generated through health, extension, and NGO channels; some </w:t>
      </w:r>
      <w:proofErr w:type="gramStart"/>
      <w:r>
        <w:rPr>
          <w:rFonts w:eastAsia="Calibri"/>
        </w:rPr>
        <w:t>was</w:t>
      </w:r>
      <w:proofErr w:type="gramEnd"/>
      <w:r>
        <w:rPr>
          <w:rFonts w:eastAsia="Calibri"/>
        </w:rPr>
        <w:t xml:space="preserve"> stimulated by government and donor programs procuring or distributing planting material. In other words, vine demand grew faster than normal consumer markets because it was partly mediated by projects and public systems. It was not simply farmers responding to urban consumers asking for orange roots.</w:t>
      </w:r>
    </w:p>
    <w:p w14:paraId="642C7C95" w14:textId="77777777" w:rsidR="009A6B40" w:rsidRDefault="009A6B40" w:rsidP="009A6B40">
      <w:pPr>
        <w:spacing w:before="120" w:after="120"/>
      </w:pPr>
      <w:r>
        <w:rPr>
          <w:rFonts w:eastAsia="Calibri"/>
          <w:b/>
          <w:sz w:val="24"/>
          <w:u w:val="single"/>
        </w:rPr>
        <w:t>Stage 4: processed-product demand took about 8-10 years and remains immature</w:t>
      </w:r>
    </w:p>
    <w:p w14:paraId="19B449A1" w14:textId="77777777" w:rsidR="009A6B40" w:rsidRDefault="009A6B40" w:rsidP="009A6B40">
      <w:r>
        <w:rPr>
          <w:rFonts w:eastAsia="Calibri"/>
        </w:rPr>
        <w:t xml:space="preserve">The fourth stage, processed-product market formation, was much slower than fresh-root adoption. Product development existed earlier in scattered forms, but the more serious commercial trajectory began around the early-to-mid 2010s and became visible in Kenya in 2015, when OFSP puree bread started entering supermarket bakery channels. The </w:t>
      </w:r>
      <w:proofErr w:type="spellStart"/>
      <w:r>
        <w:rPr>
          <w:rFonts w:eastAsia="Calibri"/>
        </w:rPr>
        <w:t>Tuskys</w:t>
      </w:r>
      <w:proofErr w:type="spellEnd"/>
      <w:r>
        <w:rPr>
          <w:rFonts w:eastAsia="Calibri"/>
        </w:rPr>
        <w:t xml:space="preserve"> experience is an important timing marker: initial sales in six stores in June 2015 reportedly expanded to around twenty stores by August 2016. That was fast within one retail chain, but it came after nearly two decades of earlier OFSP research, nutrition promotion, and household adoption work.</w:t>
      </w:r>
    </w:p>
    <w:p w14:paraId="347975BD" w14:textId="77777777" w:rsidR="009A6B40" w:rsidRDefault="009A6B40" w:rsidP="009A6B40">
      <w:r>
        <w:rPr>
          <w:rFonts w:eastAsia="Calibri"/>
        </w:rPr>
        <w:lastRenderedPageBreak/>
        <w:t>The puree stage required a new set of activities that were different from those used to generate fresh-root household demand. The system had to solve processing technology, root aggregation, reliable supply, puree shelf life, food safety, equipment financing, bakery formulations, product acceptability, price premiums, retailer incentives, and substitution economics against wheat flour and sugar. The strongest commercial proposition was not simply that OFSP is nutritious. It was that puree could replace a meaningful share of wheat flour in bread, buns, chapati, mandazi and other products, reduce ingredient costs under some conditions, improve nutrition, and create a differentiated consumer product. That is a different scaling engine from the early public-health model.</w:t>
      </w:r>
    </w:p>
    <w:p w14:paraId="32A69BBE" w14:textId="77777777" w:rsidR="009A6B40" w:rsidRDefault="009A6B40" w:rsidP="009A6B40">
      <w:r>
        <w:rPr>
          <w:rFonts w:eastAsia="Calibri"/>
        </w:rPr>
        <w:t>Even by 2023, the literature suggests processed-product demand was promising but not fully mature. Nairobi consumer studies showed willingness to pay a premium once consumers were exposed to the products and given information, but awareness of OFSP and OFSP puree products among low- and middle-income consumers remained limited. That finding is important. It means that from the first visible commercial bread efforts in 2015 to consumer willingness-to-pay evidence in 2023, roughly eight years elapsed, and the market still required awareness creation, supply-chain strengthening, and product availability. The processed-product pathway therefore cannot be described as having quickly followed fresh-root adoption. It was a second scaling curve, beginning perhaps fifteen years after early OFSP interventions and still under construction twenty-plus years after the first proof-of-concept work.</w:t>
      </w:r>
    </w:p>
    <w:p w14:paraId="3CB197D3" w14:textId="77777777" w:rsidR="009A6B40" w:rsidRDefault="009A6B40" w:rsidP="009A6B40">
      <w:pPr>
        <w:spacing w:before="120" w:after="120"/>
      </w:pPr>
      <w:r>
        <w:rPr>
          <w:rFonts w:eastAsia="Calibri"/>
          <w:b/>
          <w:sz w:val="24"/>
          <w:u w:val="single"/>
        </w:rPr>
        <w:t>When did consumer demand accelerate?</w:t>
      </w:r>
    </w:p>
    <w:p w14:paraId="041A3E4A" w14:textId="77777777" w:rsidR="009A6B40" w:rsidRDefault="009A6B40" w:rsidP="009A6B40">
      <w:r>
        <w:rPr>
          <w:rFonts w:eastAsia="Calibri"/>
        </w:rPr>
        <w:t xml:space="preserve">There were at least three acceleration points. The first was local and household-based, around 2006-2009, when integrated agriculture-nutrition projects demonstrated that families would grow and eat OFSP within a three-year intervention period. </w:t>
      </w:r>
      <w:r w:rsidRPr="00B228E1">
        <w:rPr>
          <w:rFonts w:eastAsia="Calibri"/>
          <w:u w:val="single"/>
        </w:rPr>
        <w:t xml:space="preserve">The second was programmatic and institutional, around 2013-2016, when OFSP shifted from pilot success to regional platform scaling through donor-backed initiatives, advocacy, national partners, and vine systems. </w:t>
      </w:r>
      <w:r w:rsidRPr="00B228E1">
        <w:rPr>
          <w:rFonts w:eastAsia="Calibri"/>
          <w:b/>
          <w:bCs/>
          <w:u w:val="single"/>
        </w:rPr>
        <w:t>The third was commercial and urban, around 2015-2023</w:t>
      </w:r>
      <w:r w:rsidRPr="00B228E1">
        <w:rPr>
          <w:rFonts w:eastAsia="Calibri"/>
          <w:u w:val="single"/>
        </w:rPr>
        <w:t xml:space="preserve">, when </w:t>
      </w:r>
      <w:proofErr w:type="gramStart"/>
      <w:r w:rsidRPr="00B228E1">
        <w:rPr>
          <w:rFonts w:eastAsia="Calibri"/>
          <w:u w:val="single"/>
        </w:rPr>
        <w:t>puree</w:t>
      </w:r>
      <w:proofErr w:type="gramEnd"/>
      <w:r w:rsidRPr="00B228E1">
        <w:rPr>
          <w:rFonts w:eastAsia="Calibri"/>
          <w:u w:val="single"/>
        </w:rPr>
        <w:t>-based bakery products began to show that OFSP could enter processed food markets, though still with uneven awareness and incomplete commercial maturity</w:t>
      </w:r>
      <w:r>
        <w:rPr>
          <w:rFonts w:eastAsia="Calibri"/>
        </w:rPr>
        <w:t>.</w:t>
      </w:r>
    </w:p>
    <w:p w14:paraId="7DD45F0B" w14:textId="77777777" w:rsidR="009A6B40" w:rsidRDefault="009A6B40" w:rsidP="009A6B40">
      <w:r w:rsidRPr="00B228E1">
        <w:rPr>
          <w:rFonts w:eastAsia="Calibri"/>
          <w:b/>
          <w:bCs/>
          <w:u w:val="single"/>
        </w:rPr>
        <w:t>The important analytical point is that only the third acceleration point resembles consumer market formation in the usual sense</w:t>
      </w:r>
      <w:r>
        <w:rPr>
          <w:rFonts w:eastAsia="Calibri"/>
        </w:rPr>
        <w:t>. The first two were mostly induced demand and institutional scale. Consumers accepted and consumed OFSP, but demand was created by projects, nutrition education, vine access, and public-health framing. Processed products created the possibility of a stronger market pull because urban consumers could buy bread, buns or chapati without growing roots themselves, and processors could buy roots because puree had functional value. But that took much longer and depended on a far more complex value chain.</w:t>
      </w:r>
    </w:p>
    <w:p w14:paraId="574F11BF" w14:textId="77777777" w:rsidR="009A6B40" w:rsidRDefault="009A6B40" w:rsidP="009A6B40">
      <w:pPr>
        <w:spacing w:before="120" w:after="120"/>
      </w:pPr>
      <w:r>
        <w:rPr>
          <w:rFonts w:eastAsia="Calibri"/>
          <w:b/>
          <w:sz w:val="24"/>
          <w:u w:val="single"/>
        </w:rPr>
        <w:t>What pulled farmer demand for vines?</w:t>
      </w:r>
    </w:p>
    <w:p w14:paraId="0F68A3D5" w14:textId="77777777" w:rsidR="009A6B40" w:rsidRDefault="009A6B40" w:rsidP="009A6B40">
      <w:r>
        <w:rPr>
          <w:rFonts w:eastAsia="Calibri"/>
        </w:rPr>
        <w:t xml:space="preserve">Farmer demand for OFSP cuttings did not grow apace with consumer demand in a simple linear way. The first wave was supply-enabled and program-induced: farmers needed vines, and projects made vines available through distribution and multipliers. Access was the bottleneck. The second wave, after roughly three to five years in successful intervention areas, was experience-based: farmers who liked the crop, saw children consume it, observed yields, or heard nutrition messages began to seek vines for the next season. The third wave, from roughly the mid-2010s onward in some locations, was partly </w:t>
      </w:r>
      <w:r>
        <w:rPr>
          <w:rFonts w:eastAsia="Calibri"/>
        </w:rPr>
        <w:lastRenderedPageBreak/>
        <w:t>market-linked: processors, aggregators, school or institutional buyers, and local root markets gave farmers stronger reasons to plant OFSP beyond household nutrition.</w:t>
      </w:r>
    </w:p>
    <w:p w14:paraId="3C61D4E2" w14:textId="77777777" w:rsidR="009A6B40" w:rsidRDefault="009A6B40" w:rsidP="009A6B40">
      <w:r>
        <w:rPr>
          <w:rFonts w:eastAsia="Calibri"/>
        </w:rPr>
        <w:t xml:space="preserve">The vine story is therefore hybrid. It began as a managed seed-system and nutrition intervention, not as a normal seed market. It later became more demand-driven where farmers experienced real value or where root markets became visible. But even then, vine systems remained vulnerable to the biological and institutional realities of </w:t>
      </w:r>
      <w:proofErr w:type="spellStart"/>
      <w:r>
        <w:rPr>
          <w:rFonts w:eastAsia="Calibri"/>
        </w:rPr>
        <w:t>sweetpotato</w:t>
      </w:r>
      <w:proofErr w:type="spellEnd"/>
      <w:r>
        <w:rPr>
          <w:rFonts w:eastAsia="Calibri"/>
        </w:rPr>
        <w:t>: vines are perishable, degenerate, seasonal, and often exchanged informally. The lesson is that planting-material demand can appear strong in project years but fade if vine supply systems, maintenance, quality control, and market incentives are not institutionalized.</w:t>
      </w:r>
    </w:p>
    <w:p w14:paraId="1030A5EA" w14:textId="77777777" w:rsidR="009A6B40" w:rsidRDefault="009A6B40" w:rsidP="009A6B40">
      <w:pPr>
        <w:spacing w:before="120" w:after="120"/>
      </w:pPr>
      <w:r>
        <w:rPr>
          <w:rFonts w:eastAsia="Calibri"/>
          <w:b/>
          <w:sz w:val="24"/>
          <w:u w:val="single"/>
        </w:rPr>
        <w:t>Implications for CGIAR scaling discipline</w:t>
      </w:r>
    </w:p>
    <w:p w14:paraId="3559C43F" w14:textId="77777777" w:rsidR="009A6B40" w:rsidRDefault="009A6B40" w:rsidP="009A6B40">
      <w:r>
        <w:rPr>
          <w:rFonts w:eastAsia="Calibri"/>
        </w:rPr>
        <w:t xml:space="preserve">The revised timing interpretation changes the lesson for CGIAR. OFSP is not a case showing that consumer demand can be created quickly and then commercialization will naturally follow. It is a case showing that a high-public-value crop may require staged financing over twenty years: first research and adaptation, then induced household adoption, then national and donor platform scaling, then commercial food-system formation. Each stage required a different payer, doer, and metric. In the first 10-15 years, the payer was largely research and public-health funding; the doers were CIP, national programs, breeders, nutrition researchers, and NGOs; the metric was technical readiness and proof of nutritional effect. In the three-year induced adoption stage, the payers were donors and implementing partners; the doers were extension, NGOs, health workers, community agents, and vine multipliers; the metric was adoption, consumption, and vitamin A intake. In the decade-long platform stage, the payers were donors, national governments, and programs; the doers were multi-partner coalitions; the metrics </w:t>
      </w:r>
      <w:proofErr w:type="gramStart"/>
      <w:r>
        <w:rPr>
          <w:rFonts w:eastAsia="Calibri"/>
        </w:rPr>
        <w:t>were households</w:t>
      </w:r>
      <w:proofErr w:type="gramEnd"/>
      <w:r>
        <w:rPr>
          <w:rFonts w:eastAsia="Calibri"/>
        </w:rPr>
        <w:t xml:space="preserve"> reached, varieties released, vine systems built, policy commitments, and institutional capacity. In the processed-product stage, the payers and doers increasingly included processors, bakeries, retailers, equipment providers, farmers, and consumers; the metrics became repeat purchase, root supply reliability, puree profitability, bakery substitution economics, and consumer willingness to pay.</w:t>
      </w:r>
    </w:p>
    <w:p w14:paraId="4FCA6E3E" w14:textId="77777777" w:rsidR="009A6B40" w:rsidRDefault="009A6B40" w:rsidP="009A6B40">
      <w:r>
        <w:rPr>
          <w:rFonts w:eastAsia="Calibri"/>
        </w:rPr>
        <w:t xml:space="preserve">The central recommendation is that S4I should treat timing as part of the scaling model, not as a retrospective detail. A crop like OFSP may justify a long public investment phase because the welfare payoff is large and the market failure is real. But CGIAR should not confuse temporary project-induced demand with durable market demand. For future biofortified crops and nutrition-sensitive innovations, the strategy should explicitly ask: what can be achieved in three years, what requires ten years, and what may require twenty? </w:t>
      </w:r>
      <w:r w:rsidRPr="0033417D">
        <w:rPr>
          <w:rFonts w:eastAsia="Calibri"/>
          <w:u w:val="single"/>
        </w:rPr>
        <w:t>OFSP suggests that household adoption can be induced quickly if access and behavior change are solved; platform scale requires about a decade of coalition and institutional work; and processed-product markets require a separate commercialization timeline that may not mature until long after initial adoption success</w:t>
      </w:r>
      <w:r>
        <w:rPr>
          <w:rFonts w:eastAsia="Calibri"/>
        </w:rPr>
        <w:t>.</w:t>
      </w:r>
    </w:p>
    <w:p w14:paraId="23F413B2" w14:textId="77777777" w:rsidR="009A6B40" w:rsidRDefault="009A6B40" w:rsidP="009A6B40">
      <w:r w:rsidRPr="0033417D">
        <w:rPr>
          <w:rFonts w:eastAsia="Calibri"/>
          <w:b/>
          <w:bCs/>
          <w:u w:val="single"/>
        </w:rPr>
        <w:t>The uncomfortable but useful conclusion is that OFSP scaled before the market was ready because public-health actors made the first market</w:t>
      </w:r>
      <w:r>
        <w:rPr>
          <w:rFonts w:eastAsia="Calibri"/>
        </w:rPr>
        <w:t xml:space="preserve">. That was appropriate. But the processed-products story shows how long it takes to convert a successful public-good crop into a more normal consumer product. CGIAR should draw confidence from the OFSP case, but not false impatience. The real lesson is not that demand creation is easy. The lesson is that scaling demand is sequential, cumulative, and stage-specific: </w:t>
      </w:r>
      <w:r>
        <w:rPr>
          <w:rFonts w:eastAsia="Calibri"/>
        </w:rPr>
        <w:lastRenderedPageBreak/>
        <w:t>three years to prove induced household adoption, ten years to build a platform, and twenty years to approach commercially meaningful processed-product markets.</w:t>
      </w:r>
    </w:p>
    <w:p w14:paraId="65A45EF7" w14:textId="77777777" w:rsidR="009A6B40" w:rsidRDefault="009A6B40" w:rsidP="009A6B40">
      <w:pPr>
        <w:spacing w:before="120" w:after="120"/>
      </w:pPr>
      <w:r>
        <w:rPr>
          <w:rFonts w:eastAsia="Calibri"/>
          <w:b/>
          <w:sz w:val="24"/>
          <w:u w:val="single"/>
        </w:rPr>
        <w:t>Source base</w:t>
      </w:r>
    </w:p>
    <w:p w14:paraId="6DDC189F" w14:textId="77777777" w:rsidR="009A6B40" w:rsidRDefault="009A6B40" w:rsidP="009A6B40">
      <w:r>
        <w:rPr>
          <w:rFonts w:eastAsia="Calibri"/>
        </w:rPr>
        <w:t xml:space="preserve">This analysis synthesizes public literature by CIP, HarvestPlus, IFPRI, SASHA, SUSTAIN, Reaching Agents of Change, the </w:t>
      </w:r>
      <w:proofErr w:type="spellStart"/>
      <w:r>
        <w:rPr>
          <w:rFonts w:eastAsia="Calibri"/>
        </w:rPr>
        <w:t>Sweetpotato</w:t>
      </w:r>
      <w:proofErr w:type="spellEnd"/>
      <w:r>
        <w:rPr>
          <w:rFonts w:eastAsia="Calibri"/>
        </w:rPr>
        <w:t xml:space="preserve"> for Profit and Health Initiative, and studies on OFSP </w:t>
      </w:r>
      <w:proofErr w:type="gramStart"/>
      <w:r>
        <w:rPr>
          <w:rFonts w:eastAsia="Calibri"/>
        </w:rPr>
        <w:t>puree</w:t>
      </w:r>
      <w:proofErr w:type="gramEnd"/>
      <w:r>
        <w:rPr>
          <w:rFonts w:eastAsia="Calibri"/>
        </w:rPr>
        <w:t>, bakery applications, consumer acceptance, and willingness to pay in East Africa. It deliberately interprets these sources through a scaling lens rather than treating them as a project summary.</w:t>
      </w:r>
    </w:p>
    <w:p w14:paraId="4C40C0A1" w14:textId="77777777" w:rsidR="009A6B40" w:rsidRDefault="009A6B40"/>
    <w:sectPr w:rsidR="009A6B40" w:rsidSect="00FA7CEF">
      <w:headerReference w:type="default" r:id="rId8"/>
      <w:footerReference w:type="default" r:id="rId9"/>
      <w:foot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3B14" w14:textId="77777777" w:rsidR="008844EA" w:rsidRDefault="008844EA">
      <w:pPr>
        <w:spacing w:after="0" w:line="240" w:lineRule="auto"/>
      </w:pPr>
      <w:r>
        <w:separator/>
      </w:r>
    </w:p>
  </w:endnote>
  <w:endnote w:type="continuationSeparator" w:id="0">
    <w:p w14:paraId="60B5E230" w14:textId="77777777" w:rsidR="008844EA" w:rsidRDefault="00884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Sans Narrow">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402738" w:rsidRPr="00FA7CEF" w14:paraId="1F6B9B89" w14:textId="77777777">
      <w:trPr>
        <w:jc w:val="center"/>
      </w:trPr>
      <w:tc>
        <w:tcPr>
          <w:tcW w:w="3120" w:type="dxa"/>
          <w:tcBorders>
            <w:top w:val="nil"/>
            <w:left w:val="nil"/>
            <w:bottom w:val="nil"/>
            <w:right w:val="nil"/>
          </w:tcBorders>
        </w:tcPr>
        <w:p w14:paraId="2602EF46" w14:textId="6B0E9C43" w:rsidR="00402738" w:rsidRPr="00FA7CEF" w:rsidRDefault="007731BF" w:rsidP="00FA7CEF">
          <w:pPr>
            <w:rPr>
              <w:rFonts w:asciiTheme="majorHAnsi" w:hAnsiTheme="majorHAnsi" w:cstheme="majorHAnsi"/>
              <w:szCs w:val="28"/>
            </w:rPr>
          </w:pPr>
          <w:r w:rsidRPr="00FA7CEF">
            <w:rPr>
              <w:rFonts w:asciiTheme="majorHAnsi" w:hAnsiTheme="majorHAnsi" w:cstheme="majorHAnsi"/>
              <w:szCs w:val="28"/>
            </w:rPr>
            <w:t>Author: Richard Kohl</w:t>
          </w:r>
        </w:p>
      </w:tc>
      <w:tc>
        <w:tcPr>
          <w:tcW w:w="3120" w:type="dxa"/>
          <w:tcBorders>
            <w:top w:val="nil"/>
            <w:left w:val="nil"/>
            <w:bottom w:val="nil"/>
            <w:right w:val="nil"/>
          </w:tcBorders>
        </w:tcPr>
        <w:p w14:paraId="59A20B19" w14:textId="77777777" w:rsidR="00402738" w:rsidRPr="00FA7CEF" w:rsidRDefault="008844EA">
          <w:pPr>
            <w:jc w:val="center"/>
            <w:rPr>
              <w:rFonts w:asciiTheme="majorHAnsi" w:hAnsiTheme="majorHAnsi" w:cstheme="majorHAnsi"/>
              <w:szCs w:val="28"/>
            </w:rPr>
          </w:pPr>
          <w:r w:rsidRPr="00FA7CEF">
            <w:rPr>
              <w:rFonts w:asciiTheme="majorHAnsi" w:hAnsiTheme="majorHAnsi" w:cstheme="majorHAnsi"/>
              <w:szCs w:val="28"/>
            </w:rPr>
            <w:t xml:space="preserve">Page </w:t>
          </w:r>
          <w:r w:rsidRPr="00FA7CEF">
            <w:rPr>
              <w:rFonts w:asciiTheme="majorHAnsi" w:hAnsiTheme="majorHAnsi" w:cstheme="majorHAnsi"/>
              <w:szCs w:val="28"/>
            </w:rPr>
            <w:fldChar w:fldCharType="begin"/>
          </w:r>
          <w:r w:rsidRPr="00FA7CEF">
            <w:rPr>
              <w:rFonts w:asciiTheme="majorHAnsi" w:hAnsiTheme="majorHAnsi" w:cstheme="majorHAnsi"/>
              <w:szCs w:val="28"/>
            </w:rPr>
            <w:instrText>PAGE</w:instrText>
          </w:r>
          <w:r w:rsidRPr="00FA7CEF">
            <w:rPr>
              <w:rFonts w:asciiTheme="majorHAnsi" w:hAnsiTheme="majorHAnsi" w:cstheme="majorHAnsi"/>
              <w:szCs w:val="28"/>
            </w:rPr>
            <w:fldChar w:fldCharType="separate"/>
          </w:r>
          <w:r w:rsidRPr="00FA7CEF">
            <w:rPr>
              <w:rFonts w:asciiTheme="majorHAnsi" w:hAnsiTheme="majorHAnsi" w:cstheme="majorHAnsi"/>
              <w:szCs w:val="28"/>
            </w:rPr>
            <w:t>1</w:t>
          </w:r>
          <w:r w:rsidRPr="00FA7CEF">
            <w:rPr>
              <w:rFonts w:asciiTheme="majorHAnsi" w:hAnsiTheme="majorHAnsi" w:cstheme="majorHAnsi"/>
              <w:szCs w:val="28"/>
            </w:rPr>
            <w:fldChar w:fldCharType="end"/>
          </w:r>
          <w:r w:rsidRPr="00FA7CEF">
            <w:rPr>
              <w:rFonts w:asciiTheme="majorHAnsi" w:hAnsiTheme="majorHAnsi" w:cstheme="majorHAnsi"/>
              <w:szCs w:val="28"/>
            </w:rPr>
            <w:t xml:space="preserve"> of </w:t>
          </w:r>
          <w:r w:rsidRPr="00FA7CEF">
            <w:rPr>
              <w:rFonts w:asciiTheme="majorHAnsi" w:hAnsiTheme="majorHAnsi" w:cstheme="majorHAnsi"/>
              <w:szCs w:val="28"/>
            </w:rPr>
            <w:fldChar w:fldCharType="begin"/>
          </w:r>
          <w:r w:rsidRPr="00FA7CEF">
            <w:rPr>
              <w:rFonts w:asciiTheme="majorHAnsi" w:hAnsiTheme="majorHAnsi" w:cstheme="majorHAnsi"/>
              <w:szCs w:val="28"/>
            </w:rPr>
            <w:instrText>NUMPAGES</w:instrText>
          </w:r>
          <w:r w:rsidRPr="00FA7CEF">
            <w:rPr>
              <w:rFonts w:asciiTheme="majorHAnsi" w:hAnsiTheme="majorHAnsi" w:cstheme="majorHAnsi"/>
              <w:szCs w:val="28"/>
            </w:rPr>
            <w:fldChar w:fldCharType="separate"/>
          </w:r>
          <w:r w:rsidRPr="00FA7CEF">
            <w:rPr>
              <w:rFonts w:asciiTheme="majorHAnsi" w:hAnsiTheme="majorHAnsi" w:cstheme="majorHAnsi"/>
              <w:szCs w:val="28"/>
            </w:rPr>
            <w:t>1</w:t>
          </w:r>
          <w:r w:rsidRPr="00FA7CEF">
            <w:rPr>
              <w:rFonts w:asciiTheme="majorHAnsi" w:hAnsiTheme="majorHAnsi" w:cstheme="majorHAnsi"/>
              <w:szCs w:val="28"/>
            </w:rPr>
            <w:fldChar w:fldCharType="end"/>
          </w:r>
        </w:p>
      </w:tc>
      <w:tc>
        <w:tcPr>
          <w:tcW w:w="3120" w:type="dxa"/>
          <w:tcBorders>
            <w:top w:val="nil"/>
            <w:left w:val="nil"/>
            <w:bottom w:val="nil"/>
            <w:right w:val="nil"/>
          </w:tcBorders>
        </w:tcPr>
        <w:p w14:paraId="3890A08A" w14:textId="63DEDA3B" w:rsidR="00402738" w:rsidRPr="00FA7CEF" w:rsidRDefault="008844EA">
          <w:pPr>
            <w:jc w:val="right"/>
            <w:rPr>
              <w:rFonts w:asciiTheme="majorHAnsi" w:hAnsiTheme="majorHAnsi" w:cstheme="majorHAnsi"/>
              <w:szCs w:val="28"/>
            </w:rPr>
          </w:pPr>
          <w:r w:rsidRPr="00FA7CEF">
            <w:rPr>
              <w:rFonts w:asciiTheme="majorHAnsi" w:hAnsiTheme="majorHAnsi" w:cstheme="majorHAnsi"/>
              <w:szCs w:val="28"/>
            </w:rPr>
            <w:t xml:space="preserve">June </w:t>
          </w:r>
          <w:r w:rsidR="00023535">
            <w:rPr>
              <w:rFonts w:asciiTheme="majorHAnsi" w:hAnsiTheme="majorHAnsi" w:cstheme="majorHAnsi"/>
              <w:szCs w:val="28"/>
            </w:rPr>
            <w:t>23</w:t>
          </w:r>
          <w:r w:rsidRPr="00FA7CEF">
            <w:rPr>
              <w:rFonts w:asciiTheme="majorHAnsi" w:hAnsiTheme="majorHAnsi" w:cstheme="majorHAnsi"/>
              <w:szCs w:val="28"/>
            </w:rPr>
            <w:t>,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24B8" w14:textId="77777777" w:rsidR="00FA7CEF" w:rsidRDefault="00FA7CEF"/>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FA7CEF" w:rsidRPr="00FA7CEF" w14:paraId="2A6542F3" w14:textId="77777777" w:rsidTr="00CF7A70">
      <w:trPr>
        <w:jc w:val="center"/>
      </w:trPr>
      <w:tc>
        <w:tcPr>
          <w:tcW w:w="3120" w:type="dxa"/>
          <w:tcBorders>
            <w:top w:val="nil"/>
            <w:left w:val="nil"/>
            <w:bottom w:val="nil"/>
            <w:right w:val="nil"/>
          </w:tcBorders>
        </w:tcPr>
        <w:p w14:paraId="503E1344" w14:textId="77777777" w:rsidR="00FA7CEF" w:rsidRPr="00FA7CEF" w:rsidRDefault="00FA7CEF" w:rsidP="00FA7CEF">
          <w:pPr>
            <w:rPr>
              <w:rFonts w:asciiTheme="majorHAnsi" w:hAnsiTheme="majorHAnsi" w:cstheme="majorHAnsi"/>
              <w:szCs w:val="28"/>
            </w:rPr>
          </w:pPr>
          <w:r w:rsidRPr="00FA7CEF">
            <w:rPr>
              <w:rFonts w:asciiTheme="majorHAnsi" w:hAnsiTheme="majorHAnsi" w:cstheme="majorHAnsi"/>
              <w:szCs w:val="28"/>
            </w:rPr>
            <w:t>Author: Richard Kohl</w:t>
          </w:r>
        </w:p>
      </w:tc>
      <w:tc>
        <w:tcPr>
          <w:tcW w:w="3120" w:type="dxa"/>
          <w:tcBorders>
            <w:top w:val="nil"/>
            <w:left w:val="nil"/>
            <w:bottom w:val="nil"/>
            <w:right w:val="nil"/>
          </w:tcBorders>
        </w:tcPr>
        <w:p w14:paraId="7875F510" w14:textId="77777777" w:rsidR="00FA7CEF" w:rsidRPr="00FA7CEF" w:rsidRDefault="00FA7CEF" w:rsidP="00FA7CEF">
          <w:pPr>
            <w:jc w:val="center"/>
            <w:rPr>
              <w:rFonts w:asciiTheme="majorHAnsi" w:hAnsiTheme="majorHAnsi" w:cstheme="majorHAnsi"/>
              <w:szCs w:val="28"/>
            </w:rPr>
          </w:pPr>
          <w:r w:rsidRPr="00FA7CEF">
            <w:rPr>
              <w:rFonts w:asciiTheme="majorHAnsi" w:hAnsiTheme="majorHAnsi" w:cstheme="majorHAnsi"/>
              <w:szCs w:val="28"/>
            </w:rPr>
            <w:t xml:space="preserve">Page </w:t>
          </w:r>
          <w:r w:rsidRPr="00FA7CEF">
            <w:rPr>
              <w:rFonts w:asciiTheme="majorHAnsi" w:hAnsiTheme="majorHAnsi" w:cstheme="majorHAnsi"/>
              <w:szCs w:val="28"/>
            </w:rPr>
            <w:fldChar w:fldCharType="begin"/>
          </w:r>
          <w:r w:rsidRPr="00FA7CEF">
            <w:rPr>
              <w:rFonts w:asciiTheme="majorHAnsi" w:hAnsiTheme="majorHAnsi" w:cstheme="majorHAnsi"/>
              <w:szCs w:val="28"/>
            </w:rPr>
            <w:instrText>PAGE</w:instrText>
          </w:r>
          <w:r w:rsidRPr="00FA7CEF">
            <w:rPr>
              <w:rFonts w:asciiTheme="majorHAnsi" w:hAnsiTheme="majorHAnsi" w:cstheme="majorHAnsi"/>
              <w:szCs w:val="28"/>
            </w:rPr>
            <w:fldChar w:fldCharType="separate"/>
          </w:r>
          <w:r w:rsidRPr="00FA7CEF">
            <w:rPr>
              <w:rFonts w:asciiTheme="majorHAnsi" w:hAnsiTheme="majorHAnsi" w:cstheme="majorHAnsi"/>
              <w:szCs w:val="28"/>
            </w:rPr>
            <w:t>1</w:t>
          </w:r>
          <w:r w:rsidRPr="00FA7CEF">
            <w:rPr>
              <w:rFonts w:asciiTheme="majorHAnsi" w:hAnsiTheme="majorHAnsi" w:cstheme="majorHAnsi"/>
              <w:szCs w:val="28"/>
            </w:rPr>
            <w:fldChar w:fldCharType="end"/>
          </w:r>
          <w:r w:rsidRPr="00FA7CEF">
            <w:rPr>
              <w:rFonts w:asciiTheme="majorHAnsi" w:hAnsiTheme="majorHAnsi" w:cstheme="majorHAnsi"/>
              <w:szCs w:val="28"/>
            </w:rPr>
            <w:t xml:space="preserve"> of </w:t>
          </w:r>
          <w:r w:rsidRPr="00FA7CEF">
            <w:rPr>
              <w:rFonts w:asciiTheme="majorHAnsi" w:hAnsiTheme="majorHAnsi" w:cstheme="majorHAnsi"/>
              <w:szCs w:val="28"/>
            </w:rPr>
            <w:fldChar w:fldCharType="begin"/>
          </w:r>
          <w:r w:rsidRPr="00FA7CEF">
            <w:rPr>
              <w:rFonts w:asciiTheme="majorHAnsi" w:hAnsiTheme="majorHAnsi" w:cstheme="majorHAnsi"/>
              <w:szCs w:val="28"/>
            </w:rPr>
            <w:instrText>NUMPAGES</w:instrText>
          </w:r>
          <w:r w:rsidRPr="00FA7CEF">
            <w:rPr>
              <w:rFonts w:asciiTheme="majorHAnsi" w:hAnsiTheme="majorHAnsi" w:cstheme="majorHAnsi"/>
              <w:szCs w:val="28"/>
            </w:rPr>
            <w:fldChar w:fldCharType="separate"/>
          </w:r>
          <w:r w:rsidRPr="00FA7CEF">
            <w:rPr>
              <w:rFonts w:asciiTheme="majorHAnsi" w:hAnsiTheme="majorHAnsi" w:cstheme="majorHAnsi"/>
              <w:szCs w:val="28"/>
            </w:rPr>
            <w:t>1</w:t>
          </w:r>
          <w:r w:rsidRPr="00FA7CEF">
            <w:rPr>
              <w:rFonts w:asciiTheme="majorHAnsi" w:hAnsiTheme="majorHAnsi" w:cstheme="majorHAnsi"/>
              <w:szCs w:val="28"/>
            </w:rPr>
            <w:fldChar w:fldCharType="end"/>
          </w:r>
        </w:p>
      </w:tc>
      <w:tc>
        <w:tcPr>
          <w:tcW w:w="3120" w:type="dxa"/>
          <w:tcBorders>
            <w:top w:val="nil"/>
            <w:left w:val="nil"/>
            <w:bottom w:val="nil"/>
            <w:right w:val="nil"/>
          </w:tcBorders>
        </w:tcPr>
        <w:p w14:paraId="60474D17" w14:textId="66822669" w:rsidR="00FA7CEF" w:rsidRPr="00FA7CEF" w:rsidRDefault="00FA7CEF" w:rsidP="00FA7CEF">
          <w:pPr>
            <w:jc w:val="right"/>
            <w:rPr>
              <w:rFonts w:asciiTheme="majorHAnsi" w:hAnsiTheme="majorHAnsi" w:cstheme="majorHAnsi"/>
              <w:szCs w:val="28"/>
            </w:rPr>
          </w:pPr>
          <w:r w:rsidRPr="00FA7CEF">
            <w:rPr>
              <w:rFonts w:asciiTheme="majorHAnsi" w:hAnsiTheme="majorHAnsi" w:cstheme="majorHAnsi"/>
              <w:szCs w:val="28"/>
            </w:rPr>
            <w:t xml:space="preserve">June </w:t>
          </w:r>
          <w:r w:rsidR="00852388">
            <w:rPr>
              <w:rFonts w:asciiTheme="majorHAnsi" w:hAnsiTheme="majorHAnsi" w:cstheme="majorHAnsi"/>
              <w:szCs w:val="28"/>
            </w:rPr>
            <w:t>23</w:t>
          </w:r>
          <w:r w:rsidRPr="00FA7CEF">
            <w:rPr>
              <w:rFonts w:asciiTheme="majorHAnsi" w:hAnsiTheme="majorHAnsi" w:cstheme="majorHAnsi"/>
              <w:szCs w:val="28"/>
            </w:rPr>
            <w:t>, 2026</w:t>
          </w:r>
        </w:p>
      </w:tc>
    </w:tr>
  </w:tbl>
  <w:p w14:paraId="240ADFF2" w14:textId="77777777" w:rsidR="00FA7CEF" w:rsidRDefault="00FA7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3234" w14:textId="77777777" w:rsidR="008844EA" w:rsidRDefault="008844EA">
      <w:pPr>
        <w:spacing w:after="0" w:line="240" w:lineRule="auto"/>
      </w:pPr>
      <w:r>
        <w:separator/>
      </w:r>
    </w:p>
  </w:footnote>
  <w:footnote w:type="continuationSeparator" w:id="0">
    <w:p w14:paraId="398540A2" w14:textId="77777777" w:rsidR="008844EA" w:rsidRDefault="00884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FA36" w14:textId="5CA6DC34" w:rsidR="007731BF" w:rsidRPr="00FA7CEF" w:rsidRDefault="008B45C6" w:rsidP="008B45C6">
    <w:pPr>
      <w:pStyle w:val="Header"/>
      <w:jc w:val="right"/>
      <w:rPr>
        <w:sz w:val="20"/>
        <w:szCs w:val="18"/>
      </w:rPr>
    </w:pPr>
    <w:r w:rsidRPr="00FA7CEF">
      <w:rPr>
        <w:sz w:val="20"/>
        <w:szCs w:val="18"/>
      </w:rPr>
      <w:t xml:space="preserve">PABRA </w:t>
    </w:r>
    <w:r w:rsidR="00852388">
      <w:rPr>
        <w:sz w:val="20"/>
        <w:szCs w:val="18"/>
      </w:rPr>
      <w:t xml:space="preserve">HIB </w:t>
    </w:r>
    <w:r w:rsidRPr="00FA7CEF">
      <w:rPr>
        <w:sz w:val="20"/>
        <w:szCs w:val="18"/>
      </w:rPr>
      <w:t>Scaling Solution Field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12BA4"/>
    <w:multiLevelType w:val="hybridMultilevel"/>
    <w:tmpl w:val="EBBE7D5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6D7AC0"/>
    <w:multiLevelType w:val="hybridMultilevel"/>
    <w:tmpl w:val="830A79DE"/>
    <w:lvl w:ilvl="0" w:tplc="82AC9E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553821">
    <w:abstractNumId w:val="8"/>
  </w:num>
  <w:num w:numId="2" w16cid:durableId="991372923">
    <w:abstractNumId w:val="6"/>
  </w:num>
  <w:num w:numId="3" w16cid:durableId="1869098876">
    <w:abstractNumId w:val="5"/>
  </w:num>
  <w:num w:numId="4" w16cid:durableId="1706128739">
    <w:abstractNumId w:val="4"/>
  </w:num>
  <w:num w:numId="5" w16cid:durableId="537426798">
    <w:abstractNumId w:val="7"/>
  </w:num>
  <w:num w:numId="6" w16cid:durableId="1733700595">
    <w:abstractNumId w:val="3"/>
  </w:num>
  <w:num w:numId="7" w16cid:durableId="1154181292">
    <w:abstractNumId w:val="2"/>
  </w:num>
  <w:num w:numId="8" w16cid:durableId="1899170532">
    <w:abstractNumId w:val="1"/>
  </w:num>
  <w:num w:numId="9" w16cid:durableId="1796488085">
    <w:abstractNumId w:val="0"/>
  </w:num>
  <w:num w:numId="10" w16cid:durableId="1623539383">
    <w:abstractNumId w:val="9"/>
  </w:num>
  <w:num w:numId="11" w16cid:durableId="723796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28"/>
    <w:rsid w:val="00023535"/>
    <w:rsid w:val="00034616"/>
    <w:rsid w:val="0003540D"/>
    <w:rsid w:val="0006063C"/>
    <w:rsid w:val="0006228D"/>
    <w:rsid w:val="000645FF"/>
    <w:rsid w:val="000656A2"/>
    <w:rsid w:val="000824C4"/>
    <w:rsid w:val="000A3C9D"/>
    <w:rsid w:val="000D1979"/>
    <w:rsid w:val="0015074B"/>
    <w:rsid w:val="001D4D19"/>
    <w:rsid w:val="00205306"/>
    <w:rsid w:val="00250378"/>
    <w:rsid w:val="0029639D"/>
    <w:rsid w:val="002A0783"/>
    <w:rsid w:val="002C450B"/>
    <w:rsid w:val="002C7C4E"/>
    <w:rsid w:val="002F1F7B"/>
    <w:rsid w:val="00326F90"/>
    <w:rsid w:val="00392A7C"/>
    <w:rsid w:val="003A0B65"/>
    <w:rsid w:val="00402738"/>
    <w:rsid w:val="004450D7"/>
    <w:rsid w:val="00456976"/>
    <w:rsid w:val="00477A97"/>
    <w:rsid w:val="004F2484"/>
    <w:rsid w:val="004F5F4B"/>
    <w:rsid w:val="00500CE3"/>
    <w:rsid w:val="00535513"/>
    <w:rsid w:val="00571EB7"/>
    <w:rsid w:val="00581D9E"/>
    <w:rsid w:val="005D0979"/>
    <w:rsid w:val="006330AD"/>
    <w:rsid w:val="00633BDF"/>
    <w:rsid w:val="0065040C"/>
    <w:rsid w:val="00681BCF"/>
    <w:rsid w:val="00694DB7"/>
    <w:rsid w:val="006A3B32"/>
    <w:rsid w:val="006C5CC1"/>
    <w:rsid w:val="006E4AC2"/>
    <w:rsid w:val="007379B1"/>
    <w:rsid w:val="00751294"/>
    <w:rsid w:val="00765571"/>
    <w:rsid w:val="007731BF"/>
    <w:rsid w:val="00776171"/>
    <w:rsid w:val="007A56F0"/>
    <w:rsid w:val="007F40C9"/>
    <w:rsid w:val="00835FFC"/>
    <w:rsid w:val="00851058"/>
    <w:rsid w:val="00852388"/>
    <w:rsid w:val="008844EA"/>
    <w:rsid w:val="008A454A"/>
    <w:rsid w:val="008B45C6"/>
    <w:rsid w:val="008E28EF"/>
    <w:rsid w:val="0091617D"/>
    <w:rsid w:val="0092774E"/>
    <w:rsid w:val="00942640"/>
    <w:rsid w:val="00956019"/>
    <w:rsid w:val="009A32B9"/>
    <w:rsid w:val="009A6B40"/>
    <w:rsid w:val="009B7D71"/>
    <w:rsid w:val="009C4CA1"/>
    <w:rsid w:val="009C50E0"/>
    <w:rsid w:val="009D2F17"/>
    <w:rsid w:val="009F3643"/>
    <w:rsid w:val="00A02EEF"/>
    <w:rsid w:val="00A05F13"/>
    <w:rsid w:val="00A206BF"/>
    <w:rsid w:val="00A3375A"/>
    <w:rsid w:val="00A765C5"/>
    <w:rsid w:val="00AA1D8D"/>
    <w:rsid w:val="00B271E4"/>
    <w:rsid w:val="00B47730"/>
    <w:rsid w:val="00B72956"/>
    <w:rsid w:val="00B8175F"/>
    <w:rsid w:val="00B879E0"/>
    <w:rsid w:val="00C00E75"/>
    <w:rsid w:val="00C2462E"/>
    <w:rsid w:val="00C518B4"/>
    <w:rsid w:val="00CB0664"/>
    <w:rsid w:val="00D11164"/>
    <w:rsid w:val="00D416CC"/>
    <w:rsid w:val="00D67861"/>
    <w:rsid w:val="00DA2EB5"/>
    <w:rsid w:val="00DD570A"/>
    <w:rsid w:val="00DE2D29"/>
    <w:rsid w:val="00E01092"/>
    <w:rsid w:val="00E2358B"/>
    <w:rsid w:val="00E30143"/>
    <w:rsid w:val="00E47AEA"/>
    <w:rsid w:val="00EB0275"/>
    <w:rsid w:val="00EB6515"/>
    <w:rsid w:val="00EE4139"/>
    <w:rsid w:val="00F078D6"/>
    <w:rsid w:val="00F2359B"/>
    <w:rsid w:val="00F423C9"/>
    <w:rsid w:val="00F539B5"/>
    <w:rsid w:val="00F616B2"/>
    <w:rsid w:val="00FA7CEF"/>
    <w:rsid w:val="00FC0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9A1ED5-C8D0-43BA-8F6B-8B0D14DC0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D71"/>
    <w:pPr>
      <w:spacing w:after="240" w:line="264" w:lineRule="auto"/>
    </w:pPr>
    <w:rPr>
      <w:rFonts w:ascii="Calibri" w:eastAsia="Liberation Sans Narrow" w:hAnsi="Calibri"/>
    </w:rPr>
  </w:style>
  <w:style w:type="paragraph" w:styleId="Heading1">
    <w:name w:val="heading 1"/>
    <w:basedOn w:val="Normal"/>
    <w:next w:val="Normal"/>
    <w:link w:val="Heading1Char"/>
    <w:uiPriority w:val="9"/>
    <w:qFormat/>
    <w:rsid w:val="00A3375A"/>
    <w:pPr>
      <w:keepNext/>
      <w:keepLines/>
      <w:spacing w:before="120" w:after="120"/>
      <w:outlineLvl w:val="0"/>
    </w:pPr>
    <w:rPr>
      <w:rFonts w:asciiTheme="majorHAnsi" w:hAnsiTheme="majorHAnsi" w:cstheme="majorHAnsi"/>
      <w:b/>
      <w:bCs/>
      <w:color w:val="000000" w:themeColor="text1"/>
      <w:sz w:val="28"/>
      <w:szCs w:val="28"/>
    </w:rPr>
  </w:style>
  <w:style w:type="paragraph" w:styleId="Heading2">
    <w:name w:val="heading 2"/>
    <w:basedOn w:val="Normal"/>
    <w:next w:val="Normal"/>
    <w:link w:val="Heading2Char"/>
    <w:uiPriority w:val="9"/>
    <w:unhideWhenUsed/>
    <w:qFormat/>
    <w:rsid w:val="00A3375A"/>
    <w:pPr>
      <w:keepNext/>
      <w:keepLines/>
      <w:spacing w:before="120" w:after="120"/>
      <w:outlineLvl w:val="1"/>
    </w:pPr>
    <w:rPr>
      <w:rFonts w:ascii="Liberation Sans Narrow" w:hAnsi="Liberation Sans Narrow" w:cstheme="majorBidi"/>
      <w:b/>
      <w:bCs/>
      <w:i/>
      <w:i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Narrow" w:hAnsi="Liberation Sans Narrow"/>
    </w:rPr>
  </w:style>
  <w:style w:type="character" w:customStyle="1" w:styleId="HeaderChar">
    <w:name w:val="Header Char"/>
    <w:basedOn w:val="DefaultParagraphFont"/>
    <w:link w:val="Header"/>
    <w:uiPriority w:val="99"/>
    <w:rsid w:val="00E618BF"/>
    <w:rPr>
      <w:rFonts w:ascii="Liberation Sans Narrow" w:eastAsia="Liberation Sans Narrow" w:hAnsi="Liberation Sans Narrow"/>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Narrow" w:hAnsi="Liberation Sans Narrow"/>
    </w:rPr>
  </w:style>
  <w:style w:type="character" w:customStyle="1" w:styleId="FooterChar">
    <w:name w:val="Footer Char"/>
    <w:basedOn w:val="DefaultParagraphFont"/>
    <w:link w:val="Footer"/>
    <w:uiPriority w:val="99"/>
    <w:rsid w:val="00E618BF"/>
    <w:rPr>
      <w:rFonts w:ascii="Liberation Sans Narrow" w:eastAsia="Liberation Sans Narrow" w:hAnsi="Liberation Sans Narrow"/>
    </w:rPr>
  </w:style>
  <w:style w:type="paragraph" w:styleId="NoSpacing">
    <w:name w:val="No Spacing"/>
    <w:uiPriority w:val="1"/>
    <w:qFormat/>
    <w:rsid w:val="00FC693F"/>
    <w:pPr>
      <w:spacing w:after="0" w:line="240" w:lineRule="auto"/>
    </w:pPr>
    <w:rPr>
      <w:rFonts w:ascii="Liberation Sans Narrow" w:eastAsia="Liberation Sans Narrow" w:hAnsi="Liberation Sans Narrow"/>
    </w:rPr>
  </w:style>
  <w:style w:type="character" w:customStyle="1" w:styleId="Heading1Char">
    <w:name w:val="Heading 1 Char"/>
    <w:basedOn w:val="DefaultParagraphFont"/>
    <w:link w:val="Heading1"/>
    <w:uiPriority w:val="9"/>
    <w:rsid w:val="00A3375A"/>
    <w:rPr>
      <w:rFonts w:asciiTheme="majorHAnsi" w:eastAsia="Liberation Sans Narrow" w:hAnsiTheme="majorHAnsi" w:cstheme="majorHAnsi"/>
      <w:b/>
      <w:bCs/>
      <w:color w:val="000000" w:themeColor="text1"/>
      <w:sz w:val="28"/>
      <w:szCs w:val="28"/>
    </w:rPr>
  </w:style>
  <w:style w:type="character" w:customStyle="1" w:styleId="Heading2Char">
    <w:name w:val="Heading 2 Char"/>
    <w:basedOn w:val="DefaultParagraphFont"/>
    <w:link w:val="Heading2"/>
    <w:uiPriority w:val="9"/>
    <w:rsid w:val="00A3375A"/>
    <w:rPr>
      <w:rFonts w:ascii="Liberation Sans Narrow" w:eastAsia="Liberation Sans Narrow" w:hAnsi="Liberation Sans Narrow" w:cstheme="majorBidi"/>
      <w:b/>
      <w:bCs/>
      <w:i/>
      <w:i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2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765C5"/>
    <w:pPr>
      <w:ind w:left="720"/>
      <w:contextualSpacing/>
    </w:pPr>
  </w:style>
  <w:style w:type="paragraph" w:styleId="BodyText">
    <w:name w:val="Body Text"/>
    <w:basedOn w:val="Normal"/>
    <w:link w:val="BodyTextChar"/>
    <w:uiPriority w:val="99"/>
    <w:unhideWhenUsed/>
    <w:rsid w:val="00AA1D8D"/>
    <w:pPr>
      <w:spacing w:after="120"/>
    </w:pPr>
    <w:rPr>
      <w:rFonts w:ascii="Liberation Sans Narrow" w:hAnsi="Liberation Sans Narrow"/>
    </w:rPr>
  </w:style>
  <w:style w:type="character" w:customStyle="1" w:styleId="BodyTextChar">
    <w:name w:val="Body Text Char"/>
    <w:basedOn w:val="DefaultParagraphFont"/>
    <w:link w:val="BodyText"/>
    <w:uiPriority w:val="99"/>
    <w:rsid w:val="00AA1D8D"/>
    <w:rPr>
      <w:rFonts w:ascii="Liberation Sans Narrow" w:eastAsia="Liberation Sans Narrow" w:hAnsi="Liberation Sans Narrow"/>
    </w:rPr>
  </w:style>
  <w:style w:type="paragraph" w:styleId="BodyText2">
    <w:name w:val="Body Text 2"/>
    <w:basedOn w:val="Normal"/>
    <w:link w:val="BodyText2Char"/>
    <w:uiPriority w:val="99"/>
    <w:unhideWhenUsed/>
    <w:rsid w:val="00AA1D8D"/>
    <w:pPr>
      <w:spacing w:after="120" w:line="480" w:lineRule="auto"/>
    </w:pPr>
    <w:rPr>
      <w:rFonts w:ascii="Liberation Sans Narrow" w:hAnsi="Liberation Sans Narrow"/>
    </w:rPr>
  </w:style>
  <w:style w:type="character" w:customStyle="1" w:styleId="BodyText2Char">
    <w:name w:val="Body Text 2 Char"/>
    <w:basedOn w:val="DefaultParagraphFont"/>
    <w:link w:val="BodyText2"/>
    <w:uiPriority w:val="99"/>
    <w:rsid w:val="00AA1D8D"/>
    <w:rPr>
      <w:rFonts w:ascii="Liberation Sans Narrow" w:eastAsia="Liberation Sans Narrow" w:hAnsi="Liberation Sans Narrow"/>
    </w:rPr>
  </w:style>
  <w:style w:type="paragraph" w:styleId="BodyText3">
    <w:name w:val="Body Text 3"/>
    <w:basedOn w:val="Normal"/>
    <w:link w:val="BodyText3Char"/>
    <w:uiPriority w:val="99"/>
    <w:unhideWhenUsed/>
    <w:rsid w:val="00AA1D8D"/>
    <w:pPr>
      <w:spacing w:after="120"/>
    </w:pPr>
    <w:rPr>
      <w:rFonts w:ascii="Liberation Sans Narrow" w:hAnsi="Liberation Sans Narrow"/>
      <w:sz w:val="16"/>
      <w:szCs w:val="16"/>
    </w:rPr>
  </w:style>
  <w:style w:type="character" w:customStyle="1" w:styleId="BodyText3Char">
    <w:name w:val="Body Text 3 Char"/>
    <w:basedOn w:val="DefaultParagraphFont"/>
    <w:link w:val="BodyText3"/>
    <w:uiPriority w:val="99"/>
    <w:rsid w:val="00AA1D8D"/>
    <w:rPr>
      <w:rFonts w:ascii="Liberation Sans Narrow" w:eastAsia="Liberation Sans Narrow" w:hAnsi="Liberation Sans Narrow"/>
      <w:sz w:val="16"/>
      <w:szCs w:val="16"/>
    </w:rPr>
  </w:style>
  <w:style w:type="paragraph" w:styleId="List">
    <w:name w:val="List"/>
    <w:basedOn w:val="Normal"/>
    <w:uiPriority w:val="99"/>
    <w:unhideWhenUsed/>
    <w:rsid w:val="00AA1D8D"/>
    <w:pPr>
      <w:ind w:left="360" w:hanging="360"/>
      <w:contextualSpacing/>
    </w:pPr>
    <w:rPr>
      <w:rFonts w:ascii="Liberation Sans Narrow" w:hAnsi="Liberation Sans Narrow"/>
    </w:rPr>
  </w:style>
  <w:style w:type="paragraph" w:styleId="List2">
    <w:name w:val="List 2"/>
    <w:basedOn w:val="Normal"/>
    <w:uiPriority w:val="99"/>
    <w:unhideWhenUsed/>
    <w:rsid w:val="00326F90"/>
    <w:pPr>
      <w:ind w:left="720" w:hanging="360"/>
      <w:contextualSpacing/>
    </w:pPr>
    <w:rPr>
      <w:rFonts w:ascii="Liberation Sans Narrow" w:hAnsi="Liberation Sans Narrow"/>
    </w:rPr>
  </w:style>
  <w:style w:type="paragraph" w:styleId="List3">
    <w:name w:val="List 3"/>
    <w:basedOn w:val="Normal"/>
    <w:uiPriority w:val="99"/>
    <w:unhideWhenUsed/>
    <w:rsid w:val="00326F90"/>
    <w:pPr>
      <w:ind w:left="1080" w:hanging="360"/>
      <w:contextualSpacing/>
    </w:pPr>
    <w:rPr>
      <w:rFonts w:ascii="Liberation Sans Narrow" w:hAnsi="Liberation Sans Narrow"/>
    </w:rPr>
  </w:style>
  <w:style w:type="paragraph" w:styleId="ListBullet">
    <w:name w:val="List Bullet"/>
    <w:basedOn w:val="Normal"/>
    <w:uiPriority w:val="99"/>
    <w:unhideWhenUsed/>
    <w:rsid w:val="00326F90"/>
    <w:pPr>
      <w:numPr>
        <w:numId w:val="1"/>
      </w:numPr>
      <w:spacing w:after="0"/>
      <w:contextualSpacing/>
    </w:pPr>
    <w:rPr>
      <w:rFonts w:ascii="Liberation Sans Narrow" w:hAnsi="Liberation Sans Narrow"/>
    </w:rPr>
  </w:style>
  <w:style w:type="paragraph" w:styleId="ListBullet2">
    <w:name w:val="List Bullet 2"/>
    <w:basedOn w:val="Normal"/>
    <w:uiPriority w:val="99"/>
    <w:unhideWhenUsed/>
    <w:rsid w:val="00326F90"/>
    <w:pPr>
      <w:numPr>
        <w:numId w:val="2"/>
      </w:numPr>
      <w:contextualSpacing/>
    </w:pPr>
    <w:rPr>
      <w:rFonts w:ascii="Liberation Sans Narrow" w:hAnsi="Liberation Sans Narrow"/>
    </w:rPr>
  </w:style>
  <w:style w:type="paragraph" w:styleId="ListBullet3">
    <w:name w:val="List Bullet 3"/>
    <w:basedOn w:val="Normal"/>
    <w:uiPriority w:val="99"/>
    <w:unhideWhenUsed/>
    <w:rsid w:val="00326F90"/>
    <w:pPr>
      <w:numPr>
        <w:numId w:val="3"/>
      </w:numPr>
      <w:contextualSpacing/>
    </w:pPr>
    <w:rPr>
      <w:rFonts w:ascii="Liberation Sans Narrow" w:hAnsi="Liberation Sans Narrow"/>
    </w:rPr>
  </w:style>
  <w:style w:type="paragraph" w:styleId="ListNumber">
    <w:name w:val="List Number"/>
    <w:basedOn w:val="Normal"/>
    <w:uiPriority w:val="99"/>
    <w:unhideWhenUsed/>
    <w:rsid w:val="00326F90"/>
    <w:pPr>
      <w:numPr>
        <w:numId w:val="5"/>
      </w:numPr>
      <w:spacing w:after="0"/>
      <w:contextualSpacing/>
    </w:pPr>
    <w:rPr>
      <w:rFonts w:ascii="Liberation Sans Narrow" w:hAnsi="Liberation Sans Narrow"/>
    </w:rPr>
  </w:style>
  <w:style w:type="paragraph" w:styleId="ListNumber2">
    <w:name w:val="List Number 2"/>
    <w:basedOn w:val="Normal"/>
    <w:uiPriority w:val="99"/>
    <w:unhideWhenUsed/>
    <w:rsid w:val="0029639D"/>
    <w:pPr>
      <w:numPr>
        <w:numId w:val="6"/>
      </w:numPr>
      <w:contextualSpacing/>
    </w:pPr>
    <w:rPr>
      <w:rFonts w:ascii="Liberation Sans Narrow" w:hAnsi="Liberation Sans Narrow"/>
    </w:rPr>
  </w:style>
  <w:style w:type="paragraph" w:styleId="ListNumber3">
    <w:name w:val="List Number 3"/>
    <w:basedOn w:val="Normal"/>
    <w:uiPriority w:val="99"/>
    <w:unhideWhenUsed/>
    <w:rsid w:val="0029639D"/>
    <w:pPr>
      <w:numPr>
        <w:numId w:val="7"/>
      </w:numPr>
      <w:contextualSpacing/>
    </w:pPr>
    <w:rPr>
      <w:rFonts w:ascii="Liberation Sans Narrow" w:hAnsi="Liberation Sans Narrow"/>
    </w:rPr>
  </w:style>
  <w:style w:type="paragraph" w:styleId="ListContinue">
    <w:name w:val="List Continue"/>
    <w:basedOn w:val="Normal"/>
    <w:uiPriority w:val="99"/>
    <w:unhideWhenUsed/>
    <w:rsid w:val="0029639D"/>
    <w:pPr>
      <w:spacing w:after="120"/>
      <w:ind w:left="360"/>
      <w:contextualSpacing/>
    </w:pPr>
    <w:rPr>
      <w:rFonts w:ascii="Liberation Sans Narrow" w:hAnsi="Liberation Sans Narrow"/>
    </w:rPr>
  </w:style>
  <w:style w:type="paragraph" w:styleId="ListContinue2">
    <w:name w:val="List Continue 2"/>
    <w:basedOn w:val="Normal"/>
    <w:uiPriority w:val="99"/>
    <w:unhideWhenUsed/>
    <w:rsid w:val="0029639D"/>
    <w:pPr>
      <w:spacing w:after="120"/>
      <w:ind w:left="720"/>
      <w:contextualSpacing/>
    </w:pPr>
    <w:rPr>
      <w:rFonts w:ascii="Liberation Sans Narrow" w:hAnsi="Liberation Sans Narrow"/>
    </w:rPr>
  </w:style>
  <w:style w:type="paragraph" w:styleId="ListContinue3">
    <w:name w:val="List Continue 3"/>
    <w:basedOn w:val="Normal"/>
    <w:uiPriority w:val="99"/>
    <w:unhideWhenUsed/>
    <w:rsid w:val="0029639D"/>
    <w:pPr>
      <w:spacing w:after="120"/>
      <w:ind w:left="1080"/>
      <w:contextualSpacing/>
    </w:pPr>
    <w:rPr>
      <w:rFonts w:ascii="Liberation Sans Narrow" w:hAnsi="Liberation Sans Narrow"/>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Narrow" w:eastAsia="Liberation Sans Narrow" w:hAnsi="Liberation Sans Narrow"/>
      <w:sz w:val="20"/>
      <w:szCs w:val="20"/>
    </w:rPr>
  </w:style>
  <w:style w:type="character" w:customStyle="1" w:styleId="MacroTextChar">
    <w:name w:val="Macro Text Char"/>
    <w:basedOn w:val="DefaultParagraphFont"/>
    <w:link w:val="MacroText"/>
    <w:uiPriority w:val="99"/>
    <w:rsid w:val="0029639D"/>
    <w:rPr>
      <w:rFonts w:ascii="Liberation Sans Narrow" w:eastAsia="Liberation Sans Narrow" w:hAnsi="Liberation Sans Narrow"/>
      <w:sz w:val="20"/>
      <w:szCs w:val="20"/>
    </w:rPr>
  </w:style>
  <w:style w:type="paragraph" w:styleId="Quote">
    <w:name w:val="Quote"/>
    <w:basedOn w:val="Normal"/>
    <w:next w:val="Normal"/>
    <w:link w:val="QuoteChar"/>
    <w:uiPriority w:val="29"/>
    <w:qFormat/>
    <w:rsid w:val="00FC693F"/>
    <w:rPr>
      <w:rFonts w:ascii="Liberation Sans Narrow" w:hAnsi="Liberation Sans Narrow"/>
      <w:i/>
      <w:iCs/>
      <w:color w:val="000000" w:themeColor="text1"/>
    </w:rPr>
  </w:style>
  <w:style w:type="character" w:customStyle="1" w:styleId="QuoteChar">
    <w:name w:val="Quote Char"/>
    <w:basedOn w:val="DefaultParagraphFont"/>
    <w:link w:val="Quote"/>
    <w:uiPriority w:val="29"/>
    <w:rsid w:val="00FC693F"/>
    <w:rPr>
      <w:rFonts w:ascii="Liberation Sans Narrow" w:eastAsia="Liberation Sans Narrow" w:hAnsi="Liberation Sans Narrow"/>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Narrow" w:hAnsi="Liberation Sans Narrow"/>
      <w:b/>
      <w:bCs/>
      <w:color w:val="4F81BD" w:themeColor="accent1"/>
      <w:sz w:val="18"/>
      <w:szCs w:val="18"/>
    </w:rPr>
  </w:style>
  <w:style w:type="character" w:styleId="Strong">
    <w:name w:val="Strong"/>
    <w:basedOn w:val="DefaultParagraphFont"/>
    <w:uiPriority w:val="22"/>
    <w:qFormat/>
    <w:rsid w:val="00FC693F"/>
    <w:rPr>
      <w:rFonts w:ascii="Liberation Sans Narrow" w:eastAsia="Liberation Sans Narrow" w:hAnsi="Liberation Sans Narrow"/>
      <w:b/>
      <w:bCs/>
    </w:rPr>
  </w:style>
  <w:style w:type="character" w:styleId="Emphasis">
    <w:name w:val="Emphasis"/>
    <w:basedOn w:val="DefaultParagraphFont"/>
    <w:uiPriority w:val="20"/>
    <w:qFormat/>
    <w:rsid w:val="00FC693F"/>
    <w:rPr>
      <w:rFonts w:ascii="Liberation Sans Narrow" w:eastAsia="Liberation Sans Narrow" w:hAnsi="Liberation Sans Narrow"/>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Narrow" w:hAnsi="Liberation Sans Narrow"/>
      <w:b/>
      <w:bCs/>
      <w:i/>
      <w:iCs/>
      <w:color w:val="4F81BD" w:themeColor="accent1"/>
    </w:rPr>
  </w:style>
  <w:style w:type="character" w:customStyle="1" w:styleId="IntenseQuoteChar">
    <w:name w:val="Intense Quote Char"/>
    <w:basedOn w:val="DefaultParagraphFont"/>
    <w:link w:val="IntenseQuote"/>
    <w:uiPriority w:val="30"/>
    <w:rsid w:val="00FC693F"/>
    <w:rPr>
      <w:rFonts w:ascii="Liberation Sans Narrow" w:eastAsia="Liberation Sans Narrow" w:hAnsi="Liberation Sans Narrow"/>
      <w:b/>
      <w:bCs/>
      <w:i/>
      <w:iCs/>
      <w:color w:val="4F81BD" w:themeColor="accent1"/>
    </w:rPr>
  </w:style>
  <w:style w:type="character" w:styleId="SubtleEmphasis">
    <w:name w:val="Subtle Emphasis"/>
    <w:basedOn w:val="DefaultParagraphFont"/>
    <w:uiPriority w:val="19"/>
    <w:qFormat/>
    <w:rsid w:val="00FC693F"/>
    <w:rPr>
      <w:rFonts w:ascii="Liberation Sans Narrow" w:eastAsia="Liberation Sans Narrow" w:hAnsi="Liberation Sans Narrow"/>
      <w:i/>
      <w:iCs/>
      <w:color w:val="808080" w:themeColor="text1" w:themeTint="7F"/>
    </w:rPr>
  </w:style>
  <w:style w:type="character" w:styleId="IntenseEmphasis">
    <w:name w:val="Intense Emphasis"/>
    <w:basedOn w:val="DefaultParagraphFont"/>
    <w:uiPriority w:val="21"/>
    <w:qFormat/>
    <w:rsid w:val="00FC693F"/>
    <w:rPr>
      <w:rFonts w:ascii="Liberation Sans Narrow" w:eastAsia="Liberation Sans Narrow" w:hAnsi="Liberation Sans Narrow"/>
      <w:b/>
      <w:bCs/>
      <w:i/>
      <w:iCs/>
      <w:color w:val="4F81BD" w:themeColor="accent1"/>
    </w:rPr>
  </w:style>
  <w:style w:type="character" w:styleId="SubtleReference">
    <w:name w:val="Subtle Reference"/>
    <w:basedOn w:val="DefaultParagraphFont"/>
    <w:uiPriority w:val="31"/>
    <w:qFormat/>
    <w:rsid w:val="00FC693F"/>
    <w:rPr>
      <w:rFonts w:ascii="Liberation Sans Narrow" w:eastAsia="Liberation Sans Narrow" w:hAnsi="Liberation Sans Narrow"/>
      <w:smallCaps/>
      <w:color w:val="C0504D" w:themeColor="accent2"/>
      <w:u w:val="single"/>
    </w:rPr>
  </w:style>
  <w:style w:type="character" w:styleId="IntenseReference">
    <w:name w:val="Intense Reference"/>
    <w:basedOn w:val="DefaultParagraphFont"/>
    <w:uiPriority w:val="32"/>
    <w:qFormat/>
    <w:rsid w:val="00FC693F"/>
    <w:rPr>
      <w:rFonts w:ascii="Liberation Sans Narrow" w:eastAsia="Liberation Sans Narrow" w:hAnsi="Liberation Sans Narrow"/>
      <w:b/>
      <w:bCs/>
      <w:smallCaps/>
      <w:color w:val="C0504D" w:themeColor="accent2"/>
      <w:spacing w:val="5"/>
      <w:u w:val="single"/>
    </w:rPr>
  </w:style>
  <w:style w:type="character" w:styleId="BookTitle">
    <w:name w:val="Book Title"/>
    <w:basedOn w:val="DefaultParagraphFont"/>
    <w:uiPriority w:val="33"/>
    <w:qFormat/>
    <w:rsid w:val="00FC693F"/>
    <w:rPr>
      <w:rFonts w:ascii="Liberation Sans Narrow" w:eastAsia="Liberation Sans Narrow" w:hAnsi="Liberation Sans Narrow"/>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Narrow" w:hAnsi="Liberation Sans Narro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19</Pages>
  <Words>9055</Words>
  <Characters>51618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89</cp:revision>
  <dcterms:created xsi:type="dcterms:W3CDTF">2013-12-23T23:15:00Z</dcterms:created>
  <dcterms:modified xsi:type="dcterms:W3CDTF">2026-06-23T12:04:00Z</dcterms:modified>
  <cp:category/>
</cp:coreProperties>
</file>