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E863E" w14:textId="77777777" w:rsidR="003142D0" w:rsidRDefault="00CA2B5C">
      <w:pPr>
        <w:spacing w:after="240"/>
        <w:jc w:val="center"/>
      </w:pPr>
      <w:r>
        <w:rPr>
          <w:b/>
          <w:sz w:val="28"/>
        </w:rPr>
        <w:t>Kenya School Meals Scaling Solution</w:t>
      </w:r>
      <w:r>
        <w:rPr>
          <w:b/>
          <w:sz w:val="28"/>
        </w:rPr>
        <w:br/>
        <w:t>Field Visit Findings and Scalability Assessment</w:t>
      </w:r>
    </w:p>
    <w:p w14:paraId="6720D7E8" w14:textId="77777777" w:rsidR="003142D0" w:rsidRDefault="00CA2B5C">
      <w:pPr>
        <w:spacing w:after="360"/>
        <w:jc w:val="center"/>
      </w:pPr>
      <w:r>
        <w:rPr>
          <w:b/>
          <w:sz w:val="24"/>
        </w:rPr>
        <w:t>Scaling the Integration of Micro and Small Enterprises and Smallholder Farmers into School Meals Programs in Urban Informal Settlements in Kenya</w:t>
      </w:r>
    </w:p>
    <w:p w14:paraId="7C35E665" w14:textId="77777777" w:rsidR="00433C6F" w:rsidRDefault="00CA2B5C">
      <w:pPr>
        <w:spacing w:after="360"/>
        <w:jc w:val="center"/>
      </w:pPr>
      <w:r>
        <w:t>Submitted to the CGIAR Scaling for Impact program</w:t>
      </w:r>
      <w:r>
        <w:br/>
        <w:t>By</w:t>
      </w:r>
      <w:r>
        <w:br/>
        <w:t>Dr. Richard Kohl</w:t>
      </w:r>
      <w:r>
        <w:br/>
        <w:t>Strategy and Scale LLC</w:t>
      </w:r>
    </w:p>
    <w:p w14:paraId="7207C1F6" w14:textId="66844AC9" w:rsidR="003142D0" w:rsidRDefault="00CA2B5C">
      <w:pPr>
        <w:spacing w:after="360"/>
        <w:jc w:val="center"/>
      </w:pPr>
      <w:r>
        <w:br/>
        <w:t>June 23, 2026</w:t>
      </w:r>
    </w:p>
    <w:p w14:paraId="2EA8DCAD" w14:textId="77777777" w:rsidR="003142D0" w:rsidRDefault="00CA2B5C">
      <w:pPr>
        <w:spacing w:before="120" w:after="120"/>
        <w:rPr>
          <w:b/>
          <w:sz w:val="24"/>
          <w:u w:val="single"/>
        </w:rPr>
      </w:pPr>
      <w:r>
        <w:rPr>
          <w:b/>
          <w:sz w:val="24"/>
          <w:u w:val="single"/>
        </w:rPr>
        <w:t>Executive Summary</w:t>
      </w:r>
    </w:p>
    <w:p w14:paraId="56ACDDAC" w14:textId="0D8F809C" w:rsidR="00433C6F" w:rsidRDefault="00433C6F" w:rsidP="00433C6F">
      <w:pPr>
        <w:pStyle w:val="Heading2"/>
      </w:pPr>
      <w:r>
        <w:t>What is Going Well</w:t>
      </w:r>
    </w:p>
    <w:p w14:paraId="1F269850" w14:textId="3CABB4E9" w:rsidR="003142D0" w:rsidRDefault="00433C6F" w:rsidP="00E83571">
      <w:pPr>
        <w:pStyle w:val="ListBullet"/>
        <w:numPr>
          <w:ilvl w:val="0"/>
          <w:numId w:val="10"/>
        </w:numPr>
        <w:spacing w:after="120" w:line="240" w:lineRule="auto"/>
        <w:ind w:left="360"/>
        <w:contextualSpacing w:val="0"/>
      </w:pPr>
      <w:r w:rsidRPr="008032DE">
        <w:rPr>
          <w:u w:val="single"/>
        </w:rPr>
        <w:t>The</w:t>
      </w:r>
      <w:r w:rsidR="00CA2B5C" w:rsidRPr="008032DE">
        <w:rPr>
          <w:u w:val="single"/>
        </w:rPr>
        <w:t xml:space="preserve"> problem is real, important, and politically salient</w:t>
      </w:r>
      <w:r w:rsidR="00CA2B5C">
        <w:t xml:space="preserve">. Kenya has a major national school meals ambition, and the team has identified a difficult gap inside that ambition: low-cost private, APBET-type, and informal schools in urban settlements are often outside the </w:t>
      </w:r>
      <w:r w:rsidR="00E83571">
        <w:t>public-school</w:t>
      </w:r>
      <w:r w:rsidR="00CA2B5C">
        <w:t xml:space="preserve"> meals </w:t>
      </w:r>
      <w:r w:rsidR="00E83571">
        <w:t>system yet</w:t>
      </w:r>
      <w:r w:rsidR="00CA2B5C">
        <w:t xml:space="preserve"> serve many poor children. The project is therefore addressing </w:t>
      </w:r>
      <w:r w:rsidR="00E83571">
        <w:t>real</w:t>
      </w:r>
      <w:r w:rsidR="00CA2B5C">
        <w:t xml:space="preserve"> equity, nutrition, and implementation </w:t>
      </w:r>
      <w:r w:rsidR="00E83571">
        <w:t>problems</w:t>
      </w:r>
      <w:r w:rsidR="00CA2B5C">
        <w:t xml:space="preserve"> rather than inventing a marginal innovation in search of a use case.</w:t>
      </w:r>
    </w:p>
    <w:p w14:paraId="26AE0922" w14:textId="5C1F5C84" w:rsidR="003142D0" w:rsidRDefault="00E83571" w:rsidP="00586B40">
      <w:pPr>
        <w:pStyle w:val="ListBullet"/>
        <w:numPr>
          <w:ilvl w:val="0"/>
          <w:numId w:val="10"/>
        </w:numPr>
        <w:spacing w:after="120" w:line="240" w:lineRule="auto"/>
        <w:ind w:left="360"/>
        <w:contextualSpacing w:val="0"/>
      </w:pPr>
      <w:r w:rsidRPr="008032DE">
        <w:rPr>
          <w:u w:val="single"/>
        </w:rPr>
        <w:t>T</w:t>
      </w:r>
      <w:r w:rsidR="00CA2B5C" w:rsidRPr="008032DE">
        <w:rPr>
          <w:u w:val="single"/>
        </w:rPr>
        <w:t xml:space="preserve">he team has a credible </w:t>
      </w:r>
      <w:proofErr w:type="gramStart"/>
      <w:r w:rsidR="00CA2B5C" w:rsidRPr="008032DE">
        <w:rPr>
          <w:u w:val="single"/>
        </w:rPr>
        <w:t>systems</w:t>
      </w:r>
      <w:proofErr w:type="gramEnd"/>
      <w:r w:rsidR="00CA2B5C" w:rsidRPr="008032DE">
        <w:rPr>
          <w:u w:val="single"/>
        </w:rPr>
        <w:t xml:space="preserve">-change </w:t>
      </w:r>
      <w:r w:rsidRPr="008032DE">
        <w:rPr>
          <w:u w:val="single"/>
        </w:rPr>
        <w:t>approach and instinct</w:t>
      </w:r>
      <w:r w:rsidR="00CA2B5C">
        <w:t>. The strongest feature is that it recognizes that school feeding in informal settlements cannot be solved by nutrition education alone, or by finding a few willing suppliers. The project brings together local business associations, community-organized groups, demand creation, food safety, procurement rules, school-level relationships, and policy engagement through the School Meals Coalition. That is the right level of analysis for a school meals system problem.</w:t>
      </w:r>
    </w:p>
    <w:p w14:paraId="7DA12F8B" w14:textId="25011988" w:rsidR="003142D0" w:rsidRDefault="00586B40" w:rsidP="00586B40">
      <w:pPr>
        <w:pStyle w:val="ListBullet"/>
        <w:numPr>
          <w:ilvl w:val="0"/>
          <w:numId w:val="10"/>
        </w:numPr>
        <w:spacing w:after="120" w:line="240" w:lineRule="auto"/>
        <w:ind w:left="360"/>
        <w:contextualSpacing w:val="0"/>
      </w:pPr>
      <w:r w:rsidRPr="008032DE">
        <w:rPr>
          <w:u w:val="single"/>
        </w:rPr>
        <w:t>T</w:t>
      </w:r>
      <w:r w:rsidR="00CA2B5C" w:rsidRPr="008032DE">
        <w:rPr>
          <w:u w:val="single"/>
        </w:rPr>
        <w:t xml:space="preserve">he discussion </w:t>
      </w:r>
      <w:r w:rsidRPr="008032DE">
        <w:rPr>
          <w:u w:val="single"/>
        </w:rPr>
        <w:t xml:space="preserve">with the project partners </w:t>
      </w:r>
      <w:r w:rsidR="00CA2B5C" w:rsidRPr="008032DE">
        <w:rPr>
          <w:u w:val="single"/>
        </w:rPr>
        <w:t>made clear that this is not yet a scaling solution in the normal S4I sense; it is a nascent proof-of-concept for one or more possible models</w:t>
      </w:r>
      <w:r w:rsidR="00CA2B5C">
        <w:t xml:space="preserve">. The project is trying to learn whether LBAs can become viable suppliers, whether parents will pay enough and consistently enough to sustain </w:t>
      </w:r>
      <w:r>
        <w:t xml:space="preserve">nutritious </w:t>
      </w:r>
      <w:r w:rsidR="00CA2B5C">
        <w:t xml:space="preserve">meals in low-cost schools, </w:t>
      </w:r>
      <w:r>
        <w:t xml:space="preserve">whether linkages between schools and LBAs will work, </w:t>
      </w:r>
      <w:r w:rsidR="00CA2B5C">
        <w:t>and whether county or national public systems could eventually absorb, adapt, or finance some version of the model.</w:t>
      </w:r>
    </w:p>
    <w:p w14:paraId="67C3C380" w14:textId="68223F11" w:rsidR="00586B40" w:rsidRDefault="00586B40" w:rsidP="00586B40">
      <w:pPr>
        <w:pStyle w:val="Heading2"/>
      </w:pPr>
      <w:r>
        <w:t>Main Concerns</w:t>
      </w:r>
    </w:p>
    <w:p w14:paraId="2BA9F1AA" w14:textId="3F27ECF2" w:rsidR="003142D0" w:rsidRDefault="00614087" w:rsidP="00586B40">
      <w:pPr>
        <w:pStyle w:val="ListBullet"/>
        <w:numPr>
          <w:ilvl w:val="0"/>
          <w:numId w:val="11"/>
        </w:numPr>
        <w:spacing w:after="120" w:line="264" w:lineRule="auto"/>
        <w:ind w:left="360"/>
        <w:contextualSpacing w:val="0"/>
      </w:pPr>
      <w:r w:rsidRPr="008032DE">
        <w:rPr>
          <w:u w:val="single"/>
        </w:rPr>
        <w:t>The</w:t>
      </w:r>
      <w:r w:rsidR="00CA2B5C" w:rsidRPr="008032DE">
        <w:rPr>
          <w:u w:val="single"/>
        </w:rPr>
        <w:t xml:space="preserve"> project should probably not have been funded as a Scaling for Impact solution in the first place, at least not on the merits of </w:t>
      </w:r>
      <w:r w:rsidR="008032DE">
        <w:rPr>
          <w:u w:val="single"/>
        </w:rPr>
        <w:t>most scalability criteria or measures of r</w:t>
      </w:r>
      <w:r w:rsidR="008032DE" w:rsidRPr="008032DE">
        <w:rPr>
          <w:u w:val="single"/>
        </w:rPr>
        <w:t>eadiness</w:t>
      </w:r>
      <w:r w:rsidR="008032DE" w:rsidRPr="008032DE">
        <w:rPr>
          <w:u w:val="single"/>
        </w:rPr>
        <w:t xml:space="preserve"> </w:t>
      </w:r>
      <w:r w:rsidR="008032DE">
        <w:rPr>
          <w:u w:val="single"/>
        </w:rPr>
        <w:t>to scale, regardless of what the results of its IPSR were</w:t>
      </w:r>
      <w:r w:rsidR="00CA2B5C">
        <w:t>. It is barely at proof-of-concept, and in several respects still closer to ideation and model exploration. It consists largely of activities, partner engagement, and plausible components rather than a validated integrated model. The outputs, outcomes, theory of change, success criteria, and scaling milestones are not clear enough for a serious transition-to-scale investment.</w:t>
      </w:r>
    </w:p>
    <w:p w14:paraId="7EF12CD0" w14:textId="4100D7BC" w:rsidR="00C35CAE" w:rsidRDefault="00586B40" w:rsidP="00614087">
      <w:pPr>
        <w:pStyle w:val="ListBullet"/>
        <w:numPr>
          <w:ilvl w:val="0"/>
          <w:numId w:val="11"/>
        </w:numPr>
        <w:spacing w:after="120" w:line="264" w:lineRule="auto"/>
        <w:ind w:left="360"/>
        <w:contextualSpacing w:val="0"/>
      </w:pPr>
      <w:r w:rsidRPr="00C35CAE">
        <w:rPr>
          <w:u w:val="single"/>
        </w:rPr>
        <w:lastRenderedPageBreak/>
        <w:t>T</w:t>
      </w:r>
      <w:r w:rsidR="00CA2B5C" w:rsidRPr="00C35CAE">
        <w:rPr>
          <w:u w:val="single"/>
        </w:rPr>
        <w:t>he project has no convincing evidence that the entire model works, and limited evidence that its core pieces work independently</w:t>
      </w:r>
      <w:r w:rsidR="00CA2B5C">
        <w:t>. The evidence base for school meals generally, home-grown school feeding, and Food4Education is only partially relevant. It does not prove that LBAs are viable suppliers, that parent-paid meals can be sustained in low-cost private schools, that demand creation changes payment behavior or nutrition behavior, or that the multi-stakeholder platform can become a durable coordination mechanism.</w:t>
      </w:r>
      <w:r w:rsidR="00C35CAE">
        <w:t xml:space="preserve"> </w:t>
      </w:r>
      <w:r w:rsidR="00C35CAE">
        <w:t>When asked for evidence, we received descriptions of base-line surveys which are not expected to be completed until the end of 2026.</w:t>
      </w:r>
    </w:p>
    <w:p w14:paraId="31A8DE80" w14:textId="2CF62531" w:rsidR="003142D0" w:rsidRDefault="00C35CAE" w:rsidP="00614087">
      <w:pPr>
        <w:pStyle w:val="ListBullet"/>
        <w:numPr>
          <w:ilvl w:val="0"/>
          <w:numId w:val="11"/>
        </w:numPr>
        <w:spacing w:after="120" w:line="264" w:lineRule="auto"/>
        <w:ind w:left="360"/>
        <w:contextualSpacing w:val="0"/>
      </w:pPr>
      <w:r>
        <w:rPr>
          <w:u w:val="single"/>
        </w:rPr>
        <w:t xml:space="preserve">The project has no clear results </w:t>
      </w:r>
      <w:proofErr w:type="gramStart"/>
      <w:r>
        <w:rPr>
          <w:u w:val="single"/>
        </w:rPr>
        <w:t>framework,  theory</w:t>
      </w:r>
      <w:proofErr w:type="gramEnd"/>
      <w:r>
        <w:rPr>
          <w:u w:val="single"/>
        </w:rPr>
        <w:t xml:space="preserve"> of change or clear scaling ambition</w:t>
      </w:r>
      <w:r w:rsidRPr="00C35CAE">
        <w:t>.</w:t>
      </w:r>
      <w:r>
        <w:t xml:space="preserve">  When asked to describe the model and its expected outputs, outcomes and impact, all three components listed activities. When asked for possible milestones to know whether proof-of -concept was achieved, there were none. When we asked what success would look like there was a reference to kids in informal schools receiving school meals, but when pressed no definition of how many times per month nor of how fully they complied with nutritional guidelines.</w:t>
      </w:r>
    </w:p>
    <w:p w14:paraId="366CA2E0" w14:textId="7FA45F58" w:rsidR="003142D0" w:rsidRDefault="00925D86" w:rsidP="00614087">
      <w:pPr>
        <w:pStyle w:val="ListBullet"/>
        <w:numPr>
          <w:ilvl w:val="0"/>
          <w:numId w:val="11"/>
        </w:numPr>
        <w:spacing w:after="120" w:line="264" w:lineRule="auto"/>
        <w:ind w:left="360"/>
        <w:contextualSpacing w:val="0"/>
      </w:pPr>
      <w:r w:rsidRPr="00C35CAE">
        <w:rPr>
          <w:u w:val="single"/>
        </w:rPr>
        <w:t>T</w:t>
      </w:r>
      <w:r w:rsidR="00CA2B5C" w:rsidRPr="00C35CAE">
        <w:rPr>
          <w:u w:val="single"/>
        </w:rPr>
        <w:t>he financing model is the</w:t>
      </w:r>
      <w:r w:rsidRPr="00C35CAE">
        <w:rPr>
          <w:u w:val="single"/>
        </w:rPr>
        <w:t xml:space="preserve"> major</w:t>
      </w:r>
      <w:r w:rsidR="00CA2B5C" w:rsidRPr="00C35CAE">
        <w:rPr>
          <w:u w:val="single"/>
        </w:rPr>
        <w:t xml:space="preserve"> binding constraint and has not been solved</w:t>
      </w:r>
      <w:r w:rsidR="00CA2B5C">
        <w:t xml:space="preserve">. The project is framed as a procurement and local sourcing innovation, but in poor urban </w:t>
      </w:r>
      <w:r w:rsidR="00C35CAE">
        <w:t>schools’</w:t>
      </w:r>
      <w:r w:rsidR="00CA2B5C">
        <w:t xml:space="preserve"> procurement cannot be separated from meal finance. In Nairobi public schools, a 30 KSh meal is viable because county government reportedly covers 25 KSh and parents pay 5 KSh. </w:t>
      </w:r>
      <w:r>
        <w:t xml:space="preserve">If that were translated into twenty meals per month, i.e. daily, that would be 600 </w:t>
      </w:r>
      <w:proofErr w:type="spellStart"/>
      <w:r>
        <w:t>KSh</w:t>
      </w:r>
      <w:proofErr w:type="spellEnd"/>
      <w:r>
        <w:t xml:space="preserve"> or roughly $5</w:t>
      </w:r>
      <w:r w:rsidR="00614087">
        <w:t xml:space="preserve">.  </w:t>
      </w:r>
      <w:r w:rsidR="00CA2B5C">
        <w:t>In the low-cost private and informal school model, the full cost appears to fall largely on parents unless another payer is identified</w:t>
      </w:r>
      <w:r>
        <w:t>, and these parents tend to be the poorest of the poor.  While there is no firm demographic evidence, the project team guestimates that household income may be as low as $100 a month</w:t>
      </w:r>
      <w:r w:rsidR="00614087">
        <w:t xml:space="preserve">; for a poor family or </w:t>
      </w:r>
      <w:proofErr w:type="gramStart"/>
      <w:r w:rsidR="00614087">
        <w:t>single-head</w:t>
      </w:r>
      <w:proofErr w:type="gramEnd"/>
      <w:r w:rsidR="00614087">
        <w:t xml:space="preserve"> of household paying five per cent of household income on one school meal for one child seems like a stretch at best</w:t>
      </w:r>
      <w:r w:rsidR="00CA2B5C">
        <w:t>. That makes willingness to pay, prepayment, non-payment risk, school contracting, and subsidy pathways the first-order proof points.</w:t>
      </w:r>
    </w:p>
    <w:p w14:paraId="00B14511" w14:textId="165A1C16" w:rsidR="003142D0" w:rsidRDefault="00614087" w:rsidP="008032DE">
      <w:pPr>
        <w:pStyle w:val="ListBullet"/>
        <w:numPr>
          <w:ilvl w:val="0"/>
          <w:numId w:val="11"/>
        </w:numPr>
        <w:spacing w:after="120" w:line="264" w:lineRule="auto"/>
        <w:ind w:left="360"/>
        <w:contextualSpacing w:val="0"/>
      </w:pPr>
      <w:r w:rsidRPr="00C35CAE">
        <w:rPr>
          <w:u w:val="single"/>
        </w:rPr>
        <w:t>The</w:t>
      </w:r>
      <w:r w:rsidR="00CA2B5C" w:rsidRPr="00C35CAE">
        <w:rPr>
          <w:u w:val="single"/>
        </w:rPr>
        <w:t xml:space="preserve"> project lacks an actor-driven scaling pathway</w:t>
      </w:r>
      <w:r w:rsidR="00CA2B5C">
        <w:t>. The documents and field discussion identify many actors - IFPRI, APHRC, Wasafiri, LBAs, COGs, schools, county government, MSEA, KEPSA, the School Meals Coalition, and Food4Education - but do not define who will own, finance, implement, coordinate, and politically support the model after IFPRI, APHRC, Wasafiri, S4I, and project funding step back.</w:t>
      </w:r>
      <w:r w:rsidR="008032DE">
        <w:t xml:space="preserve">  While there is something to be said for an organic, adaptive and iteration approach where LBAs, schools and parents figure it out for themselves with some support and facilitation, more structure and clarity on what works and what doesn’t is needed, and there are not enough data points (current target of only three LBAs) to generate many degrees of freedom.</w:t>
      </w:r>
    </w:p>
    <w:p w14:paraId="2BB360EA" w14:textId="19F43A3B" w:rsidR="003142D0" w:rsidRDefault="00CA2B5C" w:rsidP="008032DE">
      <w:pPr>
        <w:pStyle w:val="ListBullet"/>
        <w:numPr>
          <w:ilvl w:val="0"/>
          <w:numId w:val="11"/>
        </w:numPr>
        <w:spacing w:after="120" w:line="264" w:lineRule="auto"/>
        <w:ind w:left="360"/>
        <w:contextualSpacing w:val="0"/>
      </w:pPr>
      <w:r w:rsidRPr="00C35CAE">
        <w:rPr>
          <w:u w:val="single"/>
        </w:rPr>
        <w:t>IFPRI and its partners have not yet demonstrated that they know how to scale this model</w:t>
      </w:r>
      <w:r>
        <w:t>. IFPRI can study systems, produce evidence, and influence policy; those are real comparative advantages. But this project requires business-model design, operating discipline, school procurement, community payment systems, food safety compliance, enterprise development, public finance, and multi-actor implementation. The field discussion did not establish that IFPRI or the partnership has the implementation and scaling capability required beyond early proof-of-concept and perhaps policy engagement.</w:t>
      </w:r>
    </w:p>
    <w:p w14:paraId="492219BB" w14:textId="7233A4D7" w:rsidR="00C35CAE" w:rsidRDefault="00CA2B5C" w:rsidP="00C35CAE">
      <w:pPr>
        <w:pStyle w:val="Heading2"/>
      </w:pPr>
      <w:r>
        <w:t>Main recommendation</w:t>
      </w:r>
    </w:p>
    <w:p w14:paraId="1B99AC48" w14:textId="5FEAAE00" w:rsidR="003142D0" w:rsidRDefault="00CA2B5C" w:rsidP="00C35CAE">
      <w:pPr>
        <w:pStyle w:val="ListBullet"/>
        <w:numPr>
          <w:ilvl w:val="0"/>
          <w:numId w:val="0"/>
        </w:numPr>
        <w:spacing w:after="120" w:line="240" w:lineRule="auto"/>
      </w:pPr>
      <w:r>
        <w:t xml:space="preserve">S4I should not treat this as transition-to-scale. If funding continues, it should be reframed explicitly as structured proof-of-concept validation, not scaling. S4I should ask the project to validate two or </w:t>
      </w:r>
      <w:r>
        <w:lastRenderedPageBreak/>
        <w:t>three specific theories of change, convert activities into measurable proof points, and decide what will be dropped if evidence does not materialize. The next year should test whether any viable pathway exists, not attempt to demonstrate scale.</w:t>
      </w:r>
    </w:p>
    <w:p w14:paraId="0B059D4A" w14:textId="1084F444" w:rsidR="003C0DF1" w:rsidRDefault="00CA2B5C" w:rsidP="003C0DF1">
      <w:pPr>
        <w:pStyle w:val="Heading2"/>
      </w:pPr>
      <w:r>
        <w:t>Conclusion</w:t>
      </w:r>
      <w:r>
        <w:t xml:space="preserve"> </w:t>
      </w:r>
    </w:p>
    <w:p w14:paraId="7172F8C5" w14:textId="711C4911" w:rsidR="003142D0" w:rsidRDefault="003C0DF1" w:rsidP="003C0DF1">
      <w:r>
        <w:t>T</w:t>
      </w:r>
      <w:r w:rsidR="00CA2B5C">
        <w:t xml:space="preserve">he project is barely at proof-of-concept, not </w:t>
      </w:r>
      <w:r>
        <w:t xml:space="preserve">even </w:t>
      </w:r>
      <w:r w:rsidR="00CA2B5C">
        <w:t>transition-to-scale</w:t>
      </w:r>
      <w:r w:rsidR="00CA2B5C">
        <w:t xml:space="preserve">. It is an advanced pilot moving from ideation toward proof-of-concept validation. Continued funding should be conditional on a sharp theory of change, </w:t>
      </w:r>
      <w:r>
        <w:t xml:space="preserve">results framework, </w:t>
      </w:r>
      <w:r w:rsidR="00CA2B5C">
        <w:t>a proof-point dashboard</w:t>
      </w:r>
      <w:r>
        <w:t xml:space="preserve"> and milestones</w:t>
      </w:r>
      <w:r w:rsidR="00CA2B5C">
        <w:t>, explicit pathway tests</w:t>
      </w:r>
      <w:r>
        <w:t xml:space="preserve"> among different versions of the model</w:t>
      </w:r>
      <w:r w:rsidR="00CA2B5C">
        <w:t>, and a disciplined</w:t>
      </w:r>
      <w:r>
        <w:t>, evidence-based</w:t>
      </w:r>
      <w:r w:rsidR="00CA2B5C">
        <w:t xml:space="preserve"> decision about whether this is truly an S4I </w:t>
      </w:r>
      <w:r w:rsidRPr="003C0DF1">
        <w:rPr>
          <w:b/>
          <w:bCs/>
          <w:u w:val="single"/>
        </w:rPr>
        <w:t>scaling</w:t>
      </w:r>
      <w:r>
        <w:t xml:space="preserve"> </w:t>
      </w:r>
      <w:r w:rsidR="00CA2B5C">
        <w:t xml:space="preserve">investment or a </w:t>
      </w:r>
      <w:r w:rsidR="00CA2B5C">
        <w:t>convenient way to include IFPRI and nutrition in the S4I portfolio</w:t>
      </w:r>
      <w:r w:rsidRPr="003C0DF1">
        <w:t xml:space="preserve"> </w:t>
      </w:r>
      <w:r>
        <w:t xml:space="preserve">for internal CGIAR </w:t>
      </w:r>
      <w:r>
        <w:t>political</w:t>
      </w:r>
      <w:r>
        <w:t xml:space="preserve"> and strategic reasons</w:t>
      </w:r>
      <w:r w:rsidR="00CA2B5C">
        <w:t>.</w:t>
      </w:r>
    </w:p>
    <w:p w14:paraId="62BE7F02" w14:textId="77777777" w:rsidR="003142D0" w:rsidRDefault="00CA2B5C" w:rsidP="003C0DF1">
      <w:pPr>
        <w:pStyle w:val="Heading1"/>
      </w:pPr>
      <w:r>
        <w:t>The intervention and its components</w:t>
      </w:r>
    </w:p>
    <w:p w14:paraId="11F3E26C" w14:textId="77777777" w:rsidR="002F2E57" w:rsidRDefault="00CA2B5C" w:rsidP="008C7AD5">
      <w:r>
        <w:t>The Kenya School Meals Scaling Solution seeks to integrate micro and small enterprises and smallholder farmers into school meals programs in underserved urban poor areas, especially Nairobi informal settlements. The problem is real: many poor children attend low-cost private, APBET-type</w:t>
      </w:r>
      <w:r w:rsidR="003B48D9">
        <w:t xml:space="preserve"> (</w:t>
      </w:r>
      <w:r w:rsidR="003B48D9" w:rsidRPr="003B48D9">
        <w:t>Alternative Provision of Basic Education and Training</w:t>
      </w:r>
      <w:r w:rsidR="003B48D9">
        <w:t>)</w:t>
      </w:r>
      <w:r>
        <w:t xml:space="preserve">, or informal schools that are not well covered by public-school-centered school meals delivery. </w:t>
      </w:r>
      <w:r w:rsidR="006F0A4A" w:rsidRPr="006F0A4A">
        <w:t xml:space="preserve">APBET schools </w:t>
      </w:r>
      <w:r w:rsidR="006F0A4A">
        <w:t>almost always</w:t>
      </w:r>
      <w:r w:rsidR="006F0A4A" w:rsidRPr="006F0A4A">
        <w:t xml:space="preserve"> have</w:t>
      </w:r>
      <w:r w:rsidR="006F0A4A">
        <w:t xml:space="preserve"> </w:t>
      </w:r>
      <w:r w:rsidR="006F0A4A" w:rsidRPr="006F0A4A">
        <w:t>weaker finances</w:t>
      </w:r>
      <w:r w:rsidR="006F0A4A">
        <w:t xml:space="preserve">, </w:t>
      </w:r>
      <w:r w:rsidR="006F0A4A" w:rsidRPr="006F0A4A">
        <w:t xml:space="preserve">less predictable parental </w:t>
      </w:r>
      <w:proofErr w:type="gramStart"/>
      <w:r w:rsidR="006F0A4A" w:rsidRPr="006F0A4A">
        <w:t xml:space="preserve">payment </w:t>
      </w:r>
      <w:r w:rsidR="006F0A4A">
        <w:t>,</w:t>
      </w:r>
      <w:proofErr w:type="gramEnd"/>
      <w:r w:rsidR="006F0A4A">
        <w:t xml:space="preserve"> </w:t>
      </w:r>
      <w:r w:rsidR="006F0A4A" w:rsidRPr="006F0A4A">
        <w:t xml:space="preserve">less </w:t>
      </w:r>
      <w:r w:rsidR="006F0A4A">
        <w:t xml:space="preserve">or no </w:t>
      </w:r>
      <w:r w:rsidR="006F0A4A" w:rsidRPr="006F0A4A">
        <w:t>government funding</w:t>
      </w:r>
      <w:r w:rsidR="006F0A4A">
        <w:t xml:space="preserve">, </w:t>
      </w:r>
      <w:r w:rsidR="006F0A4A" w:rsidRPr="006F0A4A">
        <w:t xml:space="preserve">smaller administrative capacity </w:t>
      </w:r>
      <w:r w:rsidR="006F0A4A">
        <w:t xml:space="preserve">(often owned and run by a single owner/headmaster/headmistress with a handful of teachers), and </w:t>
      </w:r>
      <w:r w:rsidR="006F0A4A" w:rsidRPr="006F0A4A">
        <w:t>greater vulnerability to enrollment fluctuations</w:t>
      </w:r>
      <w:r w:rsidR="006F0A4A">
        <w:t xml:space="preserve"> and therefore financing.  </w:t>
      </w:r>
    </w:p>
    <w:p w14:paraId="5952AD9F" w14:textId="09FFE175" w:rsidR="008C7AD5" w:rsidRPr="00A71D97" w:rsidRDefault="002F2E57" w:rsidP="00A71D97">
      <w:proofErr w:type="gramStart"/>
      <w:r w:rsidRPr="00A71D97">
        <w:t>However</w:t>
      </w:r>
      <w:proofErr w:type="gramEnd"/>
      <w:r w:rsidRPr="00A71D97">
        <w:t xml:space="preserve"> relying on APBET as a foundational pillar of this model is risky and an unexamined and untested assumption of the project. They are subject to multiple relevant risks: parent payment risk, enrollment volatility, school closure risk, school ownership turnover or closure, contract enforcement problems and meal volume fluctuations.  Given the Kenyan economic environment and history in general, a school owner running off with school and/or meal funds is far from inconceivable. </w:t>
      </w:r>
      <w:r w:rsidR="00D667FB" w:rsidRPr="00A71D97">
        <w:footnoteReference w:id="1"/>
      </w:r>
      <w:r w:rsidR="006F0A4A" w:rsidRPr="00A71D97">
        <w:t xml:space="preserve"> </w:t>
      </w:r>
      <w:r w:rsidR="008C7AD5" w:rsidRPr="00A71D97">
        <w:t>If an APBET school disappears, merges, changes ownership, changes enrollment dramatically, or struggles to collect fees, what happens to the school meals model? The school meals project seems to assume that the school is a stable institutional customer. But in many informal settlement environments the school itself may be a relatively fragile enterprise.</w:t>
      </w:r>
      <w:r w:rsidR="00A71D97" w:rsidRPr="00A71D97">
        <w:t xml:space="preserve"> The </w:t>
      </w:r>
      <w:r w:rsidR="00A71D97" w:rsidRPr="00A71D97">
        <w:t>project is treating</w:t>
      </w:r>
      <w:r w:rsidR="00A71D97" w:rsidRPr="00A71D97">
        <w:t xml:space="preserve"> </w:t>
      </w:r>
      <w:r w:rsidR="00A71D97" w:rsidRPr="00A71D97">
        <w:t>LBA</w:t>
      </w:r>
      <w:r w:rsidR="00A71D97" w:rsidRPr="00A71D97">
        <w:t xml:space="preserve"> viability and succes</w:t>
      </w:r>
      <w:r w:rsidR="00A71D97" w:rsidRPr="00A71D97">
        <w:t>s as uncertain,</w:t>
      </w:r>
      <w:r w:rsidR="00A71D97" w:rsidRPr="00A71D97">
        <w:t xml:space="preserve"> </w:t>
      </w:r>
      <w:r w:rsidR="00A71D97" w:rsidRPr="00A71D97">
        <w:t xml:space="preserve">parent demand </w:t>
      </w:r>
      <w:r w:rsidR="00A71D97" w:rsidRPr="00A71D97">
        <w:t xml:space="preserve">and ability/willingness to pay </w:t>
      </w:r>
      <w:r w:rsidR="00A71D97" w:rsidRPr="00A71D97">
        <w:t>as uncertain,</w:t>
      </w:r>
      <w:r w:rsidR="00A71D97" w:rsidRPr="00A71D97">
        <w:t xml:space="preserve"> and </w:t>
      </w:r>
      <w:r w:rsidR="00A71D97" w:rsidRPr="00A71D97">
        <w:t xml:space="preserve">financing </w:t>
      </w:r>
      <w:r w:rsidR="00A71D97" w:rsidRPr="00A71D97">
        <w:t xml:space="preserve">generally </w:t>
      </w:r>
      <w:r w:rsidR="00A71D97" w:rsidRPr="00A71D97">
        <w:t>as uncertain</w:t>
      </w:r>
      <w:r w:rsidR="00A71D97" w:rsidRPr="00A71D97">
        <w:t>.  It is not clear if it is</w:t>
      </w:r>
      <w:r w:rsidR="00A71D97" w:rsidRPr="00A71D97">
        <w:t xml:space="preserve"> treating the school itself as an uncertain institution</w:t>
      </w:r>
      <w:r w:rsidR="00A71D97" w:rsidRPr="00A71D97">
        <w:t>.</w:t>
      </w:r>
    </w:p>
    <w:p w14:paraId="411B6570" w14:textId="3AC16420" w:rsidR="003142D0" w:rsidRDefault="00CA2B5C">
      <w:pPr>
        <w:spacing w:after="240" w:line="264" w:lineRule="auto"/>
      </w:pPr>
      <w:r>
        <w:lastRenderedPageBreak/>
        <w:t>T</w:t>
      </w:r>
      <w:r>
        <w:t>he policy context is also real: Kenya has an ambitious national school meals agenda</w:t>
      </w:r>
      <w:r w:rsidR="00A71D97">
        <w:t xml:space="preserve"> – 10 million students receiving school meals</w:t>
      </w:r>
      <w:r>
        <w:t xml:space="preserve">, and Nairobi County has demonstrated that school feeding can be politically salient and operationally significant when there is public finance behind it. </w:t>
      </w:r>
      <w:proofErr w:type="gramStart"/>
      <w:r w:rsidR="00A71D97">
        <w:t>However</w:t>
      </w:r>
      <w:proofErr w:type="gramEnd"/>
      <w:r w:rsidR="00A71D97">
        <w:t xml:space="preserve"> the national target of 10 million has only hit 20% in nearly eight years.  Policy goals and ambitions</w:t>
      </w:r>
      <w:r>
        <w:t xml:space="preserve"> do not make this project a scaling </w:t>
      </w:r>
      <w:r w:rsidR="00A71D97">
        <w:t>solution, especially when it has not been accompanied by clear budgetary commitments; t</w:t>
      </w:r>
      <w:r>
        <w:t xml:space="preserve">hey create an opportunity space. The project still </w:t>
      </w:r>
      <w:proofErr w:type="gramStart"/>
      <w:r>
        <w:t>has to</w:t>
      </w:r>
      <w:proofErr w:type="gramEnd"/>
      <w:r>
        <w:t xml:space="preserve"> prove that its specific model can work</w:t>
      </w:r>
      <w:r w:rsidR="00A71D97">
        <w:t xml:space="preserve"> in terms of delivery, financing, coordination and sustainability</w:t>
      </w:r>
      <w:r>
        <w:t>.</w:t>
      </w:r>
    </w:p>
    <w:p w14:paraId="530F613D" w14:textId="6D01FF52" w:rsidR="003142D0" w:rsidRDefault="00CA2B5C">
      <w:pPr>
        <w:spacing w:after="240" w:line="264" w:lineRule="auto"/>
      </w:pPr>
      <w:r>
        <w:t xml:space="preserve">The core proposition is difficult to pin down because the project is </w:t>
      </w:r>
      <w:r w:rsidR="00F26717">
        <w:t xml:space="preserve">a systems approach, which is a good thing, and </w:t>
      </w:r>
      <w:r>
        <w:t xml:space="preserve">not scaling a single technology, product, delivery mechanism, or institutional model. </w:t>
      </w:r>
      <w:r w:rsidR="00A71D97">
        <w:t>However,</w:t>
      </w:r>
      <w:r w:rsidR="00F26717">
        <w:t xml:space="preserve"> the systems approach </w:t>
      </w:r>
      <w:r>
        <w:t xml:space="preserve">appears to contain at least </w:t>
      </w:r>
      <w:r w:rsidR="006A04FA">
        <w:t>two</w:t>
      </w:r>
      <w:r>
        <w:t xml:space="preserve"> possible </w:t>
      </w:r>
      <w:r w:rsidR="00F26717">
        <w:t xml:space="preserve">delivery </w:t>
      </w:r>
      <w:r>
        <w:t>models</w:t>
      </w:r>
      <w:r w:rsidR="006A04FA">
        <w:t xml:space="preserve"> and two financing models </w:t>
      </w:r>
      <w:r w:rsidR="007830F8">
        <w:t>plus several blended permutations</w:t>
      </w:r>
      <w:r>
        <w:t xml:space="preserve">. The first </w:t>
      </w:r>
      <w:r w:rsidR="006A04FA">
        <w:t>delivery model</w:t>
      </w:r>
      <w:r w:rsidR="006A04FA">
        <w:t xml:space="preserve"> </w:t>
      </w:r>
      <w:r>
        <w:t xml:space="preserve">is an LBA-led micro-kitchen model in which local business associations or their members prepare meals for schools. The second </w:t>
      </w:r>
      <w:r w:rsidR="006A04FA">
        <w:t>delivery model</w:t>
      </w:r>
      <w:r w:rsidR="006A04FA">
        <w:t xml:space="preserve"> </w:t>
      </w:r>
      <w:r>
        <w:t xml:space="preserve">is an LBA-as-commodity-supplier model in which local enterprises and producers supply ingredients to schools, caterers, or larger school feeding operators. The </w:t>
      </w:r>
      <w:r w:rsidR="006A04FA">
        <w:t xml:space="preserve">first financing model is </w:t>
      </w:r>
      <w:proofErr w:type="gramStart"/>
      <w:r w:rsidR="006A04FA">
        <w:t>parents</w:t>
      </w:r>
      <w:proofErr w:type="gramEnd"/>
      <w:r w:rsidR="006A04FA">
        <w:t xml:space="preserve"> pay.  The second financing model</w:t>
      </w:r>
      <w:r>
        <w:t xml:space="preserve"> is a policy and public-finance model in which evidence, advocacy, and convening lead government, </w:t>
      </w:r>
      <w:r>
        <w:t xml:space="preserve">or school meals platforms to finance or institutionalize some version of local procurement for informal settlement schools. </w:t>
      </w:r>
      <w:r w:rsidR="00D5724E">
        <w:t xml:space="preserve">Both the delivery and financing models could be blended, and additional blended financing could come from large or small business CSR, local or international foundations and charities. </w:t>
      </w:r>
      <w:proofErr w:type="gramStart"/>
      <w:r w:rsidR="00D5724E">
        <w:t>Thus</w:t>
      </w:r>
      <w:proofErr w:type="gramEnd"/>
      <w:r w:rsidR="00D5724E">
        <w:t xml:space="preserve"> at least twelve variations. </w:t>
      </w:r>
      <w:r>
        <w:t xml:space="preserve">These are not minor variants of one model. They have different economics, owners, risk profiles, evidence needs, </w:t>
      </w:r>
      <w:r w:rsidR="00D5724E">
        <w:t xml:space="preserve">coordination needs, sustainability challenges </w:t>
      </w:r>
      <w:r>
        <w:t>and scaling pathways.</w:t>
      </w:r>
    </w:p>
    <w:tbl>
      <w:tblPr>
        <w:tblStyle w:val="TableGrid"/>
        <w:tblW w:w="0" w:type="auto"/>
        <w:tblLook w:val="04A0" w:firstRow="1" w:lastRow="0" w:firstColumn="1" w:lastColumn="0" w:noHBand="0" w:noVBand="1"/>
      </w:tblPr>
      <w:tblGrid>
        <w:gridCol w:w="2988"/>
        <w:gridCol w:w="1564"/>
        <w:gridCol w:w="1564"/>
        <w:gridCol w:w="1564"/>
        <w:gridCol w:w="1565"/>
      </w:tblGrid>
      <w:tr w:rsidR="003505D6" w14:paraId="0602519C" w14:textId="77777777" w:rsidTr="003505D6">
        <w:tc>
          <w:tcPr>
            <w:tcW w:w="2988" w:type="dxa"/>
          </w:tcPr>
          <w:p w14:paraId="54E733DA" w14:textId="77777777" w:rsidR="003505D6" w:rsidRPr="003505D6" w:rsidRDefault="003505D6" w:rsidP="003505D6">
            <w:pPr>
              <w:pStyle w:val="NoSpacing"/>
              <w:jc w:val="right"/>
              <w:rPr>
                <w:b/>
                <w:bCs/>
                <w:sz w:val="24"/>
                <w:szCs w:val="24"/>
              </w:rPr>
            </w:pPr>
            <w:r w:rsidRPr="003505D6">
              <w:rPr>
                <w:b/>
                <w:bCs/>
                <w:sz w:val="24"/>
                <w:szCs w:val="24"/>
              </w:rPr>
              <w:t>Financing</w:t>
            </w:r>
          </w:p>
          <w:p w14:paraId="2358F463" w14:textId="6DB6358B" w:rsidR="003505D6" w:rsidRDefault="003505D6" w:rsidP="003505D6">
            <w:pPr>
              <w:pStyle w:val="NoSpacing"/>
            </w:pPr>
            <w:r w:rsidRPr="003505D6">
              <w:rPr>
                <w:b/>
                <w:bCs/>
                <w:sz w:val="24"/>
                <w:szCs w:val="24"/>
              </w:rPr>
              <w:t>Delivery</w:t>
            </w:r>
          </w:p>
        </w:tc>
        <w:tc>
          <w:tcPr>
            <w:tcW w:w="1564" w:type="dxa"/>
            <w:vAlign w:val="bottom"/>
          </w:tcPr>
          <w:p w14:paraId="26A43E3A" w14:textId="1C442C88" w:rsidR="003505D6" w:rsidRPr="00D5724E" w:rsidRDefault="003505D6" w:rsidP="003505D6">
            <w:pPr>
              <w:pStyle w:val="NoSpacing"/>
              <w:jc w:val="center"/>
              <w:rPr>
                <w:b/>
                <w:bCs/>
                <w:i/>
                <w:iCs/>
                <w:sz w:val="20"/>
                <w:szCs w:val="20"/>
              </w:rPr>
            </w:pPr>
            <w:r w:rsidRPr="00D5724E">
              <w:rPr>
                <w:b/>
                <w:bCs/>
                <w:i/>
                <w:iCs/>
                <w:sz w:val="20"/>
                <w:szCs w:val="20"/>
              </w:rPr>
              <w:t>Parents Pay 100%</w:t>
            </w:r>
          </w:p>
        </w:tc>
        <w:tc>
          <w:tcPr>
            <w:tcW w:w="1564" w:type="dxa"/>
            <w:vAlign w:val="bottom"/>
          </w:tcPr>
          <w:p w14:paraId="05F3FCC2" w14:textId="0F89823D" w:rsidR="003505D6" w:rsidRPr="00D5724E" w:rsidRDefault="003505D6" w:rsidP="003505D6">
            <w:pPr>
              <w:pStyle w:val="NoSpacing"/>
              <w:jc w:val="center"/>
              <w:rPr>
                <w:b/>
                <w:bCs/>
                <w:i/>
                <w:iCs/>
                <w:sz w:val="20"/>
                <w:szCs w:val="20"/>
              </w:rPr>
            </w:pPr>
            <w:r w:rsidRPr="00D5724E">
              <w:rPr>
                <w:b/>
                <w:bCs/>
                <w:i/>
                <w:iCs/>
                <w:sz w:val="20"/>
                <w:szCs w:val="20"/>
              </w:rPr>
              <w:t>County Govt. Pays 100%</w:t>
            </w:r>
          </w:p>
        </w:tc>
        <w:tc>
          <w:tcPr>
            <w:tcW w:w="1564" w:type="dxa"/>
            <w:vAlign w:val="bottom"/>
          </w:tcPr>
          <w:p w14:paraId="7C344F1A" w14:textId="5DEA1C7E" w:rsidR="003505D6" w:rsidRPr="00D5724E" w:rsidRDefault="003505D6" w:rsidP="003505D6">
            <w:pPr>
              <w:pStyle w:val="NoSpacing"/>
              <w:jc w:val="center"/>
              <w:rPr>
                <w:b/>
                <w:bCs/>
                <w:i/>
                <w:iCs/>
                <w:sz w:val="20"/>
                <w:szCs w:val="20"/>
              </w:rPr>
            </w:pPr>
            <w:r w:rsidRPr="00D5724E">
              <w:rPr>
                <w:b/>
                <w:bCs/>
                <w:i/>
                <w:iCs/>
                <w:sz w:val="20"/>
                <w:szCs w:val="20"/>
              </w:rPr>
              <w:t xml:space="preserve">Blended </w:t>
            </w:r>
            <w:r w:rsidR="00D5724E" w:rsidRPr="00D5724E">
              <w:rPr>
                <w:b/>
                <w:bCs/>
                <w:i/>
                <w:iCs/>
                <w:sz w:val="20"/>
                <w:szCs w:val="20"/>
              </w:rPr>
              <w:t xml:space="preserve">Parent-Govt. </w:t>
            </w:r>
          </w:p>
        </w:tc>
        <w:tc>
          <w:tcPr>
            <w:tcW w:w="1565" w:type="dxa"/>
            <w:vAlign w:val="bottom"/>
          </w:tcPr>
          <w:p w14:paraId="7DCB9439" w14:textId="7CEC9D4F" w:rsidR="003505D6" w:rsidRPr="00D5724E" w:rsidRDefault="00D5724E" w:rsidP="003505D6">
            <w:pPr>
              <w:pStyle w:val="NoSpacing"/>
              <w:jc w:val="center"/>
              <w:rPr>
                <w:b/>
                <w:bCs/>
                <w:i/>
                <w:iCs/>
                <w:sz w:val="20"/>
                <w:szCs w:val="20"/>
              </w:rPr>
            </w:pPr>
            <w:r w:rsidRPr="00D5724E">
              <w:rPr>
                <w:b/>
                <w:bCs/>
                <w:i/>
                <w:iCs/>
                <w:sz w:val="20"/>
                <w:szCs w:val="20"/>
              </w:rPr>
              <w:t>Blended with CSR/local charities</w:t>
            </w:r>
          </w:p>
        </w:tc>
      </w:tr>
      <w:tr w:rsidR="003505D6" w14:paraId="64885577" w14:textId="77777777" w:rsidTr="003505D6">
        <w:tc>
          <w:tcPr>
            <w:tcW w:w="2988" w:type="dxa"/>
          </w:tcPr>
          <w:p w14:paraId="22018DBD" w14:textId="4FF6FF2F" w:rsidR="003505D6" w:rsidRPr="003505D6" w:rsidRDefault="003505D6" w:rsidP="003505D6">
            <w:pPr>
              <w:pStyle w:val="NoSpacing"/>
              <w:rPr>
                <w:b/>
                <w:bCs/>
                <w:i/>
                <w:iCs/>
                <w:sz w:val="20"/>
                <w:szCs w:val="20"/>
              </w:rPr>
            </w:pPr>
            <w:r w:rsidRPr="003505D6">
              <w:rPr>
                <w:b/>
                <w:bCs/>
                <w:i/>
                <w:iCs/>
                <w:sz w:val="20"/>
                <w:szCs w:val="20"/>
              </w:rPr>
              <w:t>Small Business LBAs</w:t>
            </w:r>
          </w:p>
        </w:tc>
        <w:tc>
          <w:tcPr>
            <w:tcW w:w="1564" w:type="dxa"/>
            <w:vAlign w:val="bottom"/>
          </w:tcPr>
          <w:p w14:paraId="30A74AC0" w14:textId="77777777" w:rsidR="003505D6" w:rsidRDefault="003505D6" w:rsidP="003505D6">
            <w:pPr>
              <w:pStyle w:val="NoSpacing"/>
              <w:jc w:val="center"/>
            </w:pPr>
          </w:p>
        </w:tc>
        <w:tc>
          <w:tcPr>
            <w:tcW w:w="1564" w:type="dxa"/>
            <w:vAlign w:val="bottom"/>
          </w:tcPr>
          <w:p w14:paraId="1CEB7F58" w14:textId="77777777" w:rsidR="003505D6" w:rsidRDefault="003505D6" w:rsidP="003505D6">
            <w:pPr>
              <w:pStyle w:val="NoSpacing"/>
              <w:jc w:val="center"/>
            </w:pPr>
          </w:p>
        </w:tc>
        <w:tc>
          <w:tcPr>
            <w:tcW w:w="1564" w:type="dxa"/>
            <w:vAlign w:val="bottom"/>
          </w:tcPr>
          <w:p w14:paraId="11811369" w14:textId="77777777" w:rsidR="003505D6" w:rsidRDefault="003505D6" w:rsidP="003505D6">
            <w:pPr>
              <w:pStyle w:val="NoSpacing"/>
              <w:jc w:val="center"/>
            </w:pPr>
          </w:p>
        </w:tc>
        <w:tc>
          <w:tcPr>
            <w:tcW w:w="1565" w:type="dxa"/>
            <w:vAlign w:val="bottom"/>
          </w:tcPr>
          <w:p w14:paraId="1FD25EB7" w14:textId="77777777" w:rsidR="003505D6" w:rsidRDefault="003505D6" w:rsidP="003505D6">
            <w:pPr>
              <w:pStyle w:val="NoSpacing"/>
              <w:jc w:val="center"/>
            </w:pPr>
          </w:p>
        </w:tc>
      </w:tr>
      <w:tr w:rsidR="003505D6" w14:paraId="50094D25" w14:textId="77777777" w:rsidTr="003505D6">
        <w:tc>
          <w:tcPr>
            <w:tcW w:w="2988" w:type="dxa"/>
          </w:tcPr>
          <w:p w14:paraId="5D439EE7" w14:textId="7A095DE3" w:rsidR="003505D6" w:rsidRPr="003505D6" w:rsidRDefault="003505D6" w:rsidP="003505D6">
            <w:pPr>
              <w:pStyle w:val="NoSpacing"/>
              <w:rPr>
                <w:b/>
                <w:bCs/>
                <w:i/>
                <w:iCs/>
                <w:sz w:val="20"/>
                <w:szCs w:val="20"/>
              </w:rPr>
            </w:pPr>
            <w:r w:rsidRPr="003505D6">
              <w:rPr>
                <w:b/>
                <w:bCs/>
                <w:i/>
                <w:iCs/>
                <w:sz w:val="20"/>
                <w:szCs w:val="20"/>
              </w:rPr>
              <w:t>Small Farmer LBAs</w:t>
            </w:r>
          </w:p>
        </w:tc>
        <w:tc>
          <w:tcPr>
            <w:tcW w:w="1564" w:type="dxa"/>
            <w:vAlign w:val="bottom"/>
          </w:tcPr>
          <w:p w14:paraId="0633FA9C" w14:textId="77777777" w:rsidR="003505D6" w:rsidRDefault="003505D6" w:rsidP="003505D6">
            <w:pPr>
              <w:pStyle w:val="NoSpacing"/>
              <w:jc w:val="center"/>
            </w:pPr>
          </w:p>
        </w:tc>
        <w:tc>
          <w:tcPr>
            <w:tcW w:w="1564" w:type="dxa"/>
            <w:vAlign w:val="bottom"/>
          </w:tcPr>
          <w:p w14:paraId="1321DB5C" w14:textId="77777777" w:rsidR="003505D6" w:rsidRDefault="003505D6" w:rsidP="003505D6">
            <w:pPr>
              <w:pStyle w:val="NoSpacing"/>
              <w:jc w:val="center"/>
            </w:pPr>
          </w:p>
        </w:tc>
        <w:tc>
          <w:tcPr>
            <w:tcW w:w="1564" w:type="dxa"/>
            <w:vAlign w:val="bottom"/>
          </w:tcPr>
          <w:p w14:paraId="14E9241A" w14:textId="77777777" w:rsidR="003505D6" w:rsidRDefault="003505D6" w:rsidP="003505D6">
            <w:pPr>
              <w:pStyle w:val="NoSpacing"/>
              <w:jc w:val="center"/>
            </w:pPr>
          </w:p>
        </w:tc>
        <w:tc>
          <w:tcPr>
            <w:tcW w:w="1565" w:type="dxa"/>
            <w:vAlign w:val="bottom"/>
          </w:tcPr>
          <w:p w14:paraId="4F1ABE74" w14:textId="77777777" w:rsidR="003505D6" w:rsidRDefault="003505D6" w:rsidP="003505D6">
            <w:pPr>
              <w:pStyle w:val="NoSpacing"/>
              <w:jc w:val="center"/>
            </w:pPr>
          </w:p>
        </w:tc>
      </w:tr>
      <w:tr w:rsidR="003505D6" w14:paraId="70D140C5" w14:textId="77777777" w:rsidTr="003505D6">
        <w:tc>
          <w:tcPr>
            <w:tcW w:w="2988" w:type="dxa"/>
          </w:tcPr>
          <w:p w14:paraId="0FE15897" w14:textId="75E4ABFD" w:rsidR="003505D6" w:rsidRPr="003505D6" w:rsidRDefault="003505D6" w:rsidP="003505D6">
            <w:pPr>
              <w:pStyle w:val="NoSpacing"/>
              <w:rPr>
                <w:b/>
                <w:bCs/>
                <w:i/>
                <w:iCs/>
                <w:sz w:val="20"/>
                <w:szCs w:val="20"/>
              </w:rPr>
            </w:pPr>
            <w:r w:rsidRPr="003505D6">
              <w:rPr>
                <w:b/>
                <w:bCs/>
                <w:i/>
                <w:iCs/>
                <w:sz w:val="20"/>
                <w:szCs w:val="20"/>
              </w:rPr>
              <w:t>Blended LBAs</w:t>
            </w:r>
          </w:p>
        </w:tc>
        <w:tc>
          <w:tcPr>
            <w:tcW w:w="1564" w:type="dxa"/>
            <w:vAlign w:val="bottom"/>
          </w:tcPr>
          <w:p w14:paraId="53104BA8" w14:textId="77777777" w:rsidR="003505D6" w:rsidRDefault="003505D6" w:rsidP="003505D6">
            <w:pPr>
              <w:pStyle w:val="NoSpacing"/>
              <w:jc w:val="center"/>
            </w:pPr>
          </w:p>
        </w:tc>
        <w:tc>
          <w:tcPr>
            <w:tcW w:w="1564" w:type="dxa"/>
            <w:vAlign w:val="bottom"/>
          </w:tcPr>
          <w:p w14:paraId="33334BB7" w14:textId="77777777" w:rsidR="003505D6" w:rsidRDefault="003505D6" w:rsidP="003505D6">
            <w:pPr>
              <w:pStyle w:val="NoSpacing"/>
              <w:jc w:val="center"/>
            </w:pPr>
          </w:p>
        </w:tc>
        <w:tc>
          <w:tcPr>
            <w:tcW w:w="1564" w:type="dxa"/>
            <w:vAlign w:val="bottom"/>
          </w:tcPr>
          <w:p w14:paraId="51EC8398" w14:textId="77777777" w:rsidR="003505D6" w:rsidRDefault="003505D6" w:rsidP="003505D6">
            <w:pPr>
              <w:pStyle w:val="NoSpacing"/>
              <w:jc w:val="center"/>
            </w:pPr>
          </w:p>
        </w:tc>
        <w:tc>
          <w:tcPr>
            <w:tcW w:w="1565" w:type="dxa"/>
            <w:vAlign w:val="bottom"/>
          </w:tcPr>
          <w:p w14:paraId="79814F6F" w14:textId="77777777" w:rsidR="003505D6" w:rsidRDefault="003505D6" w:rsidP="003505D6">
            <w:pPr>
              <w:pStyle w:val="NoSpacing"/>
              <w:jc w:val="center"/>
            </w:pPr>
          </w:p>
        </w:tc>
      </w:tr>
    </w:tbl>
    <w:p w14:paraId="10123C0D" w14:textId="1DE17BD1" w:rsidR="003142D0" w:rsidRDefault="00CA2B5C" w:rsidP="007830F8">
      <w:pPr>
        <w:spacing w:before="240" w:after="240" w:line="264" w:lineRule="auto"/>
      </w:pPr>
      <w:r>
        <w:t xml:space="preserve">This matters because the current project still reads too much like a bundle of activities rather than a structured test of alternative </w:t>
      </w:r>
      <w:r w:rsidR="007830F8">
        <w:t xml:space="preserve">permutations and </w:t>
      </w:r>
      <w:r>
        <w:t xml:space="preserve">pathways. On the supply side, </w:t>
      </w:r>
      <w:proofErr w:type="spellStart"/>
      <w:r>
        <w:t>Wasafiri</w:t>
      </w:r>
      <w:proofErr w:type="spellEnd"/>
      <w:r>
        <w:t xml:space="preserve"> supports LBAs through registration, governance, business planning, compliance, pitching, and links to business-support systems. On the demand side, APHRC supports community-organized groups, parent engagement, cooking demonstrations, school and community dialogues, and nutrition messaging. IFPRI provides evidence, framing, learning, and policy engagement. The School Meals Coalition and related national platforms provide policy visibility. All of these are potentially u</w:t>
      </w:r>
      <w:r>
        <w:t xml:space="preserve">seful, but their connection to a specific validated theory of change </w:t>
      </w:r>
      <w:r w:rsidR="00BD7B5C">
        <w:t xml:space="preserve">or specific version of the model is at best </w:t>
      </w:r>
      <w:r>
        <w:t>weak</w:t>
      </w:r>
      <w:r w:rsidR="00BD7B5C">
        <w:t xml:space="preserve"> if not non-existent</w:t>
      </w:r>
      <w:r>
        <w:t xml:space="preserve">. </w:t>
      </w:r>
      <w:r>
        <w:t>Activity coherence is not the same as scaling readiness</w:t>
      </w:r>
      <w:r w:rsidR="0070151A">
        <w:t xml:space="preserve">, and there is no clear relationship between all the model </w:t>
      </w:r>
      <w:r w:rsidR="00CE52AC">
        <w:t>versions</w:t>
      </w:r>
      <w:r w:rsidR="0070151A">
        <w:t>, permutations and milestones, proof points, a results framework or theory of change and therefore evidence collection</w:t>
      </w:r>
      <w:r>
        <w:t>.</w:t>
      </w:r>
    </w:p>
    <w:p w14:paraId="38280F9A" w14:textId="6DA3CE34" w:rsidR="00CE52AC" w:rsidRPr="00CE52AC" w:rsidRDefault="00CA2B5C" w:rsidP="00CE52AC">
      <w:pPr>
        <w:spacing w:after="240" w:line="264" w:lineRule="auto"/>
      </w:pPr>
      <w:r>
        <w:t xml:space="preserve">The field discussion made clear that the project team itself sees the work as nascent. That is an important admission and </w:t>
      </w:r>
      <w:r w:rsidR="0070151A">
        <w:t xml:space="preserve">while </w:t>
      </w:r>
      <w:r w:rsidR="003B48D9">
        <w:t>their</w:t>
      </w:r>
      <w:r w:rsidR="0070151A">
        <w:t xml:space="preserve"> honesty is appreciated, their self-characterization </w:t>
      </w:r>
      <w:r>
        <w:t xml:space="preserve">should be taken seriously. </w:t>
      </w:r>
      <w:r w:rsidR="00CE52AC">
        <w:t>The Cambridge dictionary definition is: “</w:t>
      </w:r>
      <w:r w:rsidR="00CE52AC" w:rsidRPr="00CE52AC">
        <w:t xml:space="preserve">The word </w:t>
      </w:r>
      <w:r w:rsidR="00CE52AC" w:rsidRPr="00CE52AC">
        <w:rPr>
          <w:b/>
          <w:bCs/>
        </w:rPr>
        <w:t>nascent</w:t>
      </w:r>
      <w:r w:rsidR="00CE52AC" w:rsidRPr="00CE52AC">
        <w:t xml:space="preserve"> is an adjective that means </w:t>
      </w:r>
      <w:r w:rsidR="00CE52AC">
        <w:t>‘</w:t>
      </w:r>
      <w:r w:rsidR="00CE52AC" w:rsidRPr="00CE52AC">
        <w:t>just coming into existence and beginning to develop.</w:t>
      </w:r>
      <w:r w:rsidR="00CE52AC">
        <w:t>’</w:t>
      </w:r>
      <w:r w:rsidR="00CE52AC" w:rsidRPr="00CE52AC">
        <w:t xml:space="preserve"> It describes things (like ideas, industries, or technologies) that are in their earliest stages but show potential for future growth. </w:t>
      </w:r>
      <w:r w:rsidR="00CE52AC" w:rsidRPr="00CE52AC">
        <w:lastRenderedPageBreak/>
        <w:t xml:space="preserve">General Use: Recently formed or started; in the very first stages of development (e.g., </w:t>
      </w:r>
      <w:r w:rsidR="00CE52AC" w:rsidRPr="00CE52AC">
        <w:rPr>
          <w:i/>
          <w:iCs/>
        </w:rPr>
        <w:t>a nascent democracy</w:t>
      </w:r>
      <w:r w:rsidR="00CE52AC" w:rsidRPr="00CE52AC">
        <w:t xml:space="preserve"> or </w:t>
      </w:r>
      <w:r w:rsidR="00CE52AC" w:rsidRPr="00CE52AC">
        <w:rPr>
          <w:i/>
          <w:iCs/>
        </w:rPr>
        <w:t>nascent technology</w:t>
      </w:r>
      <w:r w:rsidR="00CE52AC" w:rsidRPr="00CE52AC">
        <w:t>).</w:t>
      </w:r>
      <w:r w:rsidR="00CE52AC">
        <w:t>”</w:t>
      </w:r>
    </w:p>
    <w:p w14:paraId="26967EDD" w14:textId="2DE6C109" w:rsidR="003142D0" w:rsidRDefault="00CA2B5C">
      <w:pPr>
        <w:spacing w:after="240" w:line="264" w:lineRule="auto"/>
      </w:pPr>
      <w:r>
        <w:t>T</w:t>
      </w:r>
      <w:r>
        <w:t xml:space="preserve">he project is learning how LBAs operate, </w:t>
      </w:r>
      <w:r w:rsidR="00CE52AC">
        <w:t xml:space="preserve">what makes them work (or whether they can work at all), </w:t>
      </w:r>
      <w:r>
        <w:t>what linkages with schools look like, how micro-kitchens function, what compliance requirements matter, whether parent demand can be created</w:t>
      </w:r>
      <w:r w:rsidR="00CE52AC">
        <w:t xml:space="preserve"> given limited willingness to pay</w:t>
      </w:r>
      <w:r>
        <w:t>,</w:t>
      </w:r>
      <w:r w:rsidR="00CE52AC">
        <w:t xml:space="preserve"> whether the government is actually willing and able to put its money where its policy and strategic mouth is, </w:t>
      </w:r>
      <w:r>
        <w:t xml:space="preserve"> and how the different pieces might fit. That is legitimate proof-of-concept work. It is not yet evidence that a model exists, much less that it is ready to scale</w:t>
      </w:r>
      <w:r w:rsidR="00CE52AC">
        <w:t xml:space="preserve"> or even transition-to-scale</w:t>
      </w:r>
      <w:r>
        <w:t>.</w:t>
      </w:r>
    </w:p>
    <w:p w14:paraId="768DAA57" w14:textId="77777777" w:rsidR="003142D0" w:rsidRDefault="00CA2B5C">
      <w:pPr>
        <w:spacing w:before="120" w:after="120"/>
      </w:pPr>
      <w:r>
        <w:rPr>
          <w:b/>
          <w:sz w:val="24"/>
          <w:u w:val="single"/>
        </w:rPr>
        <w:t>Evidence and stage of development</w:t>
      </w:r>
    </w:p>
    <w:p w14:paraId="33CCC571" w14:textId="10489485" w:rsidR="003142D0" w:rsidRPr="006A35BA" w:rsidRDefault="00CA2B5C" w:rsidP="006A35BA">
      <w:r w:rsidRPr="006A35BA">
        <w:t>The strongest evidence for the project is not evidence of impact or scalability. It is evidence of relevance and early feasibility. The team has identified a real policy gap; formed or engaged LBAs; linked some actors into policy and business-support spaces; conducted demand-creation activities through COGs</w:t>
      </w:r>
      <w:r w:rsidR="00100A91" w:rsidRPr="006A35BA">
        <w:t xml:space="preserve"> (</w:t>
      </w:r>
      <w:r w:rsidR="00100A91" w:rsidRPr="006A35BA">
        <w:t>Community Organized Groups</w:t>
      </w:r>
      <w:proofErr w:type="gramStart"/>
      <w:r w:rsidR="00100A91" w:rsidRPr="006A35BA">
        <w:t>) .</w:t>
      </w:r>
      <w:proofErr w:type="gramEnd"/>
      <w:r w:rsidR="00100A91" w:rsidRPr="006A35BA">
        <w:t xml:space="preserve"> C</w:t>
      </w:r>
      <w:r w:rsidR="00100A91" w:rsidRPr="006A35BA">
        <w:t xml:space="preserve">OGs are not schools or food suppliers. They are community-level groups used </w:t>
      </w:r>
      <w:r w:rsidR="006A35BA">
        <w:t xml:space="preserve">by the </w:t>
      </w:r>
      <w:proofErr w:type="spellStart"/>
      <w:proofErr w:type="gramStart"/>
      <w:r w:rsidR="006A35BA">
        <w:t>project</w:t>
      </w:r>
      <w:r w:rsidR="00100A91" w:rsidRPr="006A35BA">
        <w:t>as</w:t>
      </w:r>
      <w:proofErr w:type="spellEnd"/>
      <w:proofErr w:type="gramEnd"/>
      <w:r w:rsidR="00100A91" w:rsidRPr="006A35BA">
        <w:t xml:space="preserve"> the primary vehicle for demand creation, behavior change, parent engagement, and community mobilization</w:t>
      </w:r>
      <w:r w:rsidRPr="006A35BA">
        <w:t>;</w:t>
      </w:r>
      <w:r w:rsidR="00100A91" w:rsidRPr="006A35BA">
        <w:rPr>
          <w:vertAlign w:val="superscript"/>
        </w:rPr>
        <w:footnoteReference w:id="2"/>
      </w:r>
      <w:r w:rsidRPr="006A35BA">
        <w:t xml:space="preserve"> </w:t>
      </w:r>
      <w:proofErr w:type="gramStart"/>
      <w:r w:rsidRPr="006A35BA">
        <w:t xml:space="preserve">and </w:t>
      </w:r>
      <w:r w:rsidR="006A35BA">
        <w:t xml:space="preserve"> the</w:t>
      </w:r>
      <w:proofErr w:type="gramEnd"/>
      <w:r w:rsidR="006A35BA">
        <w:t xml:space="preserve"> project has </w:t>
      </w:r>
      <w:r w:rsidRPr="006A35BA">
        <w:t xml:space="preserve">created some initial relationships between </w:t>
      </w:r>
      <w:r w:rsidR="006A35BA">
        <w:t xml:space="preserve">COGs and </w:t>
      </w:r>
      <w:r w:rsidRPr="006A35BA">
        <w:t>schools, local enterprises, and procurement actors. Those are useful early signals. They show that the problem is not imaginary and that local actors can be convened. But they do not demonstrate that the model works economically, nutritionally, institutionally, or politically.</w:t>
      </w:r>
    </w:p>
    <w:p w14:paraId="51BF4103" w14:textId="642D644C" w:rsidR="003142D0" w:rsidRDefault="00CA2B5C">
      <w:pPr>
        <w:spacing w:after="240" w:line="264" w:lineRule="auto"/>
      </w:pPr>
      <w:r>
        <w:t>T</w:t>
      </w:r>
      <w:r>
        <w:t xml:space="preserve">he evidence base from </w:t>
      </w:r>
      <w:r w:rsidR="006A35BA">
        <w:t>prior applied research</w:t>
      </w:r>
      <w:r>
        <w:t xml:space="preserve"> efforts should not be overclaimed. Food4Education demonstrates that school meals can be delivered at very large scale under a central-kitchen model with public subsidy, CSR-supported infrastructure, digital payment systems, and strong operational management. It does not demonstrate that LBAs in informal settlements can prepare or supply meals profitably to low-cost private schools. Home-grown school feeding evidence demonstrates the potential for local procurement to generate multiplier effects when public</w:t>
      </w:r>
      <w:r>
        <w:t xml:space="preserve"> procurement, institutional demand, and budgets exist. It does not prove that parent-paid or school-paid meals in informal settlements can sustain nutritious procurement from micro-enterprises. Nutrition behavior-change evidence can support awareness </w:t>
      </w:r>
      <w:proofErr w:type="gramStart"/>
      <w:r>
        <w:t>campaigns, but</w:t>
      </w:r>
      <w:proofErr w:type="gramEnd"/>
      <w:r>
        <w:t xml:space="preserve"> does not prove that parents will prepay for meals or that children will receive nutritious food at school.</w:t>
      </w:r>
    </w:p>
    <w:p w14:paraId="73F5017D" w14:textId="5B86B51C" w:rsidR="00186C71" w:rsidRPr="00186C71" w:rsidRDefault="00186C71" w:rsidP="00186C71">
      <w:pPr>
        <w:pBdr>
          <w:top w:val="single" w:sz="8" w:space="1" w:color="auto"/>
          <w:left w:val="single" w:sz="8" w:space="4" w:color="auto"/>
          <w:bottom w:val="single" w:sz="8" w:space="1" w:color="auto"/>
          <w:right w:val="single" w:sz="8" w:space="4" w:color="auto"/>
        </w:pBdr>
        <w:spacing w:after="240" w:line="264" w:lineRule="auto"/>
        <w:rPr>
          <w:b/>
          <w:bCs/>
          <w:sz w:val="20"/>
          <w:szCs w:val="20"/>
        </w:rPr>
      </w:pPr>
      <w:r w:rsidRPr="00186C71">
        <w:rPr>
          <w:b/>
          <w:bCs/>
          <w:sz w:val="20"/>
          <w:szCs w:val="20"/>
        </w:rPr>
        <w:t>Box Nutrition Awareness and Behavior Change around Nutrition in East Africa</w:t>
      </w:r>
      <w:r w:rsidR="001B7795">
        <w:rPr>
          <w:rStyle w:val="FootnoteReference"/>
          <w:b/>
          <w:bCs/>
          <w:sz w:val="20"/>
          <w:szCs w:val="20"/>
        </w:rPr>
        <w:footnoteReference w:id="3"/>
      </w:r>
      <w:r w:rsidRPr="00186C71">
        <w:rPr>
          <w:b/>
          <w:bCs/>
          <w:sz w:val="20"/>
          <w:szCs w:val="20"/>
        </w:rPr>
        <w:t xml:space="preserve"> </w:t>
      </w:r>
    </w:p>
    <w:p w14:paraId="205A7955" w14:textId="14574B6B" w:rsidR="00186C71" w:rsidRPr="00186C71" w:rsidRDefault="00186C71" w:rsidP="00186C71">
      <w:pPr>
        <w:pBdr>
          <w:top w:val="single" w:sz="8" w:space="1" w:color="auto"/>
          <w:left w:val="single" w:sz="8" w:space="4" w:color="auto"/>
          <w:bottom w:val="single" w:sz="8" w:space="1" w:color="auto"/>
          <w:right w:val="single" w:sz="8" w:space="4" w:color="auto"/>
        </w:pBdr>
        <w:spacing w:after="240" w:line="264" w:lineRule="auto"/>
        <w:rPr>
          <w:sz w:val="20"/>
          <w:szCs w:val="20"/>
        </w:rPr>
      </w:pPr>
      <w:r w:rsidRPr="00186C71">
        <w:rPr>
          <w:sz w:val="20"/>
          <w:szCs w:val="20"/>
        </w:rPr>
        <w:t xml:space="preserve">The evidence from East Africa and similar low-income urban settings suggests that nutrition awareness campaigns can improve parental knowledge and attitudes, but the translation into sustained changes in </w:t>
      </w:r>
      <w:r w:rsidRPr="00186C71">
        <w:rPr>
          <w:sz w:val="20"/>
          <w:szCs w:val="20"/>
        </w:rPr>
        <w:lastRenderedPageBreak/>
        <w:t>feeding behavior is often modest and highly dependent on income, food prices, time constraints, and household decision-making power. Studies in Kenya, Uganda, Tanzania, and Ethiopia generally find that nutrition education can increase dietary diversity, improve knowledge of healthy foods, and encourage greater consumption of fruits, vegetables, legumes, animal-source foods, or biofortified crops. However, the magnitude of behavior change is usually much smaller than the improvement in knowledge. Parents may understand what constitutes a healthier diet but remain unable to act on that knowledge because healthier foods are more expensive, less available, require additional preparation time, or compete with other household priorities. In informal settlements, where many households face severe income constraints and food insecurity, economic factors often outweigh nutritional preferences.</w:t>
      </w:r>
    </w:p>
    <w:p w14:paraId="49ED8712" w14:textId="7AD1BFF6" w:rsidR="00186C71" w:rsidRPr="00186C71" w:rsidRDefault="00186C71" w:rsidP="00186C71">
      <w:pPr>
        <w:pBdr>
          <w:top w:val="single" w:sz="8" w:space="1" w:color="auto"/>
          <w:left w:val="single" w:sz="8" w:space="4" w:color="auto"/>
          <w:bottom w:val="single" w:sz="8" w:space="1" w:color="auto"/>
          <w:right w:val="single" w:sz="8" w:space="4" w:color="auto"/>
        </w:pBdr>
        <w:spacing w:after="240" w:line="264" w:lineRule="auto"/>
        <w:rPr>
          <w:sz w:val="20"/>
          <w:szCs w:val="20"/>
        </w:rPr>
      </w:pPr>
      <w:r w:rsidRPr="00186C71">
        <w:rPr>
          <w:sz w:val="20"/>
          <w:szCs w:val="20"/>
        </w:rPr>
        <w:t>The strongest evidence of behavior change occurs when awareness campaigns are combined with other interventions such as school feeding programs, social protection, food subsidies, cash transfers, home gardening, or improved access to affordable nutritious foods. The literature generally supports the proposition that community groups, parent dialogues, cooking demonstrations, and nutrition messaging can be useful enabling activities, but it provides much weaker evidence that these activities alone create sufficient willingness-to-pay or sustained demand to support a viable commercial school meals model. In other words, nutrition awareness is often a necessary condition for behavior change but rarely a sufficient condition, particularly among low-income households in urban informal settlements where affordability remains the dominant constraint.</w:t>
      </w:r>
    </w:p>
    <w:p w14:paraId="312DFC70" w14:textId="01B6F0DE" w:rsidR="003142D0" w:rsidRDefault="00CA2B5C">
      <w:pPr>
        <w:spacing w:after="240" w:line="264" w:lineRule="auto"/>
      </w:pPr>
      <w:r>
        <w:t xml:space="preserve">The project therefore sits </w:t>
      </w:r>
      <w:r w:rsidR="009C657E">
        <w:t xml:space="preserve">well </w:t>
      </w:r>
      <w:r>
        <w:t xml:space="preserve">before </w:t>
      </w:r>
      <w:r>
        <w:t>transition-to-scale</w:t>
      </w:r>
      <w:r w:rsidR="009C657E">
        <w:t xml:space="preserve"> in a </w:t>
      </w:r>
      <w:proofErr w:type="gramStart"/>
      <w:r w:rsidR="009C657E">
        <w:t>six stage</w:t>
      </w:r>
      <w:proofErr w:type="gramEnd"/>
      <w:r w:rsidR="009C657E">
        <w:t xml:space="preserve"> innovation to scaling pathway, between </w:t>
      </w:r>
      <w:r>
        <w:t xml:space="preserve">ideation, feasibility testing, and early proof-of-concept. It has not yet shown stable unit economics, repeatable implementation, institutional ownership, payment reliability, food safety compliance at scale, or a clear delivery model. It also has not defined success tightly enough. Is success one meal per child per week, daily meals, improved dietary diversity, reliable LBA income, parent prepayment, public subsidy, school retention, safer food, or policy adoption? These are not interchangeable. A project </w:t>
      </w:r>
      <w:r>
        <w:t>cannot be scaled until it knows what success means.</w:t>
      </w:r>
    </w:p>
    <w:p w14:paraId="4C3A2130" w14:textId="3CCE4096" w:rsidR="003142D0" w:rsidRDefault="00CA2B5C">
      <w:pPr>
        <w:spacing w:after="240" w:line="264" w:lineRule="auto"/>
      </w:pPr>
      <w:r>
        <w:t>The evidence problem is especially acute because the model depends on the interaction among components. It is possible that LBAs can be organized but cannot operate profitable micro-kitchens</w:t>
      </w:r>
      <w:r w:rsidR="000271E0">
        <w:t xml:space="preserve"> or have effective leadership, management, and governance</w:t>
      </w:r>
      <w:r>
        <w:t>. It is possible that parents like school meals but cannot pay consistently</w:t>
      </w:r>
      <w:r w:rsidR="000271E0">
        <w:t xml:space="preserve"> or for twenty plus meals per month</w:t>
      </w:r>
      <w:r>
        <w:t xml:space="preserve">. It is possible that COGs can generate awareness but not payment behavior. It is possible that schools want meals but cannot take on administrative or reputational risk. It is possible that policy actors endorse local procurement but provide no </w:t>
      </w:r>
      <w:r w:rsidR="00601596">
        <w:t xml:space="preserve">significant or </w:t>
      </w:r>
      <w:r>
        <w:t xml:space="preserve">recurrent finance. </w:t>
      </w:r>
      <w:r w:rsidR="00601596">
        <w:t xml:space="preserve">It is possible that many schools fail or are not reliable business partners. </w:t>
      </w:r>
      <w:r>
        <w:t>Each component may be plausible, but the integrated model may still fail</w:t>
      </w:r>
      <w:r w:rsidR="000022CC">
        <w:t xml:space="preserve"> due to coordination, payment or other logistics issues</w:t>
      </w:r>
      <w:r>
        <w:t>. This is why the project should be treated as proof-of-concept validation, not scaling.</w:t>
      </w:r>
    </w:p>
    <w:p w14:paraId="6D1819BB" w14:textId="77777777" w:rsidR="003142D0" w:rsidRDefault="00CA2B5C">
      <w:pPr>
        <w:spacing w:before="120" w:after="120"/>
      </w:pPr>
      <w:r>
        <w:rPr>
          <w:b/>
          <w:sz w:val="24"/>
          <w:u w:val="single"/>
        </w:rPr>
        <w:t>Scaling ambition and theory of change</w:t>
      </w:r>
    </w:p>
    <w:p w14:paraId="50A01F55" w14:textId="77777777" w:rsidR="003142D0" w:rsidRDefault="00CA2B5C">
      <w:pPr>
        <w:spacing w:after="240" w:line="264" w:lineRule="auto"/>
      </w:pPr>
      <w:r>
        <w:t>The project’s scaling ambition is still underdeveloped. The national backdrop is Kenya’s ambition to expand school meals dramatically, but the project does not have a credible direct pathway to that national scale. Its actual ambition is to test a model for reaching low-cost private and informal schools in urban settlements and perhaps later expand to Kisumu or other cities. That is a legitimate ambition if framed honestly. The problem is that the project language risks conflating policy relevance with scal</w:t>
      </w:r>
      <w:r>
        <w:t>ing readiness and national need with project pathway.</w:t>
      </w:r>
    </w:p>
    <w:p w14:paraId="29DED839" w14:textId="315E5082" w:rsidR="003142D0" w:rsidRDefault="00CA2B5C">
      <w:pPr>
        <w:spacing w:after="240" w:line="264" w:lineRule="auto"/>
      </w:pPr>
      <w:r>
        <w:t xml:space="preserve">A serious theory of change would specify the pathway </w:t>
      </w:r>
      <w:r w:rsidR="000022CC">
        <w:t xml:space="preserve">or perhaps at most 2-3 pathways </w:t>
      </w:r>
      <w:r>
        <w:t xml:space="preserve">being tested. In a parent-paid micro-kitchen pathway, the theory would be that parents value meals </w:t>
      </w:r>
      <w:r>
        <w:lastRenderedPageBreak/>
        <w:t>enough to prepay; schools can aggregate demand and enforce payment; LBAs can prepare meals safely and profitably at the required volume; and the model can operate term after term without project facilitation. In a commodity-supplier pathway, the theory would be that LBAs can aggregate and supply ingredients reliably to schools, caterers, Food4Education-like operators, or other institutional buyers, without nee</w:t>
      </w:r>
      <w:r>
        <w:t>ding to manage full meal preparation. In a public-finance pathway, the theory would be that evidence from informal settlements will lead county, national, CSR, or donor actors to fund a subsidy or procurement mechanism. Each theory requires different proof points.</w:t>
      </w:r>
    </w:p>
    <w:p w14:paraId="6519BC1A" w14:textId="68E5FA8C" w:rsidR="003142D0" w:rsidRDefault="00CA2B5C">
      <w:pPr>
        <w:spacing w:after="240" w:line="264" w:lineRule="auto"/>
      </w:pPr>
      <w:r>
        <w:t xml:space="preserve">The current project has not yet selected among these theories or defined how it will judge them. </w:t>
      </w:r>
      <w:r w:rsidR="0023596C">
        <w:t xml:space="preserve">Rather it is relying on a </w:t>
      </w:r>
      <w:r w:rsidR="005C04C7">
        <w:t>“</w:t>
      </w:r>
      <w:r w:rsidR="0023596C">
        <w:t>thousand flowers blooming</w:t>
      </w:r>
      <w:r w:rsidR="005C04C7">
        <w:t>”</w:t>
      </w:r>
      <w:r w:rsidR="0023596C">
        <w:t xml:space="preserve">.  While localization and local ownership, organic </w:t>
      </w:r>
      <w:r w:rsidR="0023596C">
        <w:t xml:space="preserve">bottom-up </w:t>
      </w:r>
      <w:r w:rsidR="0023596C">
        <w:t xml:space="preserve">innovation, adaptive learning and iteration are all good things, there can be </w:t>
      </w:r>
      <w:r w:rsidR="005C04C7">
        <w:t>“</w:t>
      </w:r>
      <w:r w:rsidR="0023596C">
        <w:t>too much of a good thing</w:t>
      </w:r>
      <w:r w:rsidR="005C04C7">
        <w:t>”</w:t>
      </w:r>
      <w:r w:rsidR="0023596C">
        <w:t xml:space="preserve"> and this project substantially crosses that line.  </w:t>
      </w:r>
      <w:r>
        <w:t>That is the most important management failure</w:t>
      </w:r>
      <w:r w:rsidR="0023596C">
        <w:t>; there are not a small handful of testable hy</w:t>
      </w:r>
      <w:r w:rsidR="00627063">
        <w:t>potheses, there are many</w:t>
      </w:r>
      <w:r>
        <w:t>. The problem is not that multiple pathways exist; early-stage systems work often needs to explore alternatives. The problem is that the project is being treated as an S4I scaling solution</w:t>
      </w:r>
      <w:r w:rsidR="00627063">
        <w:t xml:space="preserve"> without a small number of clear testable hypotheses and</w:t>
      </w:r>
      <w:r w:rsidR="00012F99">
        <w:t>/or</w:t>
      </w:r>
      <w:r w:rsidR="00627063">
        <w:t xml:space="preserve"> </w:t>
      </w:r>
      <w:r>
        <w:t>alternative pathways</w:t>
      </w:r>
      <w:r w:rsidR="00012F99">
        <w:t xml:space="preserve"> </w:t>
      </w:r>
      <w:proofErr w:type="gramStart"/>
      <w:r w:rsidR="00012F99">
        <w:t xml:space="preserve">that </w:t>
      </w:r>
      <w:r>
        <w:t xml:space="preserve"> have</w:t>
      </w:r>
      <w:proofErr w:type="gramEnd"/>
      <w:r>
        <w:t xml:space="preserve"> been </w:t>
      </w:r>
      <w:r w:rsidR="00012F99">
        <w:t xml:space="preserve">or will be </w:t>
      </w:r>
      <w:r>
        <w:t xml:space="preserve">separated, tested, and </w:t>
      </w:r>
      <w:proofErr w:type="gramStart"/>
      <w:r>
        <w:t>stage-gated</w:t>
      </w:r>
      <w:proofErr w:type="gramEnd"/>
      <w:r>
        <w:t xml:space="preserve">. The immediate task is </w:t>
      </w:r>
      <w:r>
        <w:t>to discover whether any pathway is viable enough to deserve future transition-to-scale support.</w:t>
      </w:r>
    </w:p>
    <w:p w14:paraId="27521088" w14:textId="4CCB27B3" w:rsidR="003142D0" w:rsidRDefault="00CA2B5C">
      <w:pPr>
        <w:spacing w:after="240" w:line="264" w:lineRule="auto"/>
      </w:pPr>
      <w:r>
        <w:t>The project also needs to separate reach from adoption and adoption from sustained use. Reaching parents with messages is not the same as parents paying for meals. Training MSEs is not the same as MSEs earning money. Forming an LBA is not the same as an LBA functioning as a</w:t>
      </w:r>
      <w:r w:rsidR="00012F99">
        <w:t xml:space="preserve"> sustainable </w:t>
      </w:r>
      <w:r>
        <w:t xml:space="preserve">enterprise. </w:t>
      </w:r>
      <w:proofErr w:type="gramStart"/>
      <w:r>
        <w:t>Engaging</w:t>
      </w:r>
      <w:proofErr w:type="gramEnd"/>
      <w:r>
        <w:t xml:space="preserve"> a school is not the same as a school contracting for a full term</w:t>
      </w:r>
      <w:r w:rsidR="00012F99">
        <w:t xml:space="preserve"> or on an ongoing basis</w:t>
      </w:r>
      <w:r>
        <w:t>. Serving a meal once is not the same as</w:t>
      </w:r>
      <w:r w:rsidR="00012F99">
        <w:t xml:space="preserve"> serving twenty nutritious school meals to most students per month, i.e. </w:t>
      </w:r>
      <w:r>
        <w:t xml:space="preserve"> improving nutrition. A credible scaling strategy must convert these activity counts into behavior and performance indicators.</w:t>
      </w:r>
    </w:p>
    <w:p w14:paraId="1250F824" w14:textId="77777777" w:rsidR="003142D0" w:rsidRDefault="00CA2B5C">
      <w:pPr>
        <w:spacing w:before="120" w:after="120"/>
      </w:pPr>
      <w:r>
        <w:rPr>
          <w:b/>
          <w:sz w:val="24"/>
          <w:u w:val="single"/>
        </w:rPr>
        <w:t>Stakeholders and role clarity</w:t>
      </w:r>
    </w:p>
    <w:p w14:paraId="474C4289" w14:textId="77777777" w:rsidR="003142D0" w:rsidRDefault="00CA2B5C">
      <w:pPr>
        <w:spacing w:after="240" w:line="264" w:lineRule="auto"/>
      </w:pPr>
      <w:r>
        <w:t>The current stakeholder map is crowded but not yet strategic. IFPRI, APHRC, Wasafiri, LBAs, COGs, schools, parents, MSEA, KEPSA, county government, the School Meals Coalition, Food4Education, public agencies, and potential CSR funders all appear in the model. This creates an illusion of ecosystem strength. In reality, it may reveal a role-clarity problem. Many actors have partial relevance; few have clear accountability for owning and financing the model after donor support ends.</w:t>
      </w:r>
    </w:p>
    <w:p w14:paraId="53A16A38" w14:textId="617A5317" w:rsidR="003142D0" w:rsidRDefault="00CA2B5C">
      <w:pPr>
        <w:spacing w:after="240" w:line="264" w:lineRule="auto"/>
      </w:pPr>
      <w:r>
        <w:t xml:space="preserve">IFPRI’s appropriate role should be evidence generation, policy analysis, and proof-of-concept learning. It should not be treated as </w:t>
      </w:r>
      <w:r w:rsidR="00A46FBF">
        <w:t>even the medium</w:t>
      </w:r>
      <w:r>
        <w:t>-term scaling actor</w:t>
      </w:r>
      <w:r w:rsidR="00A46FBF">
        <w:t xml:space="preserve"> should proof-of-concept be achieved and transition to scale be the next step, yet the project seems to implicitly see IFPRI as having that role</w:t>
      </w:r>
      <w:r>
        <w:t xml:space="preserve">. APHRC may be credible on nutrition and community engagement, but demand creation must be judged by payment behavior and diet quality, not by meetings or awareness. Wasafiri may be useful in enterprise organization, but LBA viability depends on governance, margins, working capital, food safety, and customer retention. LBAs are the core possible implementers, but they are also the least proven part of the system. Schools are not passive beneficiaries; they are the immediate institutional customers and risk </w:t>
      </w:r>
      <w:r>
        <w:t>managers. Parents are the likely payer unless an external subsidy is found. County and national actors are potential system owners, but policy engagement without financing commitments is not ownership.</w:t>
      </w:r>
    </w:p>
    <w:p w14:paraId="7274C81F" w14:textId="177689BE" w:rsidR="003142D0" w:rsidRDefault="00CA2B5C">
      <w:pPr>
        <w:spacing w:after="240" w:line="264" w:lineRule="auto"/>
      </w:pPr>
      <w:r>
        <w:lastRenderedPageBreak/>
        <w:t>This is also why the School Meals Coalition should not be allowed to substitute for a scaling pathway</w:t>
      </w:r>
      <w:r w:rsidR="00F31A26">
        <w:t>, champions and drivers</w:t>
      </w:r>
      <w:r>
        <w:t>. A coalition can convene, legitimize, and influence policy. It cannot by itself pay for meals, run kitchens, manage LBAs, enforce quality, contract schools, or solve non-payment</w:t>
      </w:r>
      <w:r w:rsidR="00F31A26">
        <w:t xml:space="preserve">, let alone scale </w:t>
      </w:r>
      <w:proofErr w:type="gramStart"/>
      <w:r w:rsidR="00F31A26">
        <w:t>all of</w:t>
      </w:r>
      <w:proofErr w:type="gramEnd"/>
      <w:r w:rsidR="00F31A26">
        <w:t xml:space="preserve"> the above</w:t>
      </w:r>
      <w:r>
        <w:t>. If the coalition is to matter for scaling, the project should specify what decision, guideline, budget, institutional mechanism, or procurement pathway the coalition is expected to produce.</w:t>
      </w:r>
    </w:p>
    <w:p w14:paraId="052E4F0B" w14:textId="1B380528" w:rsidR="003142D0" w:rsidRDefault="00CA2B5C">
      <w:pPr>
        <w:spacing w:after="240" w:line="264" w:lineRule="auto"/>
      </w:pPr>
      <w:r>
        <w:t xml:space="preserve">The central stakeholder question is therefore simple: who will do what after IFPRI, APHRC, </w:t>
      </w:r>
      <w:proofErr w:type="spellStart"/>
      <w:r>
        <w:t>Wasafiri</w:t>
      </w:r>
      <w:proofErr w:type="spellEnd"/>
      <w:r>
        <w:t xml:space="preserve">, </w:t>
      </w:r>
      <w:r w:rsidR="00F31A26">
        <w:t>hopefully achieve proof-of-concept in a few years, if they are lucky</w:t>
      </w:r>
      <w:r>
        <w:t>? If the answer is not clear, the model is not ready for scale</w:t>
      </w:r>
      <w:r w:rsidR="00F31A26">
        <w:t xml:space="preserve"> even if </w:t>
      </w:r>
      <w:r w:rsidR="00F31A26">
        <w:t>proof-of-concept</w:t>
      </w:r>
      <w:r w:rsidR="00F31A26">
        <w:t xml:space="preserve"> is achieved</w:t>
      </w:r>
      <w:r>
        <w:t xml:space="preserve">. </w:t>
      </w:r>
      <w:r>
        <w:t xml:space="preserve">Without a </w:t>
      </w:r>
      <w:r w:rsidR="00DF6816">
        <w:t>medium-term scaling driver and champions and a long-term D</w:t>
      </w:r>
      <w:r>
        <w:t>oer-</w:t>
      </w:r>
      <w:r w:rsidR="00DF6816">
        <w:t>P</w:t>
      </w:r>
      <w:r>
        <w:t>ayer-</w:t>
      </w:r>
      <w:r w:rsidR="00DF6816">
        <w:t>O</w:t>
      </w:r>
      <w:r>
        <w:t>wner map, the project remains an activity platform.</w:t>
      </w:r>
    </w:p>
    <w:p w14:paraId="5C9AFD2F" w14:textId="77777777" w:rsidR="003142D0" w:rsidRDefault="00CA2B5C">
      <w:pPr>
        <w:spacing w:before="120" w:after="120"/>
      </w:pPr>
      <w:r>
        <w:rPr>
          <w:b/>
          <w:sz w:val="24"/>
          <w:u w:val="single"/>
        </w:rPr>
        <w:t>Core findings</w:t>
      </w:r>
    </w:p>
    <w:p w14:paraId="40EFEA03" w14:textId="77777777" w:rsidR="003142D0" w:rsidRDefault="00CA2B5C">
      <w:pPr>
        <w:spacing w:before="120" w:after="120"/>
      </w:pPr>
      <w:r>
        <w:rPr>
          <w:b/>
          <w:i/>
        </w:rPr>
        <w:t>1. The project addresses a real problem but is not yet a scaling solution.</w:t>
      </w:r>
    </w:p>
    <w:p w14:paraId="4EF14B2F" w14:textId="77777777" w:rsidR="003142D0" w:rsidRDefault="00CA2B5C">
      <w:pPr>
        <w:spacing w:after="240" w:line="264" w:lineRule="auto"/>
      </w:pPr>
      <w:r>
        <w:t>This is the most important finding. The problem is important enough to justify exploration, but the project’s maturity does not justify transition-to-scale framing. It has not demonstrated a repeatable model, a clear owner, a viable financing pathway, or a defined success metric. On a disciplined scaling assessment, it should be classified as nascent proof-of-concept. That is not a rhetorical downgrade; it changes what should be funded, measured, and expected.</w:t>
      </w:r>
    </w:p>
    <w:p w14:paraId="19DE189A" w14:textId="77777777" w:rsidR="003142D0" w:rsidRDefault="00CA2B5C">
      <w:pPr>
        <w:spacing w:before="120" w:after="120"/>
      </w:pPr>
      <w:r>
        <w:rPr>
          <w:b/>
          <w:i/>
        </w:rPr>
        <w:t>2. The financing model is the binding constraint.</w:t>
      </w:r>
    </w:p>
    <w:p w14:paraId="78628D34" w14:textId="77777777" w:rsidR="003142D0" w:rsidRDefault="00CA2B5C">
      <w:pPr>
        <w:spacing w:after="240" w:line="264" w:lineRule="auto"/>
      </w:pPr>
      <w:r>
        <w:t>The project cannot be assessed as local procurement alone. In poor urban schools, procurement depends on who pays for the meal. The Nairobi Food4Education comparison is revealing precisely because it is not the same model: the meal cost is heavily subsidized by county government, with parents paying a small share. In the low-cost private and informal school context, if parents are expected to cover most or all of the cost, the entire model depends on parent willingness and ability to pay regularly enough to</w:t>
      </w:r>
      <w:r>
        <w:t xml:space="preserve"> sustain LBA operations. That is not yet proven.</w:t>
      </w:r>
    </w:p>
    <w:p w14:paraId="77D00C1B" w14:textId="77777777" w:rsidR="003142D0" w:rsidRDefault="00CA2B5C">
      <w:pPr>
        <w:spacing w:before="120" w:after="120"/>
      </w:pPr>
      <w:r>
        <w:rPr>
          <w:b/>
          <w:i/>
        </w:rPr>
        <w:t>3. The LBA model is plausible but unvalidated.</w:t>
      </w:r>
    </w:p>
    <w:p w14:paraId="036D70B5" w14:textId="59C53C99" w:rsidR="003142D0" w:rsidRDefault="00CA2B5C">
      <w:pPr>
        <w:spacing w:after="240" w:line="264" w:lineRule="auto"/>
      </w:pPr>
      <w:r>
        <w:t>LBAs may be useful vehicles for organizing informal-sector food enterprises, improving compliance, aggregating supply, and building market access. But there is no strong evidence yet that they can function as viable school meal businesses. They may lack governance strength, working capital, managerial capacity, volume, food safety systems, and resilience to payment delays. The key evidence should be LBA profit-and-loss</w:t>
      </w:r>
      <w:r w:rsidR="00651E01">
        <w:t xml:space="preserve"> over a period of at least a few years</w:t>
      </w:r>
      <w:r>
        <w:t>, not number of LBAs formed</w:t>
      </w:r>
      <w:r w:rsidR="00651E01">
        <w:t xml:space="preserve"> or how many meals they have contracted for</w:t>
      </w:r>
      <w:r>
        <w:t>.</w:t>
      </w:r>
      <w:r w:rsidR="00651E01">
        <w:t xml:space="preserve">  The fact that none of the three LBAs have fully developed business plans with multi-year financial forecasts and break-even points is extremely troubling. </w:t>
      </w:r>
    </w:p>
    <w:p w14:paraId="18897DD6" w14:textId="77777777" w:rsidR="003142D0" w:rsidRDefault="00CA2B5C">
      <w:pPr>
        <w:spacing w:before="120" w:after="120"/>
      </w:pPr>
      <w:r>
        <w:rPr>
          <w:b/>
          <w:i/>
        </w:rPr>
        <w:t>4. Demand creation is not the same as demand.</w:t>
      </w:r>
    </w:p>
    <w:p w14:paraId="6DAD496A" w14:textId="77777777" w:rsidR="003142D0" w:rsidRDefault="00CA2B5C">
      <w:pPr>
        <w:spacing w:after="240" w:line="264" w:lineRule="auto"/>
      </w:pPr>
      <w:r>
        <w:t xml:space="preserve">Community dialogues, nutrition education, cooking demonstrations, and COG activities can raise awareness, but the project must prove that they change economically meaningful behavior. Do parents prepay? Do they keep paying? Do they pay for enough meals per week to matter nutritionally and financially? Do nutrition messages change home feeding behavior when school </w:t>
      </w:r>
      <w:r>
        <w:lastRenderedPageBreak/>
        <w:t>meal purchase is not possible? Without these answers, demand creation remains an activity, not an outcome.</w:t>
      </w:r>
    </w:p>
    <w:p w14:paraId="2BE65D12" w14:textId="77777777" w:rsidR="003142D0" w:rsidRDefault="00CA2B5C">
      <w:pPr>
        <w:spacing w:before="120" w:after="120"/>
      </w:pPr>
      <w:r>
        <w:rPr>
          <w:b/>
          <w:i/>
        </w:rPr>
        <w:t>5. The integrated model has not been proven.</w:t>
      </w:r>
    </w:p>
    <w:p w14:paraId="3F8D553B" w14:textId="1169E85C" w:rsidR="003142D0" w:rsidRDefault="00CA2B5C">
      <w:pPr>
        <w:spacing w:after="240" w:line="264" w:lineRule="auto"/>
      </w:pPr>
      <w:r>
        <w:t xml:space="preserve">The project appears to assume that supply organization, parent demand, school contracting, food safety, policy engagement, and public-private coordination can </w:t>
      </w:r>
      <w:proofErr w:type="gramStart"/>
      <w:r>
        <w:t>be made</w:t>
      </w:r>
      <w:proofErr w:type="gramEnd"/>
      <w:r>
        <w:t xml:space="preserve"> mutually reinforcing</w:t>
      </w:r>
      <w:r>
        <w:t>. That may be true</w:t>
      </w:r>
      <w:r w:rsidR="000C1D61">
        <w:t xml:space="preserve"> in principle</w:t>
      </w:r>
      <w:r>
        <w:t>, but it has not been demonstrated. The more likely near-term reality is that one or two components may work while the integrated model remains fragile. S4I should force the project to identify which component is the binding constraint and which pathway is most viable.</w:t>
      </w:r>
    </w:p>
    <w:p w14:paraId="2C0B7C2C" w14:textId="77777777" w:rsidR="003142D0" w:rsidRDefault="00CA2B5C">
      <w:pPr>
        <w:spacing w:before="120" w:after="120"/>
      </w:pPr>
      <w:r>
        <w:rPr>
          <w:b/>
          <w:i/>
        </w:rPr>
        <w:t>6. The CGIAR comparative advantage is weak unless the project is reframed around evidence and systems learning.</w:t>
      </w:r>
    </w:p>
    <w:p w14:paraId="4FA75F41" w14:textId="77777777" w:rsidR="003142D0" w:rsidRDefault="00CA2B5C">
      <w:pPr>
        <w:spacing w:after="240" w:line="264" w:lineRule="auto"/>
      </w:pPr>
      <w:r>
        <w:t>CGIAR has clear comparative advantages in agricultural research, food systems analysis, policy evidence, and some forms of nutrition-sensitive agricultural innovation. It does not obviously have comparative advantage in running or scaling urban school feeding operations, micro-kitchens, informal-enterprise food safety systems, or parent payment mechanisms. The project only makes sense for CGIAR if the contribution is a rigorous proof-of-concept and policy learning exercise, not if it is presented as impleme</w:t>
      </w:r>
      <w:r>
        <w:t>ntation scaling.</w:t>
      </w:r>
    </w:p>
    <w:p w14:paraId="62FE0E16" w14:textId="341B1ED6" w:rsidR="003142D0" w:rsidRDefault="00CA2B5C">
      <w:pPr>
        <w:spacing w:after="240" w:line="264" w:lineRule="auto"/>
      </w:pPr>
      <w:r>
        <w:t xml:space="preserve">The project should avoid using </w:t>
      </w:r>
      <w:proofErr w:type="gramStart"/>
      <w:r w:rsidR="000C1D61">
        <w:t xml:space="preserve">Kenya’s </w:t>
      </w:r>
      <w:r>
        <w:t xml:space="preserve"> national</w:t>
      </w:r>
      <w:proofErr w:type="gramEnd"/>
      <w:r>
        <w:t xml:space="preserve"> </w:t>
      </w:r>
      <w:proofErr w:type="gramStart"/>
      <w:r w:rsidR="000C1D61">
        <w:t xml:space="preserve">ten </w:t>
      </w:r>
      <w:r>
        <w:t xml:space="preserve"> million</w:t>
      </w:r>
      <w:proofErr w:type="gramEnd"/>
      <w:r>
        <w:t xml:space="preserve"> learner ambition as an implicit claim on scale</w:t>
      </w:r>
      <w:r w:rsidR="000C1D61">
        <w:t xml:space="preserve"> or policy alignment</w:t>
      </w:r>
      <w:r>
        <w:t>. The project may contribute to one niche within that ambition if it proves a model for informal settlement schools. It should not borrow credibility from the national target without showing a credible mechanism for moving from a few schools and LBAs to a financially and institutionally supported model.</w:t>
      </w:r>
      <w:r w:rsidR="000A0956">
        <w:t xml:space="preserve"> Especially as this ambition corresponds to no national or multi-county funding model or implementation plan. </w:t>
      </w:r>
    </w:p>
    <w:p w14:paraId="476F5B27" w14:textId="77777777" w:rsidR="003142D0" w:rsidRDefault="00CA2B5C">
      <w:pPr>
        <w:spacing w:after="240" w:line="264" w:lineRule="auto"/>
      </w:pPr>
      <w:r>
        <w:t>The project should also deprioritize cross-geography expansion until at least one Nairobi pathway has been validated. Moving to Kisumu or other cities before the model is clear risks multiplying ambiguity. Replication testing can be useful, but only when the core hypothesis has been specified. Otherwise, expansion simply spreads an unresolved concept across more contexts.</w:t>
      </w:r>
    </w:p>
    <w:p w14:paraId="1608B5FF" w14:textId="746B14CF" w:rsidR="003142D0" w:rsidRDefault="00CA2B5C">
      <w:pPr>
        <w:spacing w:after="240" w:line="264" w:lineRule="auto"/>
      </w:pPr>
      <w:r>
        <w:t xml:space="preserve">The project should stop presenting large </w:t>
      </w:r>
      <w:r w:rsidRPr="000A0956">
        <w:rPr>
          <w:u w:val="single"/>
        </w:rPr>
        <w:t>reach</w:t>
      </w:r>
      <w:r>
        <w:t xml:space="preserve"> targets as meaningful evidence. </w:t>
      </w:r>
      <w:r w:rsidR="000A0956">
        <w:t xml:space="preserve">(Scaling Solutions should be forbidden from using the word reach as in number of people contacted with multiple awareness, communication and media activities. Sustainable adoption and payment are the only things that count.) </w:t>
      </w:r>
      <w:proofErr w:type="gramStart"/>
      <w:r>
        <w:t>Reaching</w:t>
      </w:r>
      <w:proofErr w:type="gramEnd"/>
      <w:r>
        <w:t xml:space="preserve"> parents through messages, training enterprises, convening platforms, and engaging communities are not meaningless, but they are insufficient. If t</w:t>
      </w:r>
      <w:r>
        <w:t>he next year produces more reach without evidence of payment, meals served, quality, profitability, and ownership, it will not have advanced scaling readiness.</w:t>
      </w:r>
    </w:p>
    <w:p w14:paraId="6F43FA32" w14:textId="77777777" w:rsidR="003142D0" w:rsidRDefault="00CA2B5C">
      <w:pPr>
        <w:spacing w:before="120" w:after="120"/>
      </w:pPr>
      <w:r>
        <w:rPr>
          <w:b/>
          <w:sz w:val="24"/>
          <w:u w:val="single"/>
        </w:rPr>
        <w:t>Recommendations</w:t>
      </w:r>
    </w:p>
    <w:p w14:paraId="508C0739" w14:textId="6986A505" w:rsidR="00CF729C" w:rsidRPr="00CF729C" w:rsidRDefault="00CF729C" w:rsidP="00CF729C">
      <w:pPr>
        <w:pStyle w:val="ListParagraph"/>
        <w:numPr>
          <w:ilvl w:val="0"/>
          <w:numId w:val="21"/>
        </w:numPr>
        <w:spacing w:before="120" w:after="120"/>
        <w:ind w:left="360"/>
        <w:rPr>
          <w:b/>
          <w:i/>
        </w:rPr>
      </w:pPr>
      <w:r w:rsidRPr="00CF729C">
        <w:rPr>
          <w:b/>
          <w:i/>
        </w:rPr>
        <w:t xml:space="preserve">Do not </w:t>
      </w:r>
      <w:proofErr w:type="gramStart"/>
      <w:r w:rsidRPr="00CF729C">
        <w:rPr>
          <w:b/>
          <w:i/>
        </w:rPr>
        <w:t>fund</w:t>
      </w:r>
      <w:proofErr w:type="gramEnd"/>
      <w:r w:rsidRPr="00CF729C">
        <w:rPr>
          <w:b/>
          <w:i/>
        </w:rPr>
        <w:t xml:space="preserve"> this model, it is not a scaling model, it is </w:t>
      </w:r>
      <w:r w:rsidRPr="00CF729C">
        <w:rPr>
          <w:b/>
          <w:i/>
        </w:rPr>
        <w:t>as proof-of-concept validation</w:t>
      </w:r>
    </w:p>
    <w:p w14:paraId="1DE2394A" w14:textId="74F5C679" w:rsidR="003142D0" w:rsidRPr="00CF729C" w:rsidRDefault="00CA2B5C" w:rsidP="00CF729C">
      <w:pPr>
        <w:pStyle w:val="ListParagraph"/>
        <w:numPr>
          <w:ilvl w:val="0"/>
          <w:numId w:val="21"/>
        </w:numPr>
        <w:spacing w:before="120" w:after="120"/>
        <w:ind w:left="360"/>
        <w:rPr>
          <w:b/>
          <w:i/>
        </w:rPr>
      </w:pPr>
      <w:r w:rsidRPr="00CF729C">
        <w:rPr>
          <w:b/>
          <w:i/>
        </w:rPr>
        <w:t>Reclassify the project as proof-of-concept validation</w:t>
      </w:r>
      <w:r w:rsidR="00CF729C">
        <w:rPr>
          <w:b/>
          <w:i/>
        </w:rPr>
        <w:t xml:space="preserve"> and be explicit that we fund that, which means opening it up to all proof-of-concept validation models in the CGIAR for equity and transparency</w:t>
      </w:r>
    </w:p>
    <w:p w14:paraId="0ABC9FBB" w14:textId="2C9F5350" w:rsidR="003142D0" w:rsidRDefault="00CA2B5C">
      <w:pPr>
        <w:spacing w:after="240" w:line="264" w:lineRule="auto"/>
      </w:pPr>
      <w:r>
        <w:t xml:space="preserve">S4I should </w:t>
      </w:r>
      <w:r w:rsidR="00CF729C">
        <w:t>not</w:t>
      </w:r>
      <w:r>
        <w:t xml:space="preserve"> ask</w:t>
      </w:r>
      <w:r>
        <w:t xml:space="preserve"> this project to behave like a scaling solution. For the next year, it should be funded, if at all, only to test whether a viable model exists. The project should explicitly state that it </w:t>
      </w:r>
      <w:r>
        <w:lastRenderedPageBreak/>
        <w:t>is validating alternative models, not scaling an already validated solution. This reclassification would improve honesty, measurement, management discipline, and expectations.</w:t>
      </w:r>
      <w:r w:rsidR="00CF729C">
        <w:t xml:space="preserve"> </w:t>
      </w:r>
      <w:proofErr w:type="gramStart"/>
      <w:r w:rsidR="00CF729C">
        <w:t>However</w:t>
      </w:r>
      <w:proofErr w:type="gramEnd"/>
      <w:r w:rsidR="00CF729C">
        <w:t xml:space="preserve"> for fairness, equity, and accountability, S4I should </w:t>
      </w:r>
      <w:proofErr w:type="gramStart"/>
      <w:r w:rsidR="00CF729C">
        <w:t>open up</w:t>
      </w:r>
      <w:proofErr w:type="gramEnd"/>
      <w:r w:rsidR="00CF729C">
        <w:t xml:space="preserve"> its “Scaling” Solution funding to all innovations at a similar level of development and be transparent about it </w:t>
      </w:r>
    </w:p>
    <w:p w14:paraId="0148863B" w14:textId="77777777" w:rsidR="003142D0" w:rsidRDefault="00CA2B5C">
      <w:pPr>
        <w:spacing w:before="120" w:after="120"/>
      </w:pPr>
      <w:r>
        <w:rPr>
          <w:b/>
          <w:i/>
        </w:rPr>
        <w:t>2. Require the project to choose two or three testable pathways.</w:t>
      </w:r>
    </w:p>
    <w:p w14:paraId="565228E0" w14:textId="3F30463F" w:rsidR="003142D0" w:rsidRDefault="00CA2B5C">
      <w:pPr>
        <w:spacing w:after="240" w:line="264" w:lineRule="auto"/>
      </w:pPr>
      <w:r>
        <w:t xml:space="preserve">The next workplan should test a limited number of pathways: an LBA micro-kitchen model, an LBA commodity-supplier model, and </w:t>
      </w:r>
      <w:r w:rsidR="008E2709">
        <w:t xml:space="preserve">a parental funding model, and </w:t>
      </w:r>
      <w:r>
        <w:t>a public/CSR/county-supported procurement model. Each pathway should have its own theory of change, payer, doer, owner, cost structure, success metric, and failure threshold. Activities that do not contribute to testing these pathways should be deprioritized.</w:t>
      </w:r>
    </w:p>
    <w:p w14:paraId="28F6EFFF" w14:textId="77777777" w:rsidR="003142D0" w:rsidRDefault="00CA2B5C">
      <w:pPr>
        <w:spacing w:before="120" w:after="120"/>
      </w:pPr>
      <w:r>
        <w:rPr>
          <w:b/>
          <w:i/>
        </w:rPr>
        <w:t>3. Build a proof-point dashboard, not an activity dashboard.</w:t>
      </w:r>
    </w:p>
    <w:p w14:paraId="2461C7AE" w14:textId="5A8A8C2B" w:rsidR="003142D0" w:rsidRDefault="00CA2B5C">
      <w:pPr>
        <w:spacing w:after="240" w:line="264" w:lineRule="auto"/>
      </w:pPr>
      <w:r>
        <w:t xml:space="preserve">The dashboard should measure parent prepayment and payment reliability; number of meals per child per week; meal quality and nutrition content; LBA revenue, costs, margins, and cash flow; school satisfaction and contract retention; food safety compliance; number of terms of operation without project subsidy; COG effect on payment and home nutrition behavior; and evidence of public or private institutional ownership. Counts of meetings, </w:t>
      </w:r>
      <w:proofErr w:type="gramStart"/>
      <w:r>
        <w:t>trainings</w:t>
      </w:r>
      <w:proofErr w:type="gramEnd"/>
      <w:r>
        <w:t xml:space="preserve">, enterprises reached, and parents sensitized </w:t>
      </w:r>
      <w:r w:rsidR="008E2709">
        <w:t xml:space="preserve">are </w:t>
      </w:r>
      <w:proofErr w:type="spellStart"/>
      <w:r w:rsidR="008E2709">
        <w:t>irrelant</w:t>
      </w:r>
      <w:proofErr w:type="spellEnd"/>
      <w:r>
        <w:t>.</w:t>
      </w:r>
    </w:p>
    <w:p w14:paraId="563620F9" w14:textId="77777777" w:rsidR="003142D0" w:rsidRDefault="00CA2B5C">
      <w:pPr>
        <w:spacing w:before="120" w:after="120"/>
      </w:pPr>
      <w:r>
        <w:rPr>
          <w:b/>
          <w:i/>
        </w:rPr>
        <w:t>4. Make financing the first design question.</w:t>
      </w:r>
    </w:p>
    <w:p w14:paraId="759BC439" w14:textId="77777777" w:rsidR="003142D0" w:rsidRDefault="00CA2B5C">
      <w:pPr>
        <w:spacing w:after="240" w:line="264" w:lineRule="auto"/>
      </w:pPr>
      <w:r>
        <w:t>Before expanding activities, the project should answer who pays for the meal and why. If parents pay, the model must demonstrate reliable prepayment at the required frequency. If county government pays, there must be a budget pathway. If CSR pays, there must be a realistic pooled or recurring financing mechanism. If schools cross-subsidize, the economics must be shown. Without a financing model, procurement design is premature.</w:t>
      </w:r>
    </w:p>
    <w:p w14:paraId="73C3C1C1" w14:textId="77777777" w:rsidR="003142D0" w:rsidRDefault="00CA2B5C">
      <w:pPr>
        <w:spacing w:before="120" w:after="120"/>
      </w:pPr>
      <w:r>
        <w:rPr>
          <w:b/>
          <w:i/>
        </w:rPr>
        <w:t>5. Test LBA governance and business viability rigorously.</w:t>
      </w:r>
    </w:p>
    <w:p w14:paraId="37ECFD7A" w14:textId="77777777" w:rsidR="003142D0" w:rsidRDefault="00CA2B5C">
      <w:pPr>
        <w:spacing w:after="240" w:line="264" w:lineRule="auto"/>
      </w:pPr>
      <w:r>
        <w:t>LBAs should be treated as unproven enterprises, not assumed scale vehicles. The project should track governance, member incentives, decision-making, working capital, food safety compliance, customer acquisition, school contracts, margin structure, and survival across school terms. If LBAs cannot make money or maintain quality, S4I should drop the micro-kitchen model and focus, at most, on commodity supply or policy learning.</w:t>
      </w:r>
    </w:p>
    <w:p w14:paraId="19C50E9C" w14:textId="77777777" w:rsidR="003142D0" w:rsidRDefault="00CA2B5C">
      <w:pPr>
        <w:spacing w:before="120" w:after="120"/>
      </w:pPr>
      <w:r>
        <w:rPr>
          <w:b/>
          <w:i/>
        </w:rPr>
        <w:t>6. Define success narrowly enough to be falsifiable.</w:t>
      </w:r>
    </w:p>
    <w:p w14:paraId="37CE2F9E" w14:textId="77777777" w:rsidR="003142D0" w:rsidRDefault="00CA2B5C">
      <w:pPr>
        <w:spacing w:after="240" w:line="264" w:lineRule="auto"/>
      </w:pPr>
      <w:r>
        <w:t>The project should define minimum success as sustained delivery over at least one or two full school terms under clear financing and operating conditions. It should specify the minimum number of meals, nutritional standard, payment rate, operating margin, parent retention, school retention, and institutional commitment required to continue. A project that cannot fail on evidence cannot learn; it can only continue generating activity.</w:t>
      </w:r>
    </w:p>
    <w:p w14:paraId="7C059C08" w14:textId="77777777" w:rsidR="003142D0" w:rsidRDefault="00CA2B5C">
      <w:pPr>
        <w:spacing w:before="120" w:after="120"/>
      </w:pPr>
      <w:r>
        <w:rPr>
          <w:b/>
          <w:i/>
        </w:rPr>
        <w:t>7. Set a hard stop or redesign gate.</w:t>
      </w:r>
    </w:p>
    <w:p w14:paraId="7E3FE4BA" w14:textId="77777777" w:rsidR="003142D0" w:rsidRDefault="00CA2B5C">
      <w:pPr>
        <w:spacing w:after="240" w:line="264" w:lineRule="auto"/>
      </w:pPr>
      <w:r>
        <w:t xml:space="preserve">S4I should establish a decision gate for continuation. If by the end of the next funded period the project cannot demonstrate a viable pathway with evidence on payer, doer, owner, unit economics, demand, nutrition quality, and institutional ownership, S4I should not continue funding it as a scaling </w:t>
      </w:r>
      <w:r>
        <w:lastRenderedPageBreak/>
        <w:t>solution. It may remain a research or policy-learning project, but it should not occupy scarce scaling resources.</w:t>
      </w:r>
    </w:p>
    <w:p w14:paraId="74369D4B" w14:textId="77777777" w:rsidR="003142D0" w:rsidRDefault="00CA2B5C">
      <w:pPr>
        <w:spacing w:before="120" w:after="120"/>
      </w:pPr>
      <w:r>
        <w:rPr>
          <w:b/>
          <w:sz w:val="24"/>
          <w:u w:val="single"/>
        </w:rPr>
        <w:t>Implications for S4I and CGIAR</w:t>
      </w:r>
    </w:p>
    <w:p w14:paraId="6E3D2B79" w14:textId="0C8866C4" w:rsidR="003142D0" w:rsidRDefault="00CA2B5C">
      <w:pPr>
        <w:spacing w:after="240" w:line="264" w:lineRule="auto"/>
      </w:pPr>
      <w:r>
        <w:t xml:space="preserve">This case is important because it exposes a recurring risk in CGIAR scaling portfolios: confusing issue importance with scaling readiness. School meals in informal settlements matter. Urban child nutrition matters. Local procurement matters. Women and youth enterprise matters. But none of that proves that a particular model is ready for S4I </w:t>
      </w:r>
      <w:r w:rsidR="003F5F5E">
        <w:t xml:space="preserve">Scaling Solution </w:t>
      </w:r>
      <w:r>
        <w:t>funding. The more important and complex the problem, the more disciplined the readiness assessment must be.</w:t>
      </w:r>
    </w:p>
    <w:p w14:paraId="3BB9AA15" w14:textId="77777777" w:rsidR="003142D0" w:rsidRDefault="00CA2B5C">
      <w:pPr>
        <w:spacing w:after="240" w:line="264" w:lineRule="auto"/>
      </w:pPr>
      <w:r>
        <w:t>The case also raises an uncomfortable question about portfolio politics. If S4I funded this because nutrition is strategically attractive, because IFPRI needed a place in the portfolio, or because school meals align with donor interest, then that should be acknowledged as a strategic portfolio decision rather than defended as a strong scaling-readiness decision. There can be legitimate reasons to fund early-stage work, including building CGIAR capability in a growing area. But that is different from pretend</w:t>
      </w:r>
      <w:r>
        <w:t>ing the project is a transition-to-scale solution.</w:t>
      </w:r>
    </w:p>
    <w:p w14:paraId="5CBEBB79" w14:textId="77777777" w:rsidR="003142D0" w:rsidRDefault="00CA2B5C">
      <w:pPr>
        <w:spacing w:after="240" w:line="264" w:lineRule="auto"/>
      </w:pPr>
      <w:r>
        <w:t>The broader lesson is that systems innovations require sharper, not softer, scaling discipline. Because this project contains many actors and components, it is tempting to reward it for being systemic. That would be a mistake. A systemic innovation is only scalable when the core functions, incentives, financing, and institutional ownership are clear. Otherwise, systems language becomes a way to disguise uncertainty. In this case, the uncertainty should be brought to the surface and funded only as discipline</w:t>
      </w:r>
      <w:r>
        <w:t>d proof-of-concept validation.</w:t>
      </w:r>
    </w:p>
    <w:p w14:paraId="1C2AF49D" w14:textId="77777777" w:rsidR="003142D0" w:rsidRDefault="00CA2B5C">
      <w:pPr>
        <w:spacing w:after="240" w:line="264" w:lineRule="auto"/>
      </w:pPr>
      <w:r>
        <w:t xml:space="preserve">The recommendation is therefore not enthusiastic continuation and not immediate rejection without learning. The appropriate posture is skeptical conditionality. The project should be given one tightly defined opportunity, if S4I chooses to continue it at all, to prove whether any pathway is viable. It should not be allowed to continue as a broad portfolio of activities under a scaling label. It should be managed as a test: what works, what does not, who pays, who does, who owns, and what evidence justifies </w:t>
      </w:r>
      <w:r>
        <w:t>the next stage.</w:t>
      </w:r>
    </w:p>
    <w:p w14:paraId="36F6F4D7" w14:textId="77777777" w:rsidR="003142D0" w:rsidRDefault="00CA2B5C">
      <w:pPr>
        <w:spacing w:before="120" w:after="120"/>
      </w:pPr>
      <w:r>
        <w:rPr>
          <w:b/>
          <w:sz w:val="24"/>
          <w:u w:val="single"/>
        </w:rPr>
        <w:t>Specific decision criteria for the next review</w:t>
      </w:r>
    </w:p>
    <w:p w14:paraId="3B1BB2B9" w14:textId="77777777" w:rsidR="003142D0" w:rsidRDefault="00CA2B5C">
      <w:pPr>
        <w:pStyle w:val="ListBullet"/>
        <w:spacing w:after="120" w:line="240" w:lineRule="auto"/>
      </w:pPr>
      <w:r>
        <w:t>At least one clearly specified model operates for one or more school terms with documented meal volumes, payment reliability, school retention, parent demand, and food safety compliance.</w:t>
      </w:r>
    </w:p>
    <w:p w14:paraId="30A43C26" w14:textId="77777777" w:rsidR="003142D0" w:rsidRDefault="00CA2B5C">
      <w:pPr>
        <w:pStyle w:val="ListBullet"/>
        <w:spacing w:after="120" w:line="240" w:lineRule="auto"/>
      </w:pPr>
      <w:r>
        <w:t>At least one LBA shows credible enterprise performance, including revenue, costs, margins, cash flow, governance functionality, and ability to continue without continuous project problem-solving.</w:t>
      </w:r>
    </w:p>
    <w:p w14:paraId="27A44896" w14:textId="77777777" w:rsidR="003142D0" w:rsidRDefault="00CA2B5C">
      <w:pPr>
        <w:pStyle w:val="ListBullet"/>
        <w:spacing w:after="120" w:line="240" w:lineRule="auto"/>
      </w:pPr>
      <w:r>
        <w:t>The project demonstrates whether parent-paid meals are viable, and at what frequency and price point, in low-cost private or informal schools.</w:t>
      </w:r>
    </w:p>
    <w:p w14:paraId="6481609B" w14:textId="77777777" w:rsidR="003142D0" w:rsidRDefault="00CA2B5C">
      <w:pPr>
        <w:pStyle w:val="ListBullet"/>
        <w:spacing w:after="120" w:line="240" w:lineRule="auto"/>
      </w:pPr>
      <w:r>
        <w:t>The project documents the nutritional quality of meals actually delivered, not only the intention to provide nutritious meals.</w:t>
      </w:r>
    </w:p>
    <w:p w14:paraId="52640A67" w14:textId="77777777" w:rsidR="003142D0" w:rsidRDefault="00CA2B5C">
      <w:pPr>
        <w:pStyle w:val="ListBullet"/>
        <w:spacing w:after="120" w:line="240" w:lineRule="auto"/>
      </w:pPr>
      <w:r>
        <w:t>A public, CSR, school, or private financing pathway is identified with evidence of willingness to pay or budgetary commitment, not just policy interest.</w:t>
      </w:r>
    </w:p>
    <w:p w14:paraId="62EFE111" w14:textId="77777777" w:rsidR="003142D0" w:rsidRDefault="00CA2B5C">
      <w:pPr>
        <w:pStyle w:val="ListBullet"/>
        <w:spacing w:after="120" w:line="240" w:lineRule="auto"/>
      </w:pPr>
      <w:r>
        <w:t>A doer-payer-owner map is agreed for each tested pathway, showing who implements, finances, coordinates, regulates, and monitors after S4I support declines.</w:t>
      </w:r>
    </w:p>
    <w:p w14:paraId="279A263D" w14:textId="77777777" w:rsidR="003142D0" w:rsidRDefault="00CA2B5C">
      <w:pPr>
        <w:pStyle w:val="ListBullet"/>
        <w:spacing w:after="240" w:line="240" w:lineRule="auto"/>
      </w:pPr>
      <w:r>
        <w:t>The project drops or redesigns pathways that fail rather than preserving all activities for political or partnership reasons.</w:t>
      </w:r>
    </w:p>
    <w:p w14:paraId="5FB9BC90" w14:textId="481CB6EC" w:rsidR="003142D0" w:rsidRDefault="00CA2B5C">
      <w:pPr>
        <w:spacing w:before="120" w:after="120"/>
      </w:pPr>
      <w:r>
        <w:rPr>
          <w:b/>
          <w:sz w:val="24"/>
          <w:u w:val="single"/>
        </w:rPr>
        <w:lastRenderedPageBreak/>
        <w:t xml:space="preserve">Final </w:t>
      </w:r>
      <w:r w:rsidR="00685587">
        <w:rPr>
          <w:b/>
          <w:sz w:val="24"/>
          <w:u w:val="single"/>
        </w:rPr>
        <w:t>Comment</w:t>
      </w:r>
    </w:p>
    <w:p w14:paraId="7383C84F" w14:textId="77777777" w:rsidR="003142D0" w:rsidRDefault="00CA2B5C">
      <w:pPr>
        <w:spacing w:after="240" w:line="264" w:lineRule="auto"/>
      </w:pPr>
      <w:r>
        <w:t>On the merits of scaling readiness, this should not have been funded as a Scaling for Impact transition-to-scale investment. It is too early, too activity-based, too under-specified, and too dependent on unproven assumptions about LBAs, parent payment, school demand, food safety, and institutional ownership. If S4I continues support, it should do so only by changing the category: from scaling to proof-of-concept validation. The next phase should be judged by whether it produces hard evidence on viable pathw</w:t>
      </w:r>
      <w:r>
        <w:t>ays, not by whether it reaches more schools or trains more actors.</w:t>
      </w:r>
    </w:p>
    <w:p w14:paraId="21A88366" w14:textId="77777777" w:rsidR="003142D0" w:rsidRDefault="00CA2B5C">
      <w:pPr>
        <w:spacing w:after="240" w:line="264" w:lineRule="auto"/>
      </w:pPr>
      <w:r>
        <w:t>The strongest possible result of the next year would not necessarily be a successful model. It might be a clear decision that one pathway is viable, one is not, and one requires public subsidy. That would be useful. The weakest result would be more activities, more actors, more workshops, more awareness, and continued ambiguity about who pays, who implements, and what success means. S4I should insist on the former and refuse to finance the latter.</w:t>
      </w:r>
    </w:p>
    <w:sectPr w:rsidR="003142D0" w:rsidSect="00034616">
      <w:footerReference w:type="default" r:id="rId8"/>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7B2BD" w14:textId="77777777" w:rsidR="00CA2B5C" w:rsidRDefault="00CA2B5C">
      <w:pPr>
        <w:spacing w:after="0" w:line="240" w:lineRule="auto"/>
      </w:pPr>
      <w:r>
        <w:separator/>
      </w:r>
    </w:p>
  </w:endnote>
  <w:endnote w:type="continuationSeparator" w:id="0">
    <w:p w14:paraId="3E01460B" w14:textId="77777777" w:rsidR="00CA2B5C" w:rsidRDefault="00CA2B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3C3F7" w14:textId="77777777" w:rsidR="003142D0" w:rsidRDefault="003142D0">
    <w:pPr>
      <w:pStyle w:val="Footer"/>
    </w:pPr>
  </w:p>
  <w:tbl>
    <w:tblPr>
      <w:tblW w:w="0" w:type="auto"/>
      <w:tblLook w:val="04A0" w:firstRow="1" w:lastRow="0" w:firstColumn="1" w:lastColumn="0" w:noHBand="0" w:noVBand="1"/>
    </w:tblPr>
    <w:tblGrid>
      <w:gridCol w:w="3010"/>
      <w:gridCol w:w="3010"/>
      <w:gridCol w:w="3010"/>
    </w:tblGrid>
    <w:tr w:rsidR="003142D0" w14:paraId="200231F9" w14:textId="77777777">
      <w:tc>
        <w:tcPr>
          <w:tcW w:w="3010" w:type="dxa"/>
          <w:tcBorders>
            <w:top w:val="nil"/>
            <w:left w:val="nil"/>
            <w:bottom w:val="nil"/>
            <w:right w:val="nil"/>
          </w:tcBorders>
        </w:tcPr>
        <w:p w14:paraId="13719CBF" w14:textId="77777777" w:rsidR="003142D0" w:rsidRDefault="00CA2B5C">
          <w:r>
            <w:rPr>
              <w:sz w:val="20"/>
            </w:rPr>
            <w:t>Author: Richard Kohl</w:t>
          </w:r>
        </w:p>
      </w:tc>
      <w:tc>
        <w:tcPr>
          <w:tcW w:w="3010" w:type="dxa"/>
          <w:tcBorders>
            <w:top w:val="nil"/>
            <w:left w:val="nil"/>
            <w:bottom w:val="nil"/>
            <w:right w:val="nil"/>
          </w:tcBorders>
        </w:tcPr>
        <w:p w14:paraId="0896FFD7" w14:textId="77777777" w:rsidR="003142D0" w:rsidRDefault="00CA2B5C">
          <w:pPr>
            <w:jc w:val="center"/>
          </w:pPr>
          <w:r>
            <w:rPr>
              <w:sz w:val="20"/>
            </w:rPr>
            <w:t xml:space="preserve">Page </w:t>
          </w:r>
          <w:r>
            <w:fldChar w:fldCharType="begin"/>
          </w:r>
          <w:r>
            <w:instrText>PAGE</w:instrText>
          </w:r>
          <w:r>
            <w:fldChar w:fldCharType="separate"/>
          </w:r>
          <w:r>
            <w:t>1</w:t>
          </w:r>
          <w:r>
            <w:fldChar w:fldCharType="end"/>
          </w:r>
          <w:r>
            <w:rPr>
              <w:sz w:val="20"/>
            </w:rPr>
            <w:t xml:space="preserve"> of </w:t>
          </w:r>
          <w:r>
            <w:fldChar w:fldCharType="begin"/>
          </w:r>
          <w:r>
            <w:instrText>NUMPAGES</w:instrText>
          </w:r>
          <w:r>
            <w:fldChar w:fldCharType="separate"/>
          </w:r>
          <w:r>
            <w:t>1</w:t>
          </w:r>
          <w:r>
            <w:fldChar w:fldCharType="end"/>
          </w:r>
        </w:p>
      </w:tc>
      <w:tc>
        <w:tcPr>
          <w:tcW w:w="3010" w:type="dxa"/>
          <w:tcBorders>
            <w:top w:val="nil"/>
            <w:left w:val="nil"/>
            <w:bottom w:val="nil"/>
            <w:right w:val="nil"/>
          </w:tcBorders>
        </w:tcPr>
        <w:p w14:paraId="23E19447" w14:textId="77777777" w:rsidR="003142D0" w:rsidRDefault="00CA2B5C">
          <w:pPr>
            <w:jc w:val="right"/>
          </w:pPr>
          <w:r>
            <w:rPr>
              <w:sz w:val="20"/>
            </w:rPr>
            <w:t>June 23, 2026</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4D293" w14:textId="77777777" w:rsidR="00CA2B5C" w:rsidRDefault="00CA2B5C">
      <w:pPr>
        <w:spacing w:after="0" w:line="240" w:lineRule="auto"/>
      </w:pPr>
      <w:r>
        <w:separator/>
      </w:r>
    </w:p>
  </w:footnote>
  <w:footnote w:type="continuationSeparator" w:id="0">
    <w:p w14:paraId="3DA31A7E" w14:textId="77777777" w:rsidR="00CA2B5C" w:rsidRDefault="00CA2B5C">
      <w:pPr>
        <w:spacing w:after="0" w:line="240" w:lineRule="auto"/>
      </w:pPr>
      <w:r>
        <w:continuationSeparator/>
      </w:r>
    </w:p>
  </w:footnote>
  <w:footnote w:id="1">
    <w:p w14:paraId="622242B9" w14:textId="19E0086E" w:rsidR="00D667FB" w:rsidRPr="00B44A40" w:rsidRDefault="00D667FB">
      <w:pPr>
        <w:pStyle w:val="FootnoteText"/>
        <w:rPr>
          <w:sz w:val="18"/>
          <w:szCs w:val="18"/>
        </w:rPr>
      </w:pPr>
      <w:r>
        <w:rPr>
          <w:rStyle w:val="FootnoteReference"/>
        </w:rPr>
        <w:footnoteRef/>
      </w:r>
      <w:r>
        <w:t xml:space="preserve"> </w:t>
      </w:r>
      <w:r w:rsidRPr="00B44A40">
        <w:rPr>
          <w:b/>
          <w:bCs/>
          <w:sz w:val="18"/>
          <w:szCs w:val="18"/>
        </w:rPr>
        <w:t>APBET schools emerged largely because public schools were absent or overcrowded.</w:t>
      </w:r>
      <w:r w:rsidRPr="00B44A40">
        <w:rPr>
          <w:sz w:val="18"/>
          <w:szCs w:val="18"/>
        </w:rPr>
        <w:t xml:space="preserve"> </w:t>
      </w:r>
      <w:r w:rsidRPr="00B44A40">
        <w:rPr>
          <w:b/>
          <w:bCs/>
          <w:sz w:val="18"/>
          <w:szCs w:val="18"/>
        </w:rPr>
        <w:t>Most APBET schools depend heavily on parent fees.</w:t>
      </w:r>
      <w:r w:rsidRPr="00B44A40">
        <w:rPr>
          <w:b/>
          <w:bCs/>
          <w:sz w:val="18"/>
          <w:szCs w:val="18"/>
        </w:rPr>
        <w:t xml:space="preserve"> </w:t>
      </w:r>
      <w:r w:rsidRPr="00B44A40">
        <w:rPr>
          <w:b/>
          <w:bCs/>
          <w:sz w:val="18"/>
          <w:szCs w:val="18"/>
        </w:rPr>
        <w:t>3. COVID exposed how financially vulnerable they are.</w:t>
      </w:r>
      <w:r w:rsidRPr="00B44A40">
        <w:rPr>
          <w:b/>
          <w:bCs/>
          <w:sz w:val="18"/>
          <w:szCs w:val="18"/>
        </w:rPr>
        <w:t xml:space="preserve"> </w:t>
      </w:r>
      <w:r w:rsidRPr="00B44A40">
        <w:rPr>
          <w:sz w:val="18"/>
          <w:szCs w:val="18"/>
        </w:rPr>
        <w:t>S</w:t>
      </w:r>
      <w:r w:rsidRPr="00B44A40">
        <w:rPr>
          <w:sz w:val="18"/>
          <w:szCs w:val="18"/>
        </w:rPr>
        <w:t>tudies of low-cost private schools in Nairobi's informal settlements found severe financial stress when schools closed and fee income disappeared. Many schools accumulated debt, lost teachers, or faced existential threats. (</w:t>
      </w:r>
      <w:hyperlink r:id="rId1" w:tooltip="exploring-effects-covid-19-pandemic-low-cost-private- ..." w:history="1">
        <w:r w:rsidRPr="00B44A40">
          <w:rPr>
            <w:rStyle w:val="Hyperlink"/>
            <w:sz w:val="18"/>
            <w:szCs w:val="18"/>
          </w:rPr>
          <w:t>Center For Global Development</w:t>
        </w:r>
      </w:hyperlink>
      <w:r w:rsidRPr="00B44A40">
        <w:rPr>
          <w:sz w:val="18"/>
          <w:szCs w:val="18"/>
        </w:rPr>
        <w:t>)</w:t>
      </w:r>
      <w:r w:rsidRPr="00B44A40">
        <w:rPr>
          <w:sz w:val="18"/>
          <w:szCs w:val="18"/>
        </w:rPr>
        <w:t xml:space="preserve"> </w:t>
      </w:r>
      <w:r w:rsidRPr="00B44A40">
        <w:rPr>
          <w:b/>
          <w:bCs/>
          <w:sz w:val="18"/>
          <w:szCs w:val="18"/>
        </w:rPr>
        <w:t>The sector appears highly dynamic.</w:t>
      </w:r>
      <w:r w:rsidRPr="00B44A40">
        <w:rPr>
          <w:b/>
          <w:bCs/>
          <w:sz w:val="18"/>
          <w:szCs w:val="18"/>
        </w:rPr>
        <w:t xml:space="preserve"> </w:t>
      </w:r>
      <w:r w:rsidRPr="00B44A40">
        <w:rPr>
          <w:sz w:val="18"/>
          <w:szCs w:val="18"/>
        </w:rPr>
        <w:t>Multiple reports describe APBET and low-fee private schools as "mushrooming" in informal settlements, suggesting continual entry and exit rather than a stable population of institutions. (</w:t>
      </w:r>
      <w:hyperlink r:id="rId2" w:tooltip="Access to quality education in urban informal settlements ..." w:history="1">
        <w:r w:rsidRPr="00B44A40">
          <w:rPr>
            <w:rStyle w:val="Hyperlink"/>
            <w:sz w:val="18"/>
            <w:szCs w:val="18"/>
          </w:rPr>
          <w:t>reliafrica.org</w:t>
        </w:r>
      </w:hyperlink>
      <w:r w:rsidRPr="00B44A40">
        <w:rPr>
          <w:sz w:val="18"/>
          <w:szCs w:val="18"/>
        </w:rPr>
        <w:t>)</w:t>
      </w:r>
      <w:r w:rsidR="008C7AD5" w:rsidRPr="00B44A40">
        <w:rPr>
          <w:sz w:val="18"/>
          <w:szCs w:val="18"/>
        </w:rPr>
        <w:t xml:space="preserve">. </w:t>
      </w:r>
      <w:r w:rsidR="00B44A40" w:rsidRPr="00B44A40">
        <w:rPr>
          <w:sz w:val="18"/>
          <w:szCs w:val="18"/>
        </w:rPr>
        <w:t>It is not clear what kind of due diligence the IFPRI project conducts and whether it know whether, of</w:t>
      </w:r>
      <w:r w:rsidRPr="00B44A40">
        <w:rPr>
          <w:sz w:val="18"/>
          <w:szCs w:val="18"/>
        </w:rPr>
        <w:t xml:space="preserve"> the APBET schools </w:t>
      </w:r>
      <w:r w:rsidR="00B44A40" w:rsidRPr="00B44A40">
        <w:rPr>
          <w:sz w:val="18"/>
          <w:szCs w:val="18"/>
        </w:rPr>
        <w:t>they</w:t>
      </w:r>
      <w:r w:rsidRPr="00B44A40">
        <w:rPr>
          <w:sz w:val="18"/>
          <w:szCs w:val="18"/>
        </w:rPr>
        <w:t xml:space="preserve"> are working with, how many have been operating for at least five years, and what percentage have experienced major enrollment declines, ownership changes, or temporary closures in the last three years</w:t>
      </w:r>
      <w:r w:rsidR="00B44A40" w:rsidRPr="00B44A40">
        <w:rPr>
          <w:sz w:val="18"/>
          <w:szCs w:val="18"/>
        </w:rPr>
        <w:t xml:space="preserve">. Let alone the same question for the overall school number target. They do not appear to have </w:t>
      </w:r>
      <w:proofErr w:type="gramStart"/>
      <w:r w:rsidR="00B44A40" w:rsidRPr="00B44A40">
        <w:rPr>
          <w:sz w:val="18"/>
          <w:szCs w:val="18"/>
        </w:rPr>
        <w:t xml:space="preserve">clear </w:t>
      </w:r>
      <w:r w:rsidRPr="00B44A40">
        <w:rPr>
          <w:sz w:val="18"/>
          <w:szCs w:val="18"/>
        </w:rPr>
        <w:t xml:space="preserve"> assumptions</w:t>
      </w:r>
      <w:proofErr w:type="gramEnd"/>
      <w:r w:rsidRPr="00B44A40">
        <w:rPr>
          <w:sz w:val="18"/>
          <w:szCs w:val="18"/>
        </w:rPr>
        <w:t xml:space="preserve"> about school survival and enrollment stability </w:t>
      </w:r>
      <w:r w:rsidR="00B44A40" w:rsidRPr="00B44A40">
        <w:rPr>
          <w:sz w:val="18"/>
          <w:szCs w:val="18"/>
        </w:rPr>
        <w:t xml:space="preserve">that </w:t>
      </w:r>
      <w:r w:rsidRPr="00B44A40">
        <w:rPr>
          <w:sz w:val="18"/>
          <w:szCs w:val="18"/>
        </w:rPr>
        <w:t>are built into the business model</w:t>
      </w:r>
      <w:r w:rsidR="00B44A40" w:rsidRPr="00B44A40">
        <w:rPr>
          <w:sz w:val="18"/>
          <w:szCs w:val="18"/>
        </w:rPr>
        <w:t xml:space="preserve">. </w:t>
      </w:r>
    </w:p>
  </w:footnote>
  <w:footnote w:id="2">
    <w:p w14:paraId="0C2A8C4F" w14:textId="5E32B8F5" w:rsidR="00100A91" w:rsidRPr="001B7795" w:rsidRDefault="00100A91">
      <w:pPr>
        <w:pStyle w:val="FootnoteText"/>
        <w:rPr>
          <w:sz w:val="18"/>
          <w:szCs w:val="18"/>
        </w:rPr>
      </w:pPr>
      <w:r>
        <w:rPr>
          <w:rStyle w:val="FootnoteReference"/>
        </w:rPr>
        <w:footnoteRef/>
      </w:r>
      <w:r>
        <w:t xml:space="preserve"> </w:t>
      </w:r>
      <w:r w:rsidRPr="00100A91">
        <w:rPr>
          <w:sz w:val="18"/>
          <w:szCs w:val="18"/>
        </w:rPr>
        <w:t xml:space="preserve">Their role </w:t>
      </w:r>
      <w:proofErr w:type="gramStart"/>
      <w:r w:rsidRPr="00100A91">
        <w:rPr>
          <w:sz w:val="18"/>
          <w:szCs w:val="18"/>
        </w:rPr>
        <w:t>includes:</w:t>
      </w:r>
      <w:proofErr w:type="gramEnd"/>
      <w:r w:rsidRPr="00100A91">
        <w:rPr>
          <w:sz w:val="18"/>
          <w:szCs w:val="18"/>
        </w:rPr>
        <w:t xml:space="preserve"> </w:t>
      </w:r>
      <w:r w:rsidRPr="00100A91">
        <w:rPr>
          <w:sz w:val="18"/>
          <w:szCs w:val="18"/>
        </w:rPr>
        <w:t>Organizing community dialogues</w:t>
      </w:r>
      <w:r w:rsidRPr="00100A91">
        <w:rPr>
          <w:sz w:val="18"/>
          <w:szCs w:val="18"/>
        </w:rPr>
        <w:t xml:space="preserve">, </w:t>
      </w:r>
      <w:proofErr w:type="gramStart"/>
      <w:r w:rsidRPr="00100A91">
        <w:rPr>
          <w:sz w:val="18"/>
          <w:szCs w:val="18"/>
        </w:rPr>
        <w:t>Conducting</w:t>
      </w:r>
      <w:proofErr w:type="gramEnd"/>
      <w:r w:rsidRPr="00100A91">
        <w:rPr>
          <w:sz w:val="18"/>
          <w:szCs w:val="18"/>
        </w:rPr>
        <w:t xml:space="preserve"> nutrition awareness activities</w:t>
      </w:r>
      <w:r w:rsidRPr="00100A91">
        <w:rPr>
          <w:sz w:val="18"/>
          <w:szCs w:val="18"/>
        </w:rPr>
        <w:t xml:space="preserve">, </w:t>
      </w:r>
      <w:proofErr w:type="gramStart"/>
      <w:r w:rsidRPr="00100A91">
        <w:rPr>
          <w:sz w:val="18"/>
          <w:szCs w:val="18"/>
        </w:rPr>
        <w:t>Running</w:t>
      </w:r>
      <w:proofErr w:type="gramEnd"/>
      <w:r w:rsidRPr="00100A91">
        <w:rPr>
          <w:sz w:val="18"/>
          <w:szCs w:val="18"/>
        </w:rPr>
        <w:t xml:space="preserve"> cooking demonstrations</w:t>
      </w:r>
      <w:r w:rsidRPr="00100A91">
        <w:rPr>
          <w:sz w:val="18"/>
          <w:szCs w:val="18"/>
        </w:rPr>
        <w:t xml:space="preserve">, </w:t>
      </w:r>
      <w:r w:rsidRPr="00100A91">
        <w:rPr>
          <w:sz w:val="18"/>
          <w:szCs w:val="18"/>
        </w:rPr>
        <w:t xml:space="preserve">Engaging parents around healthy </w:t>
      </w:r>
      <w:proofErr w:type="gramStart"/>
      <w:r w:rsidRPr="00100A91">
        <w:rPr>
          <w:sz w:val="18"/>
          <w:szCs w:val="18"/>
        </w:rPr>
        <w:t>diets</w:t>
      </w:r>
      <w:r w:rsidRPr="00100A91">
        <w:rPr>
          <w:sz w:val="18"/>
          <w:szCs w:val="18"/>
        </w:rPr>
        <w:t xml:space="preserve">,  </w:t>
      </w:r>
      <w:r w:rsidRPr="00100A91">
        <w:rPr>
          <w:sz w:val="18"/>
          <w:szCs w:val="18"/>
        </w:rPr>
        <w:t>Promoting</w:t>
      </w:r>
      <w:proofErr w:type="gramEnd"/>
      <w:r w:rsidRPr="00100A91">
        <w:rPr>
          <w:sz w:val="18"/>
          <w:szCs w:val="18"/>
        </w:rPr>
        <w:t xml:space="preserve"> the value of school meals</w:t>
      </w:r>
      <w:r w:rsidRPr="00100A91">
        <w:rPr>
          <w:sz w:val="18"/>
          <w:szCs w:val="18"/>
        </w:rPr>
        <w:t xml:space="preserve">, </w:t>
      </w:r>
      <w:proofErr w:type="gramStart"/>
      <w:r w:rsidRPr="00100A91">
        <w:rPr>
          <w:sz w:val="18"/>
          <w:szCs w:val="18"/>
        </w:rPr>
        <w:t>Potentially</w:t>
      </w:r>
      <w:proofErr w:type="gramEnd"/>
      <w:r w:rsidRPr="00100A91">
        <w:rPr>
          <w:sz w:val="18"/>
          <w:szCs w:val="18"/>
        </w:rPr>
        <w:t xml:space="preserve"> influencing willingness to pay for school meals</w:t>
      </w:r>
      <w:r w:rsidRPr="00100A91">
        <w:rPr>
          <w:sz w:val="18"/>
          <w:szCs w:val="18"/>
        </w:rPr>
        <w:t xml:space="preserve">, </w:t>
      </w:r>
      <w:proofErr w:type="gramStart"/>
      <w:r w:rsidRPr="00100A91">
        <w:rPr>
          <w:sz w:val="18"/>
          <w:szCs w:val="18"/>
        </w:rPr>
        <w:t xml:space="preserve">and  </w:t>
      </w:r>
      <w:r w:rsidRPr="00100A91">
        <w:rPr>
          <w:sz w:val="18"/>
          <w:szCs w:val="18"/>
        </w:rPr>
        <w:t>Creating</w:t>
      </w:r>
      <w:proofErr w:type="gramEnd"/>
      <w:r w:rsidRPr="00100A91">
        <w:rPr>
          <w:sz w:val="18"/>
          <w:szCs w:val="18"/>
        </w:rPr>
        <w:t xml:space="preserve"> local demand for nutritious foods supplied through the school meals system</w:t>
      </w:r>
    </w:p>
  </w:footnote>
  <w:footnote w:id="3">
    <w:p w14:paraId="59DEDE8B" w14:textId="2D42B23A" w:rsidR="001B7795" w:rsidRPr="001B7795" w:rsidRDefault="001B7795" w:rsidP="001B7795">
      <w:pPr>
        <w:pStyle w:val="FootnoteText"/>
        <w:rPr>
          <w:sz w:val="18"/>
          <w:szCs w:val="18"/>
        </w:rPr>
      </w:pPr>
      <w:r>
        <w:rPr>
          <w:rStyle w:val="FootnoteReference"/>
        </w:rPr>
        <w:footnoteRef/>
      </w:r>
      <w:r w:rsidRPr="001B7795">
        <w:rPr>
          <w:lang w:val="de-DE"/>
        </w:rPr>
        <w:t xml:space="preserve"> </w:t>
      </w:r>
      <w:r w:rsidR="00C52DEF">
        <w:rPr>
          <w:lang w:val="de-DE"/>
        </w:rPr>
        <w:t xml:space="preserve">A) </w:t>
      </w:r>
      <w:r w:rsidRPr="001B7795">
        <w:rPr>
          <w:sz w:val="18"/>
          <w:szCs w:val="18"/>
          <w:lang w:val="de-DE"/>
        </w:rPr>
        <w:t xml:space="preserve">Waswa, L.M., Jordan, I., Herrmann, J., Krawinkel, M.B., and Keding, G.B. (2015). </w:t>
      </w:r>
      <w:r w:rsidRPr="001B7795">
        <w:rPr>
          <w:i/>
          <w:iCs/>
          <w:sz w:val="18"/>
          <w:szCs w:val="18"/>
        </w:rPr>
        <w:t>Community-Based Educational Intervention Improved the Diversity of Complementary Diets in Western Kenya: Results from a Randomized Controlled Trial</w:t>
      </w:r>
      <w:r w:rsidRPr="001B7795">
        <w:rPr>
          <w:sz w:val="18"/>
          <w:szCs w:val="18"/>
        </w:rPr>
        <w:t xml:space="preserve">. </w:t>
      </w:r>
      <w:r w:rsidRPr="001B7795">
        <w:rPr>
          <w:b/>
          <w:bCs/>
          <w:sz w:val="18"/>
          <w:szCs w:val="18"/>
        </w:rPr>
        <w:t>Public Health Nutrition</w:t>
      </w:r>
      <w:r w:rsidRPr="001B7795">
        <w:rPr>
          <w:sz w:val="18"/>
          <w:szCs w:val="18"/>
        </w:rPr>
        <w:t xml:space="preserve">, 18(18), 3406–3419. </w:t>
      </w:r>
      <w:r w:rsidR="00C52DEF">
        <w:rPr>
          <w:sz w:val="18"/>
          <w:szCs w:val="18"/>
        </w:rPr>
        <w:t xml:space="preserve">B) </w:t>
      </w:r>
      <w:r w:rsidRPr="001B7795">
        <w:rPr>
          <w:sz w:val="18"/>
          <w:szCs w:val="18"/>
        </w:rPr>
        <w:t xml:space="preserve"> </w:t>
      </w:r>
      <w:r w:rsidRPr="001B7795">
        <w:rPr>
          <w:sz w:val="18"/>
          <w:szCs w:val="18"/>
        </w:rPr>
        <w:t xml:space="preserve">Faye, C.M., Fonn, S., Levin, J., and Kimani-Murage, E.W. (2019). </w:t>
      </w:r>
      <w:r w:rsidRPr="001B7795">
        <w:rPr>
          <w:i/>
          <w:iCs/>
          <w:sz w:val="18"/>
          <w:szCs w:val="18"/>
        </w:rPr>
        <w:t>Family Influences on Child Nutritional Outcomes in Nairobi's Informal Settlements</w:t>
      </w:r>
      <w:r w:rsidRPr="001B7795">
        <w:rPr>
          <w:sz w:val="18"/>
          <w:szCs w:val="18"/>
        </w:rPr>
        <w:t xml:space="preserve">. </w:t>
      </w:r>
      <w:r w:rsidRPr="001B7795">
        <w:rPr>
          <w:b/>
          <w:bCs/>
          <w:sz w:val="18"/>
          <w:szCs w:val="18"/>
        </w:rPr>
        <w:t>BMC Public Health</w:t>
      </w:r>
      <w:r w:rsidRPr="001B7795">
        <w:rPr>
          <w:sz w:val="18"/>
          <w:szCs w:val="18"/>
        </w:rPr>
        <w:t xml:space="preserve">, 19, Article 142. </w:t>
      </w:r>
      <w:r w:rsidR="00C52DEF">
        <w:rPr>
          <w:sz w:val="18"/>
          <w:szCs w:val="18"/>
        </w:rPr>
        <w:t xml:space="preserve">C) </w:t>
      </w:r>
      <w:r w:rsidRPr="001B7795">
        <w:rPr>
          <w:sz w:val="18"/>
          <w:szCs w:val="18"/>
        </w:rPr>
        <w:t xml:space="preserve">Kimani-Murage, E.W., Madise, N.J., Fotso, J.C., Kyobutungi, C., Mutua, M.K., Gitau, T.M., and Yatich, N. (2011). </w:t>
      </w:r>
      <w:r w:rsidRPr="001B7795">
        <w:rPr>
          <w:i/>
          <w:iCs/>
          <w:sz w:val="18"/>
          <w:szCs w:val="18"/>
        </w:rPr>
        <w:t>Patterns and Determinants of Breastfeeding and Complementary Feeding Practices in Urban Informal Settlements, Nairobi Kenya</w:t>
      </w:r>
      <w:r w:rsidRPr="001B7795">
        <w:rPr>
          <w:sz w:val="18"/>
          <w:szCs w:val="18"/>
        </w:rPr>
        <w:t xml:space="preserve">. </w:t>
      </w:r>
      <w:r w:rsidRPr="001B7795">
        <w:rPr>
          <w:b/>
          <w:bCs/>
          <w:sz w:val="18"/>
          <w:szCs w:val="18"/>
        </w:rPr>
        <w:t>BMC Public Health</w:t>
      </w:r>
      <w:r w:rsidRPr="001B7795">
        <w:rPr>
          <w:sz w:val="18"/>
          <w:szCs w:val="18"/>
        </w:rPr>
        <w:t xml:space="preserve">, 11, 396. </w:t>
      </w:r>
      <w:r>
        <w:rPr>
          <w:sz w:val="18"/>
          <w:szCs w:val="18"/>
        </w:rPr>
        <w:t xml:space="preserve"> </w:t>
      </w:r>
      <w:r w:rsidR="00C52DEF">
        <w:rPr>
          <w:sz w:val="18"/>
          <w:szCs w:val="18"/>
        </w:rPr>
        <w:t xml:space="preserve">D) </w:t>
      </w:r>
      <w:r w:rsidRPr="001B7795">
        <w:rPr>
          <w:sz w:val="18"/>
          <w:szCs w:val="18"/>
        </w:rPr>
        <w:t xml:space="preserve">Kiprono, P.J., et al. (2023). </w:t>
      </w:r>
      <w:r w:rsidRPr="001B7795">
        <w:rPr>
          <w:i/>
          <w:iCs/>
          <w:sz w:val="18"/>
          <w:szCs w:val="18"/>
        </w:rPr>
        <w:t>Impact of Nutrition Education Videos on Child Feeding Practices in Urban</w:t>
      </w:r>
      <w:r w:rsidR="009C657E" w:rsidRPr="009C657E">
        <w:rPr>
          <w:i/>
          <w:iCs/>
          <w:sz w:val="22"/>
          <w:szCs w:val="22"/>
        </w:rPr>
        <w:t xml:space="preserve"> </w:t>
      </w:r>
      <w:r w:rsidR="009C657E" w:rsidRPr="009C657E">
        <w:rPr>
          <w:i/>
          <w:iCs/>
          <w:sz w:val="18"/>
          <w:szCs w:val="18"/>
        </w:rPr>
        <w:t xml:space="preserve">Informal Settlements of Nairobi. </w:t>
      </w:r>
      <w:r w:rsidR="009C657E" w:rsidRPr="009C657E">
        <w:rPr>
          <w:b/>
          <w:bCs/>
          <w:i/>
          <w:iCs/>
          <w:sz w:val="18"/>
          <w:szCs w:val="18"/>
        </w:rPr>
        <w:t>Health Education and Public Health</w:t>
      </w:r>
      <w:r w:rsidR="009C657E" w:rsidRPr="009C657E">
        <w:rPr>
          <w:i/>
          <w:iCs/>
          <w:sz w:val="18"/>
          <w:szCs w:val="18"/>
        </w:rPr>
        <w:t>, 6(1), 1–10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2600A7"/>
    <w:multiLevelType w:val="multilevel"/>
    <w:tmpl w:val="5930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2E6D34"/>
    <w:multiLevelType w:val="hybridMultilevel"/>
    <w:tmpl w:val="44B652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3C202A"/>
    <w:multiLevelType w:val="hybridMultilevel"/>
    <w:tmpl w:val="FDDA4B5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4F8644F"/>
    <w:multiLevelType w:val="multilevel"/>
    <w:tmpl w:val="F9EEB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2E72E7"/>
    <w:multiLevelType w:val="hybridMultilevel"/>
    <w:tmpl w:val="C63A3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93106C"/>
    <w:multiLevelType w:val="multilevel"/>
    <w:tmpl w:val="74B85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E472FF"/>
    <w:multiLevelType w:val="hybridMultilevel"/>
    <w:tmpl w:val="080E65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424C9D"/>
    <w:multiLevelType w:val="hybridMultilevel"/>
    <w:tmpl w:val="C750F4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F76C05"/>
    <w:multiLevelType w:val="multilevel"/>
    <w:tmpl w:val="A8F0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937AC4"/>
    <w:multiLevelType w:val="multilevel"/>
    <w:tmpl w:val="1A30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8073212">
    <w:abstractNumId w:val="8"/>
  </w:num>
  <w:num w:numId="2" w16cid:durableId="1193961108">
    <w:abstractNumId w:val="6"/>
  </w:num>
  <w:num w:numId="3" w16cid:durableId="621496781">
    <w:abstractNumId w:val="5"/>
  </w:num>
  <w:num w:numId="4" w16cid:durableId="313679852">
    <w:abstractNumId w:val="4"/>
  </w:num>
  <w:num w:numId="5" w16cid:durableId="54551496">
    <w:abstractNumId w:val="7"/>
  </w:num>
  <w:num w:numId="6" w16cid:durableId="1451557972">
    <w:abstractNumId w:val="3"/>
  </w:num>
  <w:num w:numId="7" w16cid:durableId="1286540181">
    <w:abstractNumId w:val="2"/>
  </w:num>
  <w:num w:numId="8" w16cid:durableId="1618174787">
    <w:abstractNumId w:val="1"/>
  </w:num>
  <w:num w:numId="9" w16cid:durableId="1582447600">
    <w:abstractNumId w:val="0"/>
  </w:num>
  <w:num w:numId="10" w16cid:durableId="1774403302">
    <w:abstractNumId w:val="16"/>
  </w:num>
  <w:num w:numId="11" w16cid:durableId="320358024">
    <w:abstractNumId w:val="11"/>
  </w:num>
  <w:num w:numId="12" w16cid:durableId="755709395">
    <w:abstractNumId w:val="8"/>
  </w:num>
  <w:num w:numId="13" w16cid:durableId="1126118776">
    <w:abstractNumId w:val="8"/>
  </w:num>
  <w:num w:numId="14" w16cid:durableId="484514645">
    <w:abstractNumId w:val="14"/>
  </w:num>
  <w:num w:numId="15" w16cid:durableId="2019844457">
    <w:abstractNumId w:val="17"/>
  </w:num>
  <w:num w:numId="16" w16cid:durableId="145248929">
    <w:abstractNumId w:val="18"/>
  </w:num>
  <w:num w:numId="17" w16cid:durableId="1102263526">
    <w:abstractNumId w:val="12"/>
  </w:num>
  <w:num w:numId="18" w16cid:durableId="962807907">
    <w:abstractNumId w:val="9"/>
  </w:num>
  <w:num w:numId="19" w16cid:durableId="1604679779">
    <w:abstractNumId w:val="13"/>
  </w:num>
  <w:num w:numId="20" w16cid:durableId="267664578">
    <w:abstractNumId w:val="15"/>
  </w:num>
  <w:num w:numId="21" w16cid:durableId="15846110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2CC"/>
    <w:rsid w:val="00012F99"/>
    <w:rsid w:val="000271E0"/>
    <w:rsid w:val="00034616"/>
    <w:rsid w:val="0006063C"/>
    <w:rsid w:val="000A0956"/>
    <w:rsid w:val="000C1D61"/>
    <w:rsid w:val="00100A91"/>
    <w:rsid w:val="0015074B"/>
    <w:rsid w:val="00186C71"/>
    <w:rsid w:val="001B7795"/>
    <w:rsid w:val="0023596C"/>
    <w:rsid w:val="0029639D"/>
    <w:rsid w:val="002F2E57"/>
    <w:rsid w:val="003142D0"/>
    <w:rsid w:val="00326F90"/>
    <w:rsid w:val="003505D6"/>
    <w:rsid w:val="003B48D9"/>
    <w:rsid w:val="003C0DF1"/>
    <w:rsid w:val="003F5F5E"/>
    <w:rsid w:val="00433C6F"/>
    <w:rsid w:val="00586B40"/>
    <w:rsid w:val="005C04C7"/>
    <w:rsid w:val="00601596"/>
    <w:rsid w:val="00614087"/>
    <w:rsid w:val="00627063"/>
    <w:rsid w:val="00651E01"/>
    <w:rsid w:val="00685587"/>
    <w:rsid w:val="006A04FA"/>
    <w:rsid w:val="006A35BA"/>
    <w:rsid w:val="006F0A4A"/>
    <w:rsid w:val="0070151A"/>
    <w:rsid w:val="007830F8"/>
    <w:rsid w:val="008032DE"/>
    <w:rsid w:val="008C7AD5"/>
    <w:rsid w:val="008E2709"/>
    <w:rsid w:val="00925D86"/>
    <w:rsid w:val="0092774E"/>
    <w:rsid w:val="009B6199"/>
    <w:rsid w:val="009C657E"/>
    <w:rsid w:val="00A46FBF"/>
    <w:rsid w:val="00A71D97"/>
    <w:rsid w:val="00AA1D8D"/>
    <w:rsid w:val="00B44A40"/>
    <w:rsid w:val="00B47730"/>
    <w:rsid w:val="00BD7B5C"/>
    <w:rsid w:val="00C35CAE"/>
    <w:rsid w:val="00C52221"/>
    <w:rsid w:val="00C52DEF"/>
    <w:rsid w:val="00CA2B5C"/>
    <w:rsid w:val="00CB0664"/>
    <w:rsid w:val="00CE52AC"/>
    <w:rsid w:val="00CF729C"/>
    <w:rsid w:val="00D5724E"/>
    <w:rsid w:val="00D667FB"/>
    <w:rsid w:val="00DF6816"/>
    <w:rsid w:val="00E83571"/>
    <w:rsid w:val="00F26717"/>
    <w:rsid w:val="00F31A26"/>
    <w:rsid w:val="00FC1B4E"/>
    <w:rsid w:val="00FC4E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AC17BF8-9D37-4CFB-9083-9B204887E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3C0DF1"/>
    <w:pPr>
      <w:keepNext/>
      <w:keepLines/>
      <w:spacing w:before="480" w:after="0"/>
      <w:outlineLvl w:val="0"/>
    </w:pPr>
    <w:rPr>
      <w:rFonts w:asciiTheme="majorHAnsi" w:eastAsiaTheme="majorEastAsia" w:hAnsiTheme="majorHAnsi" w:cstheme="majorBidi"/>
      <w:b/>
      <w:bCs/>
      <w:color w:val="000000" w:themeColor="text1"/>
      <w:sz w:val="28"/>
      <w:szCs w:val="28"/>
      <w:u w:val="single"/>
    </w:rPr>
  </w:style>
  <w:style w:type="paragraph" w:styleId="Heading2">
    <w:name w:val="heading 2"/>
    <w:basedOn w:val="Normal"/>
    <w:next w:val="Normal"/>
    <w:link w:val="Heading2Char"/>
    <w:uiPriority w:val="9"/>
    <w:unhideWhenUsed/>
    <w:qFormat/>
    <w:rsid w:val="00586B40"/>
    <w:pPr>
      <w:keepNext/>
      <w:keepLines/>
      <w:spacing w:before="200" w:after="0"/>
      <w:outlineLvl w:val="1"/>
    </w:pPr>
    <w:rPr>
      <w:rFonts w:asciiTheme="majorHAnsi" w:eastAsiaTheme="majorEastAsia" w:hAnsiTheme="majorHAnsi" w:cstheme="majorBidi"/>
      <w:b/>
      <w:bCs/>
      <w:color w:val="000000" w:themeColor="tex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3C0DF1"/>
    <w:rPr>
      <w:rFonts w:asciiTheme="majorHAnsi" w:eastAsiaTheme="majorEastAsia" w:hAnsiTheme="majorHAnsi" w:cstheme="majorBidi"/>
      <w:b/>
      <w:bCs/>
      <w:color w:val="000000" w:themeColor="text1"/>
      <w:sz w:val="28"/>
      <w:szCs w:val="28"/>
      <w:u w:val="single"/>
    </w:rPr>
  </w:style>
  <w:style w:type="character" w:customStyle="1" w:styleId="Heading2Char">
    <w:name w:val="Heading 2 Char"/>
    <w:basedOn w:val="DefaultParagraphFont"/>
    <w:link w:val="Heading2"/>
    <w:uiPriority w:val="9"/>
    <w:rsid w:val="00586B40"/>
    <w:rPr>
      <w:rFonts w:asciiTheme="majorHAnsi" w:eastAsiaTheme="majorEastAsia" w:hAnsiTheme="majorHAnsi" w:cstheme="majorBidi"/>
      <w:b/>
      <w:bCs/>
      <w:color w:val="000000" w:themeColor="tex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E52AC"/>
    <w:rPr>
      <w:color w:val="0000FF" w:themeColor="hyperlink"/>
      <w:u w:val="single"/>
    </w:rPr>
  </w:style>
  <w:style w:type="character" w:styleId="UnresolvedMention">
    <w:name w:val="Unresolved Mention"/>
    <w:basedOn w:val="DefaultParagraphFont"/>
    <w:uiPriority w:val="99"/>
    <w:semiHidden/>
    <w:unhideWhenUsed/>
    <w:rsid w:val="00CE52AC"/>
    <w:rPr>
      <w:color w:val="605E5C"/>
      <w:shd w:val="clear" w:color="auto" w:fill="E1DFDD"/>
    </w:rPr>
  </w:style>
  <w:style w:type="paragraph" w:styleId="NormalWeb">
    <w:name w:val="Normal (Web)"/>
    <w:basedOn w:val="Normal"/>
    <w:uiPriority w:val="99"/>
    <w:semiHidden/>
    <w:unhideWhenUsed/>
    <w:rsid w:val="006F0A4A"/>
    <w:rPr>
      <w:rFonts w:ascii="Times New Roman" w:hAnsi="Times New Roman" w:cs="Times New Roman"/>
      <w:sz w:val="24"/>
      <w:szCs w:val="24"/>
    </w:rPr>
  </w:style>
  <w:style w:type="paragraph" w:styleId="FootnoteText">
    <w:name w:val="footnote text"/>
    <w:basedOn w:val="Normal"/>
    <w:link w:val="FootnoteTextChar"/>
    <w:uiPriority w:val="99"/>
    <w:unhideWhenUsed/>
    <w:rsid w:val="00D667FB"/>
    <w:pPr>
      <w:spacing w:after="0" w:line="240" w:lineRule="auto"/>
    </w:pPr>
    <w:rPr>
      <w:sz w:val="20"/>
      <w:szCs w:val="20"/>
    </w:rPr>
  </w:style>
  <w:style w:type="character" w:customStyle="1" w:styleId="FootnoteTextChar">
    <w:name w:val="Footnote Text Char"/>
    <w:basedOn w:val="DefaultParagraphFont"/>
    <w:link w:val="FootnoteText"/>
    <w:uiPriority w:val="99"/>
    <w:rsid w:val="00D667FB"/>
    <w:rPr>
      <w:rFonts w:ascii="Calibri" w:hAnsi="Calibri"/>
      <w:sz w:val="20"/>
      <w:szCs w:val="20"/>
    </w:rPr>
  </w:style>
  <w:style w:type="character" w:styleId="FootnoteReference">
    <w:name w:val="footnote reference"/>
    <w:basedOn w:val="DefaultParagraphFont"/>
    <w:uiPriority w:val="99"/>
    <w:semiHidden/>
    <w:unhideWhenUsed/>
    <w:rsid w:val="00D667F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https://reliafrica.org/access-to-quality-education-in-urban-informal-settlements-remains-a-far-away-dream/?utm_source=chatgpt.com" TargetMode="External"/><Relationship Id="rId1" Type="http://schemas.openxmlformats.org/officeDocument/2006/relationships/hyperlink" Target="https://www.cgdev.org/sites/default/files/exploring-effects-covid-19-pandemic-low-cost-private-schools-nairobi-kenya.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12</Pages>
  <Words>5643</Words>
  <Characters>32169</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37737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Kenya School Meals Scaling Solution Field Visit Findings and Scalability Assessment</dc:title>
  <dc:subject>Revised critical assessment aligned with field transcript and revised executive summary</dc:subject>
  <dc:creator>Richard Kohl</dc:creator>
  <cp:keywords/>
  <dc:description>generated by python-docx</dc:description>
  <cp:lastModifiedBy>Richard Kohl</cp:lastModifiedBy>
  <cp:revision>51</cp:revision>
  <dcterms:created xsi:type="dcterms:W3CDTF">2013-12-23T23:15:00Z</dcterms:created>
  <dcterms:modified xsi:type="dcterms:W3CDTF">2026-06-23T16:02:00Z</dcterms:modified>
  <cp:category/>
</cp:coreProperties>
</file>