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7CC01" w14:textId="77777777" w:rsidR="001A4811" w:rsidRPr="00655891" w:rsidRDefault="002F6200">
      <w:pPr>
        <w:spacing w:before="2400"/>
        <w:jc w:val="center"/>
        <w:rPr>
          <w:u w:val="single"/>
        </w:rPr>
      </w:pPr>
      <w:r w:rsidRPr="00655891">
        <w:rPr>
          <w:b/>
          <w:color w:val="000000"/>
          <w:sz w:val="36"/>
          <w:u w:val="single"/>
        </w:rPr>
        <w:t>Zambia Forage-Based Livestock Feed Innovation</w:t>
      </w:r>
    </w:p>
    <w:p w14:paraId="02D9E5BC" w14:textId="77777777" w:rsidR="001A4811" w:rsidRDefault="002F6200">
      <w:pPr>
        <w:spacing w:after="360"/>
        <w:jc w:val="center"/>
        <w:rPr>
          <w:b/>
          <w:color w:val="000000"/>
          <w:sz w:val="32"/>
        </w:rPr>
      </w:pPr>
      <w:r>
        <w:rPr>
          <w:b/>
          <w:color w:val="000000"/>
          <w:sz w:val="32"/>
        </w:rPr>
        <w:t>Field Assessment, Scaling Readiness, and Recommendations</w:t>
      </w:r>
    </w:p>
    <w:p w14:paraId="0E695F59" w14:textId="77777777" w:rsidR="00655891" w:rsidRDefault="00655891">
      <w:pPr>
        <w:spacing w:after="360"/>
        <w:jc w:val="center"/>
        <w:rPr>
          <w:b/>
          <w:color w:val="000000"/>
          <w:sz w:val="32"/>
        </w:rPr>
      </w:pPr>
    </w:p>
    <w:p w14:paraId="4E4B8D91" w14:textId="082CDD94" w:rsidR="00655891" w:rsidRPr="00655891" w:rsidRDefault="00655891">
      <w:pPr>
        <w:spacing w:after="360"/>
        <w:jc w:val="center"/>
        <w:rPr>
          <w:b/>
          <w:i/>
          <w:iCs/>
          <w:color w:val="000000"/>
          <w:sz w:val="28"/>
          <w:szCs w:val="20"/>
        </w:rPr>
      </w:pPr>
      <w:r w:rsidRPr="00655891">
        <w:rPr>
          <w:b/>
          <w:i/>
          <w:iCs/>
          <w:color w:val="000000"/>
          <w:sz w:val="28"/>
          <w:szCs w:val="20"/>
        </w:rPr>
        <w:t>Submitted to the CGIAR Scaling for Impact program</w:t>
      </w:r>
    </w:p>
    <w:p w14:paraId="13284B93" w14:textId="77777777" w:rsidR="00655891" w:rsidRDefault="00655891">
      <w:pPr>
        <w:spacing w:after="360"/>
        <w:jc w:val="center"/>
        <w:rPr>
          <w:b/>
          <w:color w:val="000000"/>
          <w:sz w:val="32"/>
        </w:rPr>
      </w:pPr>
    </w:p>
    <w:p w14:paraId="60669C02" w14:textId="3AAB3AEE" w:rsidR="00655891" w:rsidRPr="00655891" w:rsidRDefault="00655891">
      <w:pPr>
        <w:spacing w:after="360"/>
        <w:jc w:val="center"/>
        <w:rPr>
          <w:sz w:val="20"/>
          <w:szCs w:val="20"/>
        </w:rPr>
      </w:pPr>
      <w:proofErr w:type="gramStart"/>
      <w:r w:rsidRPr="00655891">
        <w:rPr>
          <w:b/>
          <w:color w:val="000000"/>
          <w:sz w:val="28"/>
          <w:szCs w:val="20"/>
        </w:rPr>
        <w:t>by</w:t>
      </w:r>
      <w:proofErr w:type="gramEnd"/>
    </w:p>
    <w:p w14:paraId="7C4F0694" w14:textId="26EAED58" w:rsidR="001A4811" w:rsidRDefault="002F6200">
      <w:pPr>
        <w:spacing w:before="1440"/>
        <w:jc w:val="center"/>
      </w:pPr>
      <w:r w:rsidRPr="00C775B1">
        <w:rPr>
          <w:b/>
          <w:bCs/>
          <w:sz w:val="24"/>
        </w:rPr>
        <w:t>Dr. Richard Kohl</w:t>
      </w:r>
      <w:r>
        <w:rPr>
          <w:sz w:val="24"/>
        </w:rPr>
        <w:br/>
        <w:t>Strategy and Scale LLC</w:t>
      </w:r>
      <w:r>
        <w:rPr>
          <w:sz w:val="24"/>
        </w:rPr>
        <w:br/>
      </w:r>
      <w:r w:rsidR="00ED5AA2">
        <w:rPr>
          <w:sz w:val="24"/>
        </w:rPr>
        <w:t xml:space="preserve">5 </w:t>
      </w:r>
      <w:r>
        <w:rPr>
          <w:sz w:val="24"/>
        </w:rPr>
        <w:t>July 2026</w:t>
      </w:r>
    </w:p>
    <w:p w14:paraId="7EBC5F30" w14:textId="77777777" w:rsidR="001A4811" w:rsidRDefault="002F6200">
      <w:r>
        <w:br w:type="page"/>
      </w:r>
    </w:p>
    <w:p w14:paraId="1B9CBC49" w14:textId="77777777" w:rsidR="001A4811" w:rsidRDefault="002F6200">
      <w:pPr>
        <w:pStyle w:val="Heading1"/>
        <w:spacing w:before="120" w:after="120"/>
      </w:pPr>
      <w:r>
        <w:rPr>
          <w:rFonts w:ascii="Calibri" w:hAnsi="Calibri"/>
          <w:u w:val="single"/>
        </w:rPr>
        <w:lastRenderedPageBreak/>
        <w:t>Executive summary</w:t>
      </w:r>
    </w:p>
    <w:p w14:paraId="66EFFC22" w14:textId="7EB219A5" w:rsidR="001A4811" w:rsidRDefault="002F6200">
      <w:r>
        <w:rPr>
          <w:color w:val="000000"/>
        </w:rPr>
        <w:t>The Zambia forage-based livestock feed innovation addresses a real and important development problem. Eastern Province has a large mixed crop-livestock population, recurrent dry-season feed stress, weak livestock nutrition practices, poor commercialization of cattle, and limited access to affordable, reliable commercial feed</w:t>
      </w:r>
      <w:r w:rsidR="00C775B1">
        <w:rPr>
          <w:color w:val="000000"/>
        </w:rPr>
        <w:t xml:space="preserve"> or forage</w:t>
      </w:r>
      <w:r>
        <w:rPr>
          <w:color w:val="000000"/>
        </w:rPr>
        <w:t>. The core agronomic proposition - growing leguminous forages such as mucuna and lablab and mixing them with crop residues to feed cattle - is sensible, practical, and already valued by farmers. Farmers understand the problem. They experience cattle weight loss, seasonal feed shortages, wandering animals, distress sales</w:t>
      </w:r>
      <w:r w:rsidR="00FF3F31">
        <w:rPr>
          <w:color w:val="000000"/>
        </w:rPr>
        <w:t xml:space="preserve"> at low prices</w:t>
      </w:r>
      <w:r w:rsidR="00ED5AA2">
        <w:rPr>
          <w:color w:val="000000"/>
        </w:rPr>
        <w:t xml:space="preserve"> to finance annual crop production, school fees or emergencies</w:t>
      </w:r>
      <w:r>
        <w:rPr>
          <w:color w:val="000000"/>
        </w:rPr>
        <w:t>, and the erosion of livestock as a household asset. They also understand the benefit of having something nutritious to feed animals during difficult periods. This is not an abstract climate-smart agriculture idea being pushed from outside. The simple forage use case responds to a felt need and appears to have genuine farmer demand.</w:t>
      </w:r>
    </w:p>
    <w:p w14:paraId="1FA8865C" w14:textId="66AEDE23" w:rsidR="001A4811" w:rsidRPr="002362B0" w:rsidRDefault="002F6200">
      <w:pPr>
        <w:rPr>
          <w:u w:val="single"/>
        </w:rPr>
      </w:pPr>
      <w:r>
        <w:rPr>
          <w:color w:val="000000"/>
        </w:rPr>
        <w:t>The central finding of this assessment is that the project currently contains two different models with very different levels of scaling readiness. The first is a simple farmer resilience model: farmers grow forage, conserve it, mix it with crop residues where feasible</w:t>
      </w:r>
      <w:r w:rsidR="00731312">
        <w:rPr>
          <w:color w:val="000000"/>
        </w:rPr>
        <w:t xml:space="preserve"> (even by hand if necessary)</w:t>
      </w:r>
      <w:r>
        <w:rPr>
          <w:color w:val="000000"/>
        </w:rPr>
        <w:t>, and use it to protect or improve their own animals. This model has a strong value proposition, is relatively simple, and can plausibly scale through a combination of farmer learning, lead farmers, extension, demonstrations, farmer-to-farmer diffusion, and practical seed arrangements</w:t>
      </w:r>
      <w:r w:rsidR="00FF3F31">
        <w:rPr>
          <w:color w:val="000000"/>
        </w:rPr>
        <w:t xml:space="preserve"> (the latter being the most challenging)</w:t>
      </w:r>
      <w:r>
        <w:rPr>
          <w:color w:val="000000"/>
        </w:rPr>
        <w:t xml:space="preserve">. The second is a complex commercial fattening model: cooperatives </w:t>
      </w:r>
      <w:r w:rsidR="00731312">
        <w:rPr>
          <w:color w:val="000000"/>
        </w:rPr>
        <w:t xml:space="preserve">or individual farmers/service providers </w:t>
      </w:r>
      <w:r>
        <w:rPr>
          <w:color w:val="000000"/>
        </w:rPr>
        <w:t xml:space="preserve">acquire machinery, insurance, credit, water access, feed formulation capacity, animal weighing capacity, and market linkages to abattoirs or formal buyers. </w:t>
      </w:r>
      <w:r w:rsidRPr="002362B0">
        <w:rPr>
          <w:color w:val="000000"/>
          <w:u w:val="single"/>
        </w:rPr>
        <w:t>This model is not yet ready for scaling. It is still at proof-of-concept stage</w:t>
      </w:r>
      <w:r>
        <w:rPr>
          <w:color w:val="000000"/>
        </w:rPr>
        <w:t xml:space="preserve">. </w:t>
      </w:r>
      <w:r w:rsidRPr="002362B0">
        <w:rPr>
          <w:color w:val="000000"/>
          <w:u w:val="single"/>
        </w:rPr>
        <w:t>It may eventually prove valuable, but it currently depends on too many unproven business cases, new actors, subsidized services, weak cooperatives, limited public delivery capacity, and coordination functions that the project itself is still performing.</w:t>
      </w:r>
    </w:p>
    <w:p w14:paraId="1F374161" w14:textId="29A6E9BA" w:rsidR="001A4811" w:rsidRDefault="002F6200">
      <w:r>
        <w:rPr>
          <w:color w:val="000000"/>
        </w:rPr>
        <w:t>The project's strengths are significant. It is working on an important constraint; it has strong political alignment with the Ministry of Livestock; it has correctly recognized that feed is a system problem rather than a single technology problem; and it has begun to engage actors across seed, extension, mechanization, finance, insurance, cooperatives, and livestock marketing. The project also deserves credit for pursuing a value-chain framing rather than stopping at agronomic demonstrations. However, this same ambition creates the main risk. A systems approach is not the same as a scalable system. A project can convene actors, invite banks and insurers to field days, link farmers to a new abattoir, and demonstrate machinery without having proved that any of those actors will invest, sell, buy, lend, insure, service, or coordinate at volume after project support declines.</w:t>
      </w:r>
      <w:r w:rsidR="003313A8">
        <w:rPr>
          <w:color w:val="000000"/>
        </w:rPr>
        <w:t xml:space="preserve">  The commercial model particularly rests on a “demand-pull” approach which, while appropriate in theory, assumes that abattoirs are in place who can and will drive the model.  There is no evidence that this is even remotely ready or likely in the next few years.</w:t>
      </w:r>
    </w:p>
    <w:p w14:paraId="25D3E46E" w14:textId="73B98B89" w:rsidR="001A4811" w:rsidRDefault="002F6200">
      <w:r>
        <w:rPr>
          <w:color w:val="000000"/>
        </w:rPr>
        <w:t xml:space="preserve">The recommended strategy is therefore to separate, sequence, and evidence-gate the two models. During the rest of 2026, the project should double down on the basic forage package and treat the commercial fattening model as </w:t>
      </w:r>
      <w:r w:rsidRPr="003313A8">
        <w:rPr>
          <w:color w:val="000000"/>
          <w:u w:val="single"/>
        </w:rPr>
        <w:t>a</w:t>
      </w:r>
      <w:r w:rsidR="003313A8" w:rsidRPr="003313A8">
        <w:rPr>
          <w:color w:val="000000"/>
          <w:u w:val="single"/>
        </w:rPr>
        <w:t>t most</w:t>
      </w:r>
      <w:r w:rsidR="003313A8">
        <w:rPr>
          <w:color w:val="000000"/>
        </w:rPr>
        <w:t xml:space="preserve"> a </w:t>
      </w:r>
      <w:r>
        <w:rPr>
          <w:color w:val="000000"/>
        </w:rPr>
        <w:t xml:space="preserve">small, disciplined proof of concept. The short-term goal should not be to push a full commercial package across 63 cooperatives or to chase large reach numbers. It should be to prove which parts of the package are essential, which are optional, which actors have a real business case, which cooperative or private-enterprise </w:t>
      </w:r>
      <w:r w:rsidR="00943FA4">
        <w:rPr>
          <w:color w:val="000000"/>
        </w:rPr>
        <w:t xml:space="preserve">service provider </w:t>
      </w:r>
      <w:r>
        <w:rPr>
          <w:color w:val="000000"/>
        </w:rPr>
        <w:t xml:space="preserve">models </w:t>
      </w:r>
      <w:r>
        <w:rPr>
          <w:color w:val="000000"/>
        </w:rPr>
        <w:lastRenderedPageBreak/>
        <w:t>can function under actual Eastern Province conditions</w:t>
      </w:r>
      <w:r w:rsidR="00943FA4">
        <w:rPr>
          <w:color w:val="000000"/>
        </w:rPr>
        <w:t>, and what the few abattoirs can and will do in practice</w:t>
      </w:r>
      <w:r>
        <w:rPr>
          <w:color w:val="000000"/>
        </w:rPr>
        <w:t xml:space="preserve">. The medium-term strategy should then build outward from the proven core: a farmer resilience pathway for broad adoption, </w:t>
      </w:r>
      <w:proofErr w:type="gramStart"/>
      <w:r>
        <w:rPr>
          <w:color w:val="000000"/>
        </w:rPr>
        <w:t xml:space="preserve">and </w:t>
      </w:r>
      <w:r w:rsidR="00943FA4">
        <w:rPr>
          <w:color w:val="000000"/>
        </w:rPr>
        <w:t>,</w:t>
      </w:r>
      <w:proofErr w:type="gramEnd"/>
      <w:r w:rsidR="00943FA4">
        <w:rPr>
          <w:color w:val="000000"/>
        </w:rPr>
        <w:t xml:space="preserve"> </w:t>
      </w:r>
      <w:r w:rsidR="00943FA4" w:rsidRPr="00943FA4">
        <w:rPr>
          <w:color w:val="000000"/>
          <w:u w:val="single"/>
        </w:rPr>
        <w:t xml:space="preserve">if and only if the </w:t>
      </w:r>
      <w:r w:rsidR="00943FA4">
        <w:rPr>
          <w:color w:val="000000"/>
          <w:u w:val="single"/>
        </w:rPr>
        <w:t xml:space="preserve">systems </w:t>
      </w:r>
      <w:r w:rsidR="00943FA4" w:rsidRPr="00943FA4">
        <w:rPr>
          <w:color w:val="000000"/>
          <w:u w:val="single"/>
        </w:rPr>
        <w:t>model is proven in a pilot stage</w:t>
      </w:r>
      <w:r w:rsidR="00943FA4">
        <w:rPr>
          <w:color w:val="000000"/>
        </w:rPr>
        <w:t xml:space="preserve">, </w:t>
      </w:r>
      <w:r>
        <w:rPr>
          <w:color w:val="000000"/>
        </w:rPr>
        <w:t>a more selective commercial pathway for better-capitalized cooperatives, individual fattening entrepreneurs, abattoir-linked outgrowers, or service providers that already have water, management capacity, and access to working capital.</w:t>
      </w:r>
    </w:p>
    <w:p w14:paraId="2F1810F2" w14:textId="77777777" w:rsidR="001A4811" w:rsidRDefault="002F6200">
      <w:pPr>
        <w:pStyle w:val="Heading1"/>
        <w:spacing w:before="120" w:after="120"/>
      </w:pPr>
      <w:r>
        <w:rPr>
          <w:rFonts w:ascii="Calibri" w:hAnsi="Calibri"/>
          <w:u w:val="single"/>
        </w:rPr>
        <w:t>The innovation: two use cases, not one package</w:t>
      </w:r>
    </w:p>
    <w:p w14:paraId="494EEE34" w14:textId="77777777" w:rsidR="001A4811" w:rsidRDefault="002F6200">
      <w:r>
        <w:rPr>
          <w:color w:val="000000"/>
        </w:rPr>
        <w:t>The first use case is the simple forage and livestock nutrition package. Farmers plant mucuna, lablab, or other suitable forage legumes; they harvest and conserve biomass; they combine forage with available residues where practical; and they feed animals during periods when grazing and crop residues are insufficient. This package can be framed as a resilience, productivity, and asset-protection innovation. Its adoption logic is straightforward. Farmers already have cattle. They already experience dry-season feed stress. They already understand that poor nutrition affects animal condition. If the forage fits into existing land, labor, and seasonal calendars, and if seed can be accessed or saved, the practice has a reasonable chance of spreading beyond direct project support.</w:t>
      </w:r>
    </w:p>
    <w:p w14:paraId="74151602" w14:textId="77777777" w:rsidR="001A4811" w:rsidRDefault="002F6200">
      <w:r>
        <w:rPr>
          <w:color w:val="000000"/>
        </w:rPr>
        <w:t>The second use case is the commercial livestock fattening package. This requires farmers or cooperatives to select animals, grow or procure forage, formulate rations, chop and mix feed, weigh animals, provide water, keep animals in pens or feedlots, manage health risks, acquire or access machinery, potentially use credit and insurance, and sell to a formal buyer or abattoir at a price that rewards the added weight and quality. This is not simply a more advanced version of the first model. It is a different business. It requires a different farmer profile, different risk appetite, different management discipline, different capital requirements, different market relationships, and different support capacity.</w:t>
      </w:r>
    </w:p>
    <w:p w14:paraId="67FA31C0" w14:textId="77777777" w:rsidR="001A4811" w:rsidRDefault="002F6200">
      <w:r>
        <w:rPr>
          <w:color w:val="000000"/>
        </w:rPr>
        <w:t>The project currently appears to blur these two use cases. This creates confusion in strategy, evidence, partnership, and targets. If the goal is resilience and feed security, the relevant questions are: How many farmers grow forage? How much area do they plant? How much biomass do they conserve? How many animals do they feed? Does animal condition improve during dry periods? Do farmers keep using the practice without subsidy? If the goal is commercial fattening, the relevant questions are different: What is the cost per kilogram of liveweight gain? What is the margin at different sale prices? Who provides working capital? What is the utilization rate of the machinery? How many animals must a cooperative or service provider handle to break even? What price premium does the abattoir actually pay? How reliable is the buyer? What risks are insured and at what unsubsidized price?</w:t>
      </w:r>
    </w:p>
    <w:p w14:paraId="045389AA" w14:textId="77777777" w:rsidR="001A4811" w:rsidRDefault="002F6200">
      <w:r>
        <w:rPr>
          <w:color w:val="000000"/>
        </w:rPr>
        <w:t>The project should therefore stop presenting the intervention as one integrated package for all farmers. It should instead define a minimum viable forage package for broad farmer adoption and a separate commercial pathway for a smaller set of farmers, cooperatives, service providers, and market actors. This distinction will allow the project to set realistic goals, avoid overbuilding the package for ordinary farmers, and test the commercial model only where the preconditions exist.</w:t>
      </w:r>
    </w:p>
    <w:p w14:paraId="13D4FC5A" w14:textId="77777777" w:rsidR="001A4811" w:rsidRDefault="002F6200">
      <w:pPr>
        <w:pStyle w:val="Heading1"/>
        <w:spacing w:before="120" w:after="120"/>
      </w:pPr>
      <w:r>
        <w:rPr>
          <w:rFonts w:ascii="Calibri" w:hAnsi="Calibri"/>
          <w:u w:val="single"/>
        </w:rPr>
        <w:lastRenderedPageBreak/>
        <w:t>Farmer value proposition: strong but narrower than the commercial narrative</w:t>
      </w:r>
    </w:p>
    <w:p w14:paraId="6CE1C802" w14:textId="7A9BBAF1" w:rsidR="001A4811" w:rsidRDefault="002F6200">
      <w:r>
        <w:rPr>
          <w:color w:val="000000"/>
        </w:rPr>
        <w:t>The clearest evidence of promise is that farmers like having feed</w:t>
      </w:r>
      <w:r w:rsidR="00197790">
        <w:rPr>
          <w:color w:val="000000"/>
        </w:rPr>
        <w:t xml:space="preserve"> for their cattle, especially in the dry season from May to November</w:t>
      </w:r>
      <w:r>
        <w:rPr>
          <w:color w:val="000000"/>
        </w:rPr>
        <w:t>. They describe the benefit in practical terms: animals are healthier, animals do not lose as much weight, and feed is available when natural grazing is poor. In a livestock system where cattle function as stores of wealth, insurance, prestige, and emergency liquidity, preventing asset deterioration is itself a major value proposition. Development projects often undervalue this because they look for income gains, sales, and commercial transactions. Farmers may value the same innovation because it reduces downside risk</w:t>
      </w:r>
      <w:r w:rsidR="00313187">
        <w:rPr>
          <w:color w:val="000000"/>
        </w:rPr>
        <w:t xml:space="preserve"> and protects their key assets and savings</w:t>
      </w:r>
      <w:r>
        <w:rPr>
          <w:color w:val="000000"/>
        </w:rPr>
        <w:t>. A cow that survives the dry season in good condition is not just a potential commercial product; it is a protected household asset.</w:t>
      </w:r>
    </w:p>
    <w:p w14:paraId="2CC2E139" w14:textId="77777777" w:rsidR="001A4811" w:rsidRDefault="002F6200">
      <w:r>
        <w:rPr>
          <w:color w:val="000000"/>
        </w:rPr>
        <w:t>This has important implications for scaling. If the main adoption driver is asset protection, then the project should not require every farmer to become a commercial fattener. The first scaling pathway should help farmers use forage as a low-cost, locally available feed reserve. This pathway can reach many more farmers because it fits existing behavior. Farmers already keep cattle. They already use crop residues. They already make decisions about land, labor, and feed scarcity. The project needs to improve the practice, not transform every farmer into a market-oriented feedlot operator.</w:t>
      </w:r>
    </w:p>
    <w:p w14:paraId="4B472225" w14:textId="4719D7B2" w:rsidR="001A4811" w:rsidRDefault="002F6200">
      <w:r>
        <w:rPr>
          <w:color w:val="000000"/>
        </w:rPr>
        <w:t>The commercial proposition is less proven. It may be true that formal buyers, abattoirs, and better feeding can increase returns. It may also be true that briefcase buyers capture excessive margins and that farmers could gain from transparent weighing and pricing. But the business case has not yet been reduced to numbers that farmers, cooperatives, lenders, insurers, and buyers can all understand. Too much of the commercial narrative still rests on general claims about better prices, premium animals, formal markets</w:t>
      </w:r>
      <w:r w:rsidR="00B34BD7">
        <w:rPr>
          <w:color w:val="000000"/>
        </w:rPr>
        <w:t xml:space="preserve"> and market linkages and coordination</w:t>
      </w:r>
      <w:r>
        <w:rPr>
          <w:color w:val="000000"/>
        </w:rPr>
        <w:t>. A scalable business model must show margins under realistic scenarios: ordinary animals, ordinary farmer management, realistic weight gain, actual feed costs, interest rates, transport costs, water costs, insurance costs, animal health risks, and the prices paid by local buyers, briefcase buyers, formal abattoirs, and cross-border channels.</w:t>
      </w:r>
    </w:p>
    <w:p w14:paraId="02F5C880" w14:textId="31F1FE71" w:rsidR="001A4811" w:rsidRDefault="002F6200">
      <w:r>
        <w:rPr>
          <w:color w:val="000000"/>
        </w:rPr>
        <w:t xml:space="preserve">The project should therefore treat farmer demand as differentiated. Many farmers may adopt the forage-resilience model. Some may adopt partial supplementation. Fewer </w:t>
      </w:r>
      <w:r w:rsidR="00B81E37">
        <w:rPr>
          <w:color w:val="000000"/>
        </w:rPr>
        <w:t xml:space="preserve">and probably only those with significant existing financial assets </w:t>
      </w:r>
      <w:r>
        <w:rPr>
          <w:color w:val="000000"/>
        </w:rPr>
        <w:t>will adopt full fattening. Fewer still will invest in machinery or participate in cooperative feedlots. That is not a failure. It is normal market segmentation. The mistake would be to design the whole scaling pathway around the most complex use case and then assume that ordinary farmers will follow.</w:t>
      </w:r>
    </w:p>
    <w:p w14:paraId="2A198EEC" w14:textId="77777777" w:rsidR="001A4811" w:rsidRDefault="002F6200">
      <w:pPr>
        <w:pStyle w:val="Heading1"/>
        <w:spacing w:before="120" w:after="120"/>
      </w:pPr>
      <w:r>
        <w:rPr>
          <w:rFonts w:ascii="Calibri" w:hAnsi="Calibri"/>
          <w:u w:val="single"/>
        </w:rPr>
        <w:t>Scaling ambition: promising direction, unrealistic compression</w:t>
      </w:r>
    </w:p>
    <w:p w14:paraId="318CC4F6" w14:textId="3E0D341E" w:rsidR="001A4811" w:rsidRDefault="002F6200">
      <w:r>
        <w:rPr>
          <w:color w:val="000000"/>
        </w:rPr>
        <w:t>The project's broad ambition is directionally right: use forage and feed innovation to improve livestock productivity, resilience, and market participation in Eastern Province and potentially beyond. The problem is not ambition itself. The problem is compression: the project is trying to move too many elements from early testing to scaling at the same time. Seed supply, farmer training, feed formulation, mechanization, cooperative strengthening, water access, insurance, credit, abattoir linkages, market pricing, and extension capacity are all treated as if they can be aligned quickly through coordination</w:t>
      </w:r>
      <w:r w:rsidR="005443E3">
        <w:rPr>
          <w:color w:val="000000"/>
        </w:rPr>
        <w:t xml:space="preserve"> without proven business cases and minimum market size</w:t>
      </w:r>
      <w:r>
        <w:rPr>
          <w:color w:val="000000"/>
        </w:rPr>
        <w:t>. That is unlikely.</w:t>
      </w:r>
    </w:p>
    <w:p w14:paraId="006CD7F4" w14:textId="77777777" w:rsidR="001A4811" w:rsidRDefault="002F6200">
      <w:r>
        <w:rPr>
          <w:color w:val="000000"/>
        </w:rPr>
        <w:lastRenderedPageBreak/>
        <w:t>A credible scaling ambition must be matched to the maturity of the model. The broad forage package can have an ambitious reach target if the project simplifies the offer, reduces dependence on external actors, and learns how adoption actually spreads. The commercial package should not. It should have a much narrower learning target. The relevant target for the commercial package in 2026 should not be thousands of farmers or dozens of cooperatives. It should be a small number of functioning business cases with real animals, real costs, real sales, real machinery operations, real water requirements, and real partner commitments.</w:t>
      </w:r>
    </w:p>
    <w:p w14:paraId="6AA56329" w14:textId="48C46E92" w:rsidR="001A4811" w:rsidRDefault="002F6200">
      <w:r>
        <w:rPr>
          <w:color w:val="000000"/>
        </w:rPr>
        <w:t>The current ambition also needs to distinguish reach, trial, use, and sustained adoption. A farmer who attends a field day has been reached, not converted. A farmer who receives seed has not necessarily adopted. A farmer who plants once has not necessarily made forage part of the farming system. A cooperative that receives a machine has not necessarily created a viable service model. An abattoir agreeing in principle to buy animals has not created a reliable premium market</w:t>
      </w:r>
      <w:r w:rsidR="00743423">
        <w:rPr>
          <w:color w:val="000000"/>
        </w:rPr>
        <w:t xml:space="preserve"> for small </w:t>
      </w:r>
      <w:proofErr w:type="gramStart"/>
      <w:r w:rsidR="00743423">
        <w:rPr>
          <w:color w:val="000000"/>
        </w:rPr>
        <w:t>farmer</w:t>
      </w:r>
      <w:proofErr w:type="gramEnd"/>
      <w:r w:rsidR="00743423">
        <w:rPr>
          <w:color w:val="000000"/>
        </w:rPr>
        <w:t xml:space="preserve"> selling 1-2 cattle or even a group selling 10</w:t>
      </w:r>
      <w:r w:rsidR="000D694D">
        <w:rPr>
          <w:color w:val="000000"/>
        </w:rPr>
        <w:t>-12</w:t>
      </w:r>
      <w:r>
        <w:rPr>
          <w:color w:val="000000"/>
        </w:rPr>
        <w:t>. The project should therefore define separate indicators for awareness, first trial, repeated use, area planted, animals fed, commercial transactions, and sustained post-project behavior.</w:t>
      </w:r>
    </w:p>
    <w:p w14:paraId="65DA0C96" w14:textId="5E4ED00A" w:rsidR="001A4811" w:rsidRDefault="002F6200">
      <w:r>
        <w:rPr>
          <w:color w:val="000000"/>
        </w:rPr>
        <w:t xml:space="preserve">Reasonable scaling goals for the next phase should be sequenced. By the end of 2026, the project should aim to establish a robust farmer-facing forage package, identify which seed pathway is feasible, and complete a commercial proof of concept with a small number of actors. By the end of 2027, it should aim to expand farmer adoption in a limited number of districts and </w:t>
      </w:r>
      <w:r w:rsidR="000D694D">
        <w:rPr>
          <w:color w:val="000000"/>
        </w:rPr>
        <w:t>see if</w:t>
      </w:r>
      <w:r>
        <w:rPr>
          <w:color w:val="000000"/>
        </w:rPr>
        <w:t xml:space="preserve"> one or two commercial models</w:t>
      </w:r>
      <w:r w:rsidR="000D694D">
        <w:rPr>
          <w:color w:val="000000"/>
        </w:rPr>
        <w:t xml:space="preserve"> can be shown to </w:t>
      </w:r>
      <w:proofErr w:type="gramStart"/>
      <w:r w:rsidR="000D694D">
        <w:rPr>
          <w:color w:val="000000"/>
        </w:rPr>
        <w:t>viable</w:t>
      </w:r>
      <w:proofErr w:type="gramEnd"/>
      <w:r w:rsidR="000D694D">
        <w:rPr>
          <w:color w:val="000000"/>
        </w:rPr>
        <w:t xml:space="preserve"> based on actual evidence of business cases and profitability and willingness of commercial actors to invest their own resources</w:t>
      </w:r>
      <w:r>
        <w:rPr>
          <w:color w:val="000000"/>
        </w:rPr>
        <w:t>. Only after that should it pursue broader provincial or multi-province scaling.</w:t>
      </w:r>
    </w:p>
    <w:p w14:paraId="7921C2FC" w14:textId="77777777" w:rsidR="001A4811" w:rsidRDefault="002F6200">
      <w:pPr>
        <w:pStyle w:val="Heading1"/>
        <w:spacing w:before="120" w:after="120"/>
      </w:pPr>
      <w:r>
        <w:rPr>
          <w:rFonts w:ascii="Calibri" w:hAnsi="Calibri"/>
          <w:u w:val="single"/>
        </w:rPr>
        <w:t>Binding bottlenecks: what must be solved before scaling</w:t>
      </w:r>
    </w:p>
    <w:p w14:paraId="00DC2081" w14:textId="1CF290FD" w:rsidR="00045173" w:rsidRDefault="002F6200">
      <w:pPr>
        <w:rPr>
          <w:color w:val="000000"/>
        </w:rPr>
      </w:pPr>
      <w:r w:rsidRPr="00045173">
        <w:rPr>
          <w:b/>
          <w:bCs/>
          <w:color w:val="000000"/>
          <w:sz w:val="24"/>
          <w:szCs w:val="24"/>
          <w:u w:val="single"/>
        </w:rPr>
        <w:t>Seed system</w:t>
      </w:r>
      <w:r>
        <w:rPr>
          <w:color w:val="000000"/>
        </w:rPr>
        <w:t xml:space="preserve">. The seed system is the first major bottleneck. The project cannot assume that a large commercial forage seed market will emerge simply because farmers value forage. Mucuna and lablab are open-pollinated crops, and farmers are likely to save seed once they have it. That may be rational from the farmer perspective but limits repeat commercial demand. Project-supported seed multiplication can accelerate initial access but may also distort prices, crowd out commercial suppliers, and create expectations of free or subsidized seed. </w:t>
      </w:r>
      <w:r w:rsidR="00045173">
        <w:rPr>
          <w:color w:val="000000"/>
        </w:rPr>
        <w:t xml:space="preserve">This is particularly problematic as it appears that the partner World Bank and IFAD projects that are developing seed systems are distorting prices, undermining market incentives, and not sustainable.  They appear to be multiplying certified </w:t>
      </w:r>
      <w:proofErr w:type="gramStart"/>
      <w:r w:rsidR="00045173">
        <w:rPr>
          <w:color w:val="000000"/>
        </w:rPr>
        <w:t>seed</w:t>
      </w:r>
      <w:proofErr w:type="gramEnd"/>
      <w:r w:rsidR="00045173">
        <w:rPr>
          <w:color w:val="000000"/>
        </w:rPr>
        <w:t xml:space="preserve">, rather than foundation </w:t>
      </w:r>
      <w:proofErr w:type="gramStart"/>
      <w:r w:rsidR="00045173">
        <w:rPr>
          <w:color w:val="000000"/>
        </w:rPr>
        <w:t>seed</w:t>
      </w:r>
      <w:proofErr w:type="gramEnd"/>
      <w:r w:rsidR="00045173">
        <w:rPr>
          <w:color w:val="000000"/>
        </w:rPr>
        <w:t xml:space="preserve">.  The S4I coaching team </w:t>
      </w:r>
      <w:proofErr w:type="gramStart"/>
      <w:r w:rsidR="00045173">
        <w:rPr>
          <w:color w:val="000000"/>
        </w:rPr>
        <w:t>was not able to</w:t>
      </w:r>
      <w:proofErr w:type="gramEnd"/>
      <w:r w:rsidR="00045173">
        <w:rPr>
          <w:color w:val="000000"/>
        </w:rPr>
        <w:t xml:space="preserve"> independently verify this, but this appears problematic.</w:t>
      </w:r>
    </w:p>
    <w:p w14:paraId="1F423E5A" w14:textId="109009FE" w:rsidR="001A4811" w:rsidRDefault="002F6200">
      <w:r>
        <w:rPr>
          <w:color w:val="000000"/>
        </w:rPr>
        <w:t>The real question is not whether seed can be produced during a project cycle. It is whether a reliable and affordable seed access system can persist when farmers save seed, exchange seed, lose quality through poor storage, and purchase new seed only occasionally. The likely answer is a mixed system: initial project or public support to create access, local seed producers or cooperatives for periodic replenishment, farmer seed saving with practical quality guidance, and limited private-sector participation where there is enough volume. A purely commercial seed-company model is unlikely to carry the full scaling burden.</w:t>
      </w:r>
    </w:p>
    <w:p w14:paraId="4B5EBF76" w14:textId="675EA994" w:rsidR="001A4811" w:rsidRDefault="002F6200">
      <w:r w:rsidRPr="002D7AC5">
        <w:rPr>
          <w:b/>
          <w:bCs/>
          <w:color w:val="000000"/>
          <w:u w:val="single"/>
        </w:rPr>
        <w:t>Feed formulation and machinery</w:t>
      </w:r>
      <w:r>
        <w:rPr>
          <w:color w:val="000000"/>
        </w:rPr>
        <w:t xml:space="preserve">. The project is right that feed quality matters and that chopping, grinding, mixing, weighing, and ration formulation can improve animal performance. However, </w:t>
      </w:r>
      <w:r>
        <w:rPr>
          <w:color w:val="000000"/>
        </w:rPr>
        <w:lastRenderedPageBreak/>
        <w:t xml:space="preserve">scientific optimization is not the same as business optimization. </w:t>
      </w:r>
      <w:r w:rsidRPr="002D7AC5">
        <w:rPr>
          <w:color w:val="000000"/>
          <w:u w:val="single"/>
        </w:rPr>
        <w:t>Farmers have already been feeding animals with hand chopping, rough volume-based mixing, and limited equipment</w:t>
      </w:r>
      <w:r w:rsidR="002D7AC5" w:rsidRPr="002D7AC5">
        <w:rPr>
          <w:color w:val="000000"/>
          <w:u w:val="single"/>
        </w:rPr>
        <w:t xml:space="preserve"> and value the outcomes</w:t>
      </w:r>
      <w:r w:rsidRPr="002D7AC5">
        <w:rPr>
          <w:color w:val="000000"/>
          <w:u w:val="single"/>
        </w:rPr>
        <w:t xml:space="preserve">. </w:t>
      </w:r>
      <w:r>
        <w:rPr>
          <w:color w:val="000000"/>
        </w:rPr>
        <w:t xml:space="preserve">Animals may not achieve optimal weight gain, but if farmers achieve acceptable results at low cost, the practice may still be viable. The project should avoid making digital scales, pelletizers, chopper-grinders, and precise formulation appear mandatory for the basic forage model. Those may be essential for commercial fattening, but they are not necessarily essential for farmer resilience and supplementation. </w:t>
      </w:r>
      <w:r w:rsidRPr="006A5E19">
        <w:rPr>
          <w:color w:val="000000"/>
          <w:u w:val="single"/>
        </w:rPr>
        <w:t>The minimum viable package should be defined separately from the optimal technical package</w:t>
      </w:r>
      <w:r>
        <w:rPr>
          <w:color w:val="000000"/>
        </w:rPr>
        <w:t>.</w:t>
      </w:r>
    </w:p>
    <w:p w14:paraId="0CE3F7A0" w14:textId="4B9A69E1" w:rsidR="001A4811" w:rsidRDefault="002F6200">
      <w:r w:rsidRPr="006A5E19">
        <w:rPr>
          <w:b/>
          <w:bCs/>
          <w:color w:val="000000"/>
          <w:u w:val="single"/>
        </w:rPr>
        <w:t>Water</w:t>
      </w:r>
      <w:r>
        <w:rPr>
          <w:color w:val="000000"/>
        </w:rPr>
        <w:t>. Water is a major hidden constraint in any fattening pathway. Animals in pens require reliable access to water, and farmers or cooperatives must move, pay for, or manage that water. Boreholes, solar pumps, and water points are expensive relative to ordinary farmer cash flow</w:t>
      </w:r>
      <w:r w:rsidR="006A5E19">
        <w:rPr>
          <w:color w:val="000000"/>
        </w:rPr>
        <w:t xml:space="preserve">, especially for farmers who don’t have their own and </w:t>
      </w:r>
      <w:proofErr w:type="gramStart"/>
      <w:r w:rsidR="006A5E19">
        <w:rPr>
          <w:color w:val="000000"/>
        </w:rPr>
        <w:t>have to</w:t>
      </w:r>
      <w:proofErr w:type="gramEnd"/>
      <w:r w:rsidR="006A5E19">
        <w:rPr>
          <w:color w:val="000000"/>
        </w:rPr>
        <w:t xml:space="preserve"> pay for </w:t>
      </w:r>
      <w:proofErr w:type="gramStart"/>
      <w:r w:rsidR="006A5E19">
        <w:rPr>
          <w:color w:val="000000"/>
        </w:rPr>
        <w:t>water;  many</w:t>
      </w:r>
      <w:proofErr w:type="gramEnd"/>
      <w:r w:rsidR="006A5E19">
        <w:rPr>
          <w:color w:val="000000"/>
        </w:rPr>
        <w:t xml:space="preserve"> farmers cited escalating water purchase costs as becoming prohibitive and asked for help with having their own boreholes</w:t>
      </w:r>
      <w:r>
        <w:rPr>
          <w:color w:val="000000"/>
        </w:rPr>
        <w:t>. If the commercial model depends on year-round water infrastructure, then the project must treat water as a gating condition, not a detail. Cooperatives without reliable water access should not be pushed into commercial fattening. They may still adopt forage for supplementation and dry-season resilience.</w:t>
      </w:r>
    </w:p>
    <w:p w14:paraId="1C94039B" w14:textId="01EB86EC" w:rsidR="001A4811" w:rsidRDefault="002F6200">
      <w:r w:rsidRPr="00632312">
        <w:rPr>
          <w:b/>
          <w:bCs/>
          <w:color w:val="000000"/>
          <w:u w:val="single"/>
        </w:rPr>
        <w:t>Cooperatives</w:t>
      </w:r>
      <w:r>
        <w:rPr>
          <w:color w:val="000000"/>
        </w:rPr>
        <w:t xml:space="preserve">. Cooperatives are a potential platform but not a solution in themselves. Many farmer cooperatives exist primarily to access </w:t>
      </w:r>
      <w:r w:rsidR="00632312">
        <w:rPr>
          <w:color w:val="000000"/>
        </w:rPr>
        <w:t xml:space="preserve">FISP </w:t>
      </w:r>
      <w:r>
        <w:rPr>
          <w:color w:val="000000"/>
        </w:rPr>
        <w:t>inputs,</w:t>
      </w:r>
      <w:r w:rsidR="00632312">
        <w:rPr>
          <w:color w:val="000000"/>
        </w:rPr>
        <w:t xml:space="preserve"> sell </w:t>
      </w:r>
      <w:proofErr w:type="gramStart"/>
      <w:r w:rsidR="00632312">
        <w:rPr>
          <w:color w:val="000000"/>
        </w:rPr>
        <w:t xml:space="preserve">to </w:t>
      </w:r>
      <w:r>
        <w:rPr>
          <w:color w:val="000000"/>
        </w:rPr>
        <w:t xml:space="preserve"> government</w:t>
      </w:r>
      <w:proofErr w:type="gramEnd"/>
      <w:r>
        <w:rPr>
          <w:color w:val="000000"/>
        </w:rPr>
        <w:t xml:space="preserve"> </w:t>
      </w:r>
      <w:r w:rsidR="00632312">
        <w:rPr>
          <w:color w:val="000000"/>
        </w:rPr>
        <w:t xml:space="preserve">maize purchasing </w:t>
      </w:r>
      <w:r>
        <w:rPr>
          <w:color w:val="000000"/>
        </w:rPr>
        <w:t xml:space="preserve">programs, or </w:t>
      </w:r>
      <w:r w:rsidR="00632312">
        <w:rPr>
          <w:color w:val="000000"/>
        </w:rPr>
        <w:t>both</w:t>
      </w:r>
      <w:r>
        <w:rPr>
          <w:color w:val="000000"/>
        </w:rPr>
        <w:t xml:space="preserve">. That does not mean they can manage machinery, fuel, repairs, animal selection, feedlots, water, pricing, transparent benefit-sharing, or commercial negotiations. The commercial model requires unusually capable cooperatives or alternative enterprise forms. </w:t>
      </w:r>
      <w:r w:rsidR="00363AFC">
        <w:rPr>
          <w:color w:val="000000"/>
        </w:rPr>
        <w:t>As part of testing the viability of the commercial model, t</w:t>
      </w:r>
      <w:r>
        <w:rPr>
          <w:color w:val="000000"/>
        </w:rPr>
        <w:t>he project should segment cooperatives by capacity rather than assume that all or most can become livestock fattening businesses. The better pathway may be a mix of cooperative demonstrations, individual fatteners, private fattening service providers, machinery service providers, and abattoir-linked outgrower arrangements.</w:t>
      </w:r>
    </w:p>
    <w:p w14:paraId="755B0E5F" w14:textId="3F0859A6" w:rsidR="001A4811" w:rsidRDefault="002F6200">
      <w:r w:rsidRPr="00363AFC">
        <w:rPr>
          <w:b/>
          <w:bCs/>
          <w:color w:val="000000"/>
          <w:u w:val="single"/>
        </w:rPr>
        <w:t>Markets and abattoirs</w:t>
      </w:r>
      <w:r>
        <w:rPr>
          <w:color w:val="000000"/>
        </w:rPr>
        <w:t xml:space="preserve">. The new abattoir and formal market linkages are promising but </w:t>
      </w:r>
      <w:r w:rsidR="00363AFC">
        <w:rPr>
          <w:color w:val="000000"/>
        </w:rPr>
        <w:t xml:space="preserve">extremely </w:t>
      </w:r>
      <w:r>
        <w:rPr>
          <w:color w:val="000000"/>
        </w:rPr>
        <w:t xml:space="preserve">immature. A buyer that has been operating for only a short period </w:t>
      </w:r>
      <w:r w:rsidR="00F87730">
        <w:rPr>
          <w:color w:val="000000"/>
        </w:rPr>
        <w:t xml:space="preserve">(literally weeks or months) </w:t>
      </w:r>
      <w:r>
        <w:rPr>
          <w:color w:val="000000"/>
        </w:rPr>
        <w:t>cannot yet be treated as a stable scaling anchor. The abattoir may have capacity, but capacity is not demand, and demand is not a functioning procurement model. Farmers need transparent pricing, reliable payment, transport arrangements, quality standards, and confidence that formal sales beat existing channels after all costs and risks. The briefcase buyers may be extractive, but they provide liquidity, local access, and convenience. Formal channels must compete with that, not merely criticize it. The project should map actual price formation and margins across local butcheries, briefcase buyers, abattoirs, and cross-border channels before assuming that the formal market will automatically produce higher farmer profits.</w:t>
      </w:r>
      <w:r w:rsidR="00F87730">
        <w:rPr>
          <w:color w:val="000000"/>
        </w:rPr>
        <w:t xml:space="preserve"> It also seems highly likely that this is </w:t>
      </w:r>
      <w:r w:rsidR="00F87730" w:rsidRPr="00F87730">
        <w:rPr>
          <w:color w:val="000000"/>
          <w:u w:val="single"/>
        </w:rPr>
        <w:t xml:space="preserve">not only a market problem but a </w:t>
      </w:r>
      <w:proofErr w:type="gramStart"/>
      <w:r w:rsidR="00F87730" w:rsidRPr="00F87730">
        <w:rPr>
          <w:color w:val="000000"/>
          <w:u w:val="single"/>
        </w:rPr>
        <w:t>political economy</w:t>
      </w:r>
      <w:proofErr w:type="gramEnd"/>
      <w:r w:rsidR="00F87730" w:rsidRPr="00F87730">
        <w:rPr>
          <w:color w:val="000000"/>
          <w:u w:val="single"/>
        </w:rPr>
        <w:t xml:space="preserve"> challenge</w:t>
      </w:r>
      <w:proofErr w:type="gramStart"/>
      <w:r w:rsidR="00F87730">
        <w:rPr>
          <w:color w:val="000000"/>
        </w:rPr>
        <w:t>:  briefcase</w:t>
      </w:r>
      <w:proofErr w:type="gramEnd"/>
      <w:r w:rsidR="00F87730">
        <w:rPr>
          <w:color w:val="000000"/>
        </w:rPr>
        <w:t xml:space="preserve"> buyers and small butchers are likely to have significant local political clout and will resist being displaced by a more transparent market system that places more value addition in the hands of small farmers.</w:t>
      </w:r>
    </w:p>
    <w:p w14:paraId="41435423" w14:textId="0FA7BD10" w:rsidR="001A4811" w:rsidRDefault="002F6200">
      <w:r w:rsidRPr="008C14A6">
        <w:rPr>
          <w:color w:val="000000"/>
          <w:u w:val="single"/>
        </w:rPr>
        <w:t>Extension and staffing</w:t>
      </w:r>
      <w:r>
        <w:rPr>
          <w:color w:val="000000"/>
        </w:rPr>
        <w:t xml:space="preserve">. The implementation model depends heavily on extension, yet public </w:t>
      </w:r>
      <w:r w:rsidR="008C14A6">
        <w:rPr>
          <w:color w:val="000000"/>
        </w:rPr>
        <w:t xml:space="preserve">livestock </w:t>
      </w:r>
      <w:r>
        <w:rPr>
          <w:color w:val="000000"/>
        </w:rPr>
        <w:t xml:space="preserve">extension capacity </w:t>
      </w:r>
      <w:r w:rsidR="008C14A6">
        <w:rPr>
          <w:color w:val="000000"/>
        </w:rPr>
        <w:t xml:space="preserve">in the Eastern Province </w:t>
      </w:r>
      <w:r>
        <w:rPr>
          <w:color w:val="000000"/>
        </w:rPr>
        <w:t xml:space="preserve">is weak. District and provincial livestock staff may be committed and politically supportive, but they face limited transport, fuel, staffing, and business-development capability. The project itself also appears thinly staffed relative to the ambition. A </w:t>
      </w:r>
      <w:r>
        <w:rPr>
          <w:color w:val="000000"/>
        </w:rPr>
        <w:lastRenderedPageBreak/>
        <w:t>commercial livestock-feed system cannot be built through occasional visits, workshops, and goodwill. It requires sustained field presence, technical support, business coaching, partner follow-up, and data collection. If the project wants to scale the basic forage model, it needs a lean but serious field delivery system. If it wants to prove the commercial model, it needs business and market-system expertise, not only livestock nutrition expertise.</w:t>
      </w:r>
    </w:p>
    <w:p w14:paraId="4EFFA5D8" w14:textId="77777777" w:rsidR="001A4811" w:rsidRDefault="002F6200">
      <w:pPr>
        <w:pStyle w:val="Heading1"/>
        <w:spacing w:before="120" w:after="120"/>
      </w:pPr>
      <w:r>
        <w:rPr>
          <w:rFonts w:ascii="Calibri" w:hAnsi="Calibri"/>
          <w:u w:val="single"/>
        </w:rPr>
        <w:t>Alignment: ambition, innovation, pathway, and system change</w:t>
      </w:r>
    </w:p>
    <w:p w14:paraId="408A3539" w14:textId="77777777" w:rsidR="001A4811" w:rsidRDefault="002F6200">
      <w:r>
        <w:rPr>
          <w:color w:val="000000"/>
        </w:rPr>
        <w:t>The alignment of the basic forage model is strong. The farmer problem is real; the innovation is understandable; the adoption behavior is plausible; and the institutional pathway can be built around existing farmer groups, lead farmers, public extension, and practical demonstrations. The major weaknesses are seed access, seed quality, storage, labor timing, and clarity on the minimum viable practice. These are serious but solvable. The project can strengthen this model without requiring large new actors to behave in ways they have not yet demonstrated.</w:t>
      </w:r>
    </w:p>
    <w:p w14:paraId="112898D0" w14:textId="170B9239" w:rsidR="001A4811" w:rsidRDefault="002F6200">
      <w:r>
        <w:rPr>
          <w:color w:val="000000"/>
        </w:rPr>
        <w:t>The alignment of the commercial fattening model is weak. The market opportunity may be real, but the pathway is not yet proven. The model assumes that cooperatives can become commercial livestock enterprises, that farmers will accept new feeding and selling behavior, that machinery can be financed and serviced, that insurers and banks will enter the market, that abattoirs will provide reliable pull</w:t>
      </w:r>
      <w:r w:rsidR="00365E10">
        <w:rPr>
          <w:color w:val="000000"/>
        </w:rPr>
        <w:t xml:space="preserve"> at sufficient scale</w:t>
      </w:r>
      <w:r>
        <w:rPr>
          <w:color w:val="000000"/>
        </w:rPr>
        <w:t xml:space="preserve">, </w:t>
      </w:r>
      <w:r w:rsidR="00365E10">
        <w:rPr>
          <w:color w:val="000000"/>
        </w:rPr>
        <w:t xml:space="preserve">that arbitraging out briefcase buyers is politically viable, </w:t>
      </w:r>
      <w:r>
        <w:rPr>
          <w:color w:val="000000"/>
        </w:rPr>
        <w:t xml:space="preserve">and that public extension can coordinate much of the system. Each assumption </w:t>
      </w:r>
      <w:r w:rsidRPr="00365E10">
        <w:rPr>
          <w:color w:val="000000"/>
          <w:u w:val="single"/>
        </w:rPr>
        <w:t>may be plausible</w:t>
      </w:r>
      <w:r>
        <w:rPr>
          <w:color w:val="000000"/>
        </w:rPr>
        <w:t xml:space="preserve"> in some cases. The problem is simultaneity. The model requires too many actors to change behavior at once. In scaling terms, it has high dependency risk. If one or two actors fail, the package may not function.</w:t>
      </w:r>
    </w:p>
    <w:p w14:paraId="5D7B1384" w14:textId="77777777" w:rsidR="001A4811" w:rsidRDefault="002F6200">
      <w:r>
        <w:rPr>
          <w:color w:val="000000"/>
        </w:rPr>
        <w:t>The project's systems-change ambition is therefore ahead of its evidence. This is common in agricultural scaling. Teams correctly recognize that a value chain must work, but they then describe all the missing functions as if listing them creates a pathway. A scaling pathway must show which actor has the incentive and capability to perform each function. In Zambia, many of the functions are still project-held: convening, explaining, coordinating, troubleshooting, connecting actors, motivating partners, interpreting the business model, and absorbing uncertainty. Until those functions migrate to actors with their own incentives, the commercial system is not scaling; it is being carried.</w:t>
      </w:r>
    </w:p>
    <w:p w14:paraId="55A89262" w14:textId="17BABADC" w:rsidR="001A4811" w:rsidRDefault="002F6200">
      <w:r>
        <w:rPr>
          <w:color w:val="000000"/>
        </w:rPr>
        <w:t>The implication is not that the project should abandon the commercial ambition. It should discipline it</w:t>
      </w:r>
      <w:r w:rsidR="00610FD1">
        <w:rPr>
          <w:color w:val="000000"/>
        </w:rPr>
        <w:t xml:space="preserve"> and test it at very small, pilot scale</w:t>
      </w:r>
      <w:r>
        <w:rPr>
          <w:color w:val="000000"/>
        </w:rPr>
        <w:t xml:space="preserve">. Commercialization should be treated as an option for the right actors, not a universal farmer pathway. The basic forage pathway can create a broad base of biomass, knowledge, and livestock nutrition improvement. The commercial pathway can then grow selectively </w:t>
      </w:r>
      <w:proofErr w:type="gramStart"/>
      <w:r w:rsidR="00610FD1">
        <w:rPr>
          <w:color w:val="000000"/>
        </w:rPr>
        <w:t>if and when</w:t>
      </w:r>
      <w:proofErr w:type="gramEnd"/>
      <w:r w:rsidR="00610FD1">
        <w:rPr>
          <w:color w:val="000000"/>
        </w:rPr>
        <w:t xml:space="preserve"> </w:t>
      </w:r>
      <w:r>
        <w:rPr>
          <w:color w:val="000000"/>
        </w:rPr>
        <w:t>the economics</w:t>
      </w:r>
      <w:r w:rsidR="00610FD1">
        <w:rPr>
          <w:color w:val="000000"/>
        </w:rPr>
        <w:t>, capacity and politics</w:t>
      </w:r>
      <w:r>
        <w:rPr>
          <w:color w:val="000000"/>
        </w:rPr>
        <w:t xml:space="preserve"> justify it. That is a better sequence than trying to make the most complex model carry the entire scaling strategy from the beginning.</w:t>
      </w:r>
    </w:p>
    <w:p w14:paraId="3F0494DD" w14:textId="77777777" w:rsidR="001A4811" w:rsidRDefault="002F6200">
      <w:pPr>
        <w:pStyle w:val="Heading1"/>
        <w:spacing w:before="120" w:after="120"/>
      </w:pPr>
      <w:r>
        <w:rPr>
          <w:rFonts w:ascii="Calibri" w:hAnsi="Calibri"/>
          <w:u w:val="single"/>
        </w:rPr>
        <w:t>Recommended short-term strategy for the rest of 2026</w:t>
      </w:r>
    </w:p>
    <w:p w14:paraId="2DCFC544" w14:textId="77777777" w:rsidR="001A4811" w:rsidRDefault="002F6200">
      <w:r>
        <w:rPr>
          <w:color w:val="000000"/>
        </w:rPr>
        <w:t xml:space="preserve">The rest of 2026 should be treated as a consolidation and proof-of-concept period. The project should resist pressure to maximize reach numbers and instead produce decision-quality evidence. </w:t>
      </w:r>
      <w:r w:rsidRPr="005A1C91">
        <w:rPr>
          <w:color w:val="000000"/>
          <w:u w:val="single"/>
        </w:rPr>
        <w:t>The first priority is to define the minimum viable forage package</w:t>
      </w:r>
      <w:r>
        <w:rPr>
          <w:color w:val="000000"/>
        </w:rPr>
        <w:t xml:space="preserve">. This should include the practical agronomic guidance needed for farmers to grow forage, the simplest acceptable harvest and storage methods, guidance on seed saving and replenishment, and two or three feeding options: basic dry-season supplementation, improved ration mixing without machinery, and machine-assisted ration </w:t>
      </w:r>
      <w:r>
        <w:rPr>
          <w:color w:val="000000"/>
        </w:rPr>
        <w:lastRenderedPageBreak/>
        <w:t>formulation where available. The project should be explicit that not all farmers need the full commercial package.</w:t>
      </w:r>
    </w:p>
    <w:p w14:paraId="16CF9986" w14:textId="77777777" w:rsidR="001A4811" w:rsidRDefault="002F6200">
      <w:r w:rsidRPr="005A1C91">
        <w:rPr>
          <w:color w:val="000000"/>
          <w:u w:val="single"/>
        </w:rPr>
        <w:t>The second priority is to segment farmers and cooperatives</w:t>
      </w:r>
      <w:r>
        <w:rPr>
          <w:color w:val="000000"/>
        </w:rPr>
        <w:t>. Broad forage adoption should target mixed crop-livestock farmers with cattle, land that can be allocated to forage without displacing higher-value crops, and a clear dry-season feed constraint. Commercial fattening should target a much smaller group: cooperatives or entrepreneurs with water, leadership, record-keeping, access to animals, willingness to manage group assets, and proximity to buyers. Cooperatives that cannot meet these conditions should not be pushed into fattening. They can still participate in forage production and supplementation.</w:t>
      </w:r>
    </w:p>
    <w:p w14:paraId="0D295427" w14:textId="6E9DC637" w:rsidR="005A1C91" w:rsidRDefault="005A1C91" w:rsidP="005A1C91">
      <w:r w:rsidRPr="005A1C91">
        <w:rPr>
          <w:color w:val="000000"/>
          <w:u w:val="single"/>
        </w:rPr>
        <w:t>The third priority is to test the seed pathway and develop a strategy for a viable forage seed system.</w:t>
      </w:r>
      <w:r>
        <w:rPr>
          <w:color w:val="000000"/>
        </w:rPr>
        <w:t xml:space="preserve"> The project should identify whether farmers are saving seed, how seed quality changes under farmer storage, whether local seed producers can supply replenishment seed, whether farmers are willing to pay for new seed after two or three seasons, and what level of public or project support is needed to maintain quality. The aim should not be an ideal seed system on paper. It should be a practical seed access model that reflects farmer behavior.</w:t>
      </w:r>
    </w:p>
    <w:p w14:paraId="354158A9" w14:textId="1144CCD1" w:rsidR="001A4811" w:rsidRDefault="002F6200">
      <w:r w:rsidRPr="005A1C91">
        <w:rPr>
          <w:color w:val="000000"/>
          <w:u w:val="single"/>
        </w:rPr>
        <w:t xml:space="preserve">The </w:t>
      </w:r>
      <w:r w:rsidR="005A1C91">
        <w:rPr>
          <w:color w:val="000000"/>
          <w:u w:val="single"/>
        </w:rPr>
        <w:t>fourth and more distant</w:t>
      </w:r>
      <w:r w:rsidRPr="005A1C91">
        <w:rPr>
          <w:color w:val="000000"/>
          <w:u w:val="single"/>
        </w:rPr>
        <w:t xml:space="preserve"> priority is to run a small number of commercial proof-of-concept pilots</w:t>
      </w:r>
      <w:r>
        <w:rPr>
          <w:color w:val="000000"/>
        </w:rPr>
        <w:t>. These pilots should be designed like business tests, not demonstrations. Each should track actual cost of forage production, purchased inputs, labor, water, fuel, machinery use, repairs, animal purchase or opportunity cost, liveweight gain, mortality or disease, sale channel, sale price, payment timing, and net margin. The project should compare at least three models: individual farmer fattening, cooperative-managed fattening, and a private or abattoir-linked fattening service provider. If a well-capitalized farmer or enterprise can fatten other people's animals or buy animals for fattening, that may be more scalable than expecting ordinary cooperatives to manage credit, insurance, machinery, water, and marketing simultaneously.</w:t>
      </w:r>
    </w:p>
    <w:p w14:paraId="584467D7" w14:textId="70E0DAEB" w:rsidR="001A4811" w:rsidRDefault="002F6200">
      <w:r w:rsidRPr="005A1C91">
        <w:rPr>
          <w:color w:val="000000"/>
          <w:u w:val="single"/>
        </w:rPr>
        <w:t>The fifth</w:t>
      </w:r>
      <w:r w:rsidR="005A1C91" w:rsidRPr="005A1C91">
        <w:rPr>
          <w:color w:val="000000"/>
          <w:u w:val="single"/>
        </w:rPr>
        <w:t xml:space="preserve"> and related</w:t>
      </w:r>
      <w:r w:rsidRPr="005A1C91">
        <w:rPr>
          <w:color w:val="000000"/>
          <w:u w:val="single"/>
        </w:rPr>
        <w:t xml:space="preserve"> priority is to simplify partner roles</w:t>
      </w:r>
      <w:r>
        <w:rPr>
          <w:color w:val="000000"/>
        </w:rPr>
        <w:t>. Banks, insurers, machinery suppliers, abattoirs, COMACO, the Ministry, and cooperatives should each have a one-page business-case statement: what they do, what they invest, what they earn or gain, what risks they face, what volume they need, and what support they require. Any actor whose business case cannot be written clearly should not be treated as a scaling pillar.</w:t>
      </w:r>
    </w:p>
    <w:p w14:paraId="53508137" w14:textId="77777777" w:rsidR="001A4811" w:rsidRDefault="002F6200">
      <w:pPr>
        <w:pStyle w:val="Heading1"/>
        <w:spacing w:before="120" w:after="120"/>
      </w:pPr>
      <w:r>
        <w:rPr>
          <w:rFonts w:ascii="Calibri" w:hAnsi="Calibri"/>
          <w:u w:val="single"/>
        </w:rPr>
        <w:t>Recommended medium-term scaling pathway: 2027-2028</w:t>
      </w:r>
    </w:p>
    <w:p w14:paraId="5279FA37" w14:textId="77777777" w:rsidR="001A4811" w:rsidRDefault="002F6200">
      <w:r>
        <w:rPr>
          <w:color w:val="000000"/>
        </w:rPr>
        <w:t>The medium-term pathway should have two tracks. Track one is broad-based forage resilience. This track should aim to normalize forage production and use among mixed crop-livestock farmers in selected districts. It should prioritize simple messages, local seed access, practical storage, farmer-to-farmer diffusion, field days during visible feed-stress periods, and integration into Ministry and partner extension. The goal should be repeated use and expansion of forage area, not simply attendance at training. By 2027, the project should be able to say how many farmers planted forage for a second season, how much area they planted, how many animals they fed, and whether they intend to continue without free seed.</w:t>
      </w:r>
    </w:p>
    <w:p w14:paraId="2C80E4A7" w14:textId="5C275EEE" w:rsidR="001A4811" w:rsidRDefault="002F6200">
      <w:r>
        <w:rPr>
          <w:color w:val="000000"/>
        </w:rPr>
        <w:t>Track two is selective commercialization</w:t>
      </w:r>
      <w:r w:rsidR="005A1C91">
        <w:rPr>
          <w:color w:val="000000"/>
        </w:rPr>
        <w:t xml:space="preserve"> </w:t>
      </w:r>
      <w:r w:rsidR="005A1C91" w:rsidRPr="005A1C91">
        <w:rPr>
          <w:color w:val="000000"/>
          <w:u w:val="single"/>
        </w:rPr>
        <w:t>if the commercial pathway pilot proves viable</w:t>
      </w:r>
      <w:r>
        <w:rPr>
          <w:color w:val="000000"/>
        </w:rPr>
        <w:t xml:space="preserve">. This track should work only with actors that meet readiness criteria. Commercial pilots should expand from a handful of cases to a modest portfolio of viable models. The project should not assume that </w:t>
      </w:r>
      <w:r>
        <w:rPr>
          <w:color w:val="000000"/>
        </w:rPr>
        <w:lastRenderedPageBreak/>
        <w:t>cooperatives are the only or best vehicle. In many contexts, individual lead farmers, local entrepreneurs, abattoir-linked outgrowers, or fattening service providers may be better suited to manage working capital, water, feed formulation, and sales. Cooperatives may still be useful for aggregation, learning, seed production, or machinery access, but only the strongest should manage commercial fattening enterprises.</w:t>
      </w:r>
    </w:p>
    <w:p w14:paraId="67D097E2" w14:textId="77777777" w:rsidR="001A4811" w:rsidRDefault="002F6200">
      <w:r>
        <w:rPr>
          <w:color w:val="000000"/>
        </w:rPr>
        <w:t>By 2028, if the commercial pilots demonstrate positive margins, the project can begin to scale the most viable business model. That model may be different from the original design. It may involve abattoirs buying finished animals from a small network of trusted suppliers rather than directly from many small cooperatives. It may involve local fatteners purchasing forage biomass from farmers. It may involve machinery service providers rather than cooperative ownership of machinery. It may involve farmer groups producing forage for their own animals while only a few entrepreneurs commercialize. The project should follow the economics, not defend the original package.</w:t>
      </w:r>
    </w:p>
    <w:p w14:paraId="485FA24D" w14:textId="77777777" w:rsidR="001A4811" w:rsidRDefault="002F6200">
      <w:r>
        <w:rPr>
          <w:color w:val="000000"/>
        </w:rPr>
        <w:t>The project should also build a learning and data system capable of informing strategy. For the broad forage track, it should measure trial, repeated use, area, biomass, seed source, animals fed, farmer satisfaction, and continuation without subsidy. For the commercial track, it should measure cost per kilogram of gain, net margin, animal throughput, machinery utilization, loan repayment, insurance uptake, buyer reliability, and actor retention. These are not optional monitoring details. They are the evidence base for scaling decisions.</w:t>
      </w:r>
    </w:p>
    <w:p w14:paraId="17E23EB7" w14:textId="77777777" w:rsidR="001A4811" w:rsidRDefault="002F6200">
      <w:pPr>
        <w:pStyle w:val="Heading1"/>
        <w:spacing w:before="120" w:after="120"/>
      </w:pPr>
      <w:r>
        <w:rPr>
          <w:rFonts w:ascii="Calibri" w:hAnsi="Calibri"/>
          <w:u w:val="single"/>
        </w:rPr>
        <w:t>Reasonable goals and metrics</w:t>
      </w:r>
    </w:p>
    <w:p w14:paraId="5D8CA4AE" w14:textId="379CF336" w:rsidR="001A4811" w:rsidRDefault="002F6200">
      <w:r>
        <w:rPr>
          <w:color w:val="000000"/>
        </w:rPr>
        <w:t xml:space="preserve">The project should replace inflated reach targets with a small set of meaningful scaling metrics. For the basic forage track, reasonable 2026 goals would be to consolidate the package in a limited number of existing sites, ensure that a majority of participating farmers understand how to plant, harvest, store, feed </w:t>
      </w:r>
      <w:r w:rsidR="003C0E38">
        <w:rPr>
          <w:color w:val="000000"/>
        </w:rPr>
        <w:t xml:space="preserve">and mix </w:t>
      </w:r>
      <w:r>
        <w:rPr>
          <w:color w:val="000000"/>
        </w:rPr>
        <w:t>forage</w:t>
      </w:r>
      <w:r w:rsidR="003C0E38">
        <w:rPr>
          <w:color w:val="000000"/>
        </w:rPr>
        <w:t xml:space="preserve"> (even without digital scales)</w:t>
      </w:r>
      <w:r>
        <w:rPr>
          <w:color w:val="000000"/>
        </w:rPr>
        <w:t>, and document repeated use among farmers who previously tried the practice. A reasonable 2027 goal would be expansion to additional farmer groups or districts only after the seed and training model is functioning. The metric should not be farmers reached by awareness activities. It should be farmers who plant, harvest, conserve, feed, and intend to repeat</w:t>
      </w:r>
      <w:r w:rsidR="00E36B6A">
        <w:rPr>
          <w:color w:val="000000"/>
        </w:rPr>
        <w:t xml:space="preserve"> with the minimum viable package</w:t>
      </w:r>
      <w:r>
        <w:rPr>
          <w:color w:val="000000"/>
        </w:rPr>
        <w:t>.</w:t>
      </w:r>
    </w:p>
    <w:p w14:paraId="77969BDF" w14:textId="77777777" w:rsidR="001A4811" w:rsidRDefault="002F6200">
      <w:r>
        <w:rPr>
          <w:color w:val="000000"/>
        </w:rPr>
        <w:t>For the commercial track, 2026 goals should be modest: complete perhaps three to five rigorous business pilots, compare cooperative, individual, and service-provider models, and determine whether any can generate reliable margins without unrealistic subsidy. A reasonable 2027 goal would be to expand only the best-performing model to 10-20 sites or enterprises, with clear readiness criteria. A 70-80 percent adoption target across 63 cooperatives is not credible at this stage. It may be a long-term aspiration, but it should not guide near-term implementation.</w:t>
      </w:r>
    </w:p>
    <w:p w14:paraId="67E6B318" w14:textId="5575DF17" w:rsidR="001A4811" w:rsidRDefault="002F6200">
      <w:r>
        <w:rPr>
          <w:color w:val="000000"/>
        </w:rPr>
        <w:t>The most important metrics are not complicated: seed access and quality; forage area planted; biomass harvested and stored; number of animals fed</w:t>
      </w:r>
      <w:r w:rsidR="00E36B6A">
        <w:rPr>
          <w:color w:val="000000"/>
        </w:rPr>
        <w:t xml:space="preserve"> with the minimum viable package</w:t>
      </w:r>
      <w:r>
        <w:rPr>
          <w:color w:val="000000"/>
        </w:rPr>
        <w:t>; repeated use; cost of production</w:t>
      </w:r>
      <w:r w:rsidR="002E0EE6">
        <w:rPr>
          <w:color w:val="000000"/>
        </w:rPr>
        <w:t>qm</w:t>
      </w:r>
      <w:r>
        <w:rPr>
          <w:color w:val="000000"/>
        </w:rPr>
        <w:t>. If the project cannot measure these, it cannot know whether it is scaling a viable system or simply expanding activities.</w:t>
      </w:r>
    </w:p>
    <w:p w14:paraId="18718DF1" w14:textId="77777777" w:rsidR="001A4811" w:rsidRDefault="002F6200">
      <w:r>
        <w:rPr>
          <w:color w:val="000000"/>
        </w:rPr>
        <w:t xml:space="preserve">The project should also measure what does not work. If farmers do not buy seed, that is information. If cooperatives do not use machines enough to cover fuel and maintenance, that is information. If insurers sell only a few policies, that is information. If abattoirs rely on existing traders rather than </w:t>
      </w:r>
      <w:r>
        <w:rPr>
          <w:color w:val="000000"/>
        </w:rPr>
        <w:lastRenderedPageBreak/>
        <w:t>direct farmer procurement, that is information. Scaling strategy improves when negative evidence is taken seriously.</w:t>
      </w:r>
    </w:p>
    <w:p w14:paraId="4288B81E" w14:textId="77777777" w:rsidR="00603BBB" w:rsidRDefault="0048616C">
      <w:pPr>
        <w:pStyle w:val="Heading1"/>
      </w:pPr>
      <w:r>
        <w:t>Lessons for the CGIAR Scaling for Impact program</w:t>
      </w:r>
    </w:p>
    <w:p w14:paraId="120C3503" w14:textId="77777777" w:rsidR="00603BBB" w:rsidRDefault="0048616C">
      <w:r>
        <w:t>This case offers several important lessons for the CGIAR Scaling for Impact program because it illustrates both the promise and the danger of ambitious systems-oriented scaling. The project is working on a real farmer problem, has a plausible technical core, and is engaging many of the right actors. At the same time, it shows how quickly a technically sound innovation can become strategically overloaded when a project moves from farmer-level adoption to an integrated market-system model before the actor inc</w:t>
      </w:r>
      <w:r>
        <w:t>entives, business models, financing mechanisms, and post-project institutional arrangements have been proven. S4I's value added should be precisely to help projects make these distinctions earlier, more explicitly, and with greater discipline.</w:t>
      </w:r>
    </w:p>
    <w:p w14:paraId="795A6CF5" w14:textId="77777777" w:rsidR="00603BBB" w:rsidRDefault="0048616C">
      <w:r w:rsidRPr="00D328FD">
        <w:rPr>
          <w:u w:val="single"/>
        </w:rPr>
        <w:t>The first lesson is that S4I should insist on separating use cases within an innovation bundle</w:t>
      </w:r>
      <w:r>
        <w:t xml:space="preserve">. In this project, the simple forage-resilience model and the commercial fattening model are often discussed as if they are parts of one continuous package. They are not. They have different adopters, different business cases, different support needs, different risks, and different evidence requirements. For S4I, this is a generalizable lesson: CGIAR innovations frequently contain multiple bundled components that are technically related but commercially and institutionally distinct. Scaling analysis should </w:t>
      </w:r>
      <w:r>
        <w:t>identify the minimum viable package for broad adoption and distinguish it from more sophisticated, higher-return, higher-risk models that may be appropriate only for a narrower group of actors.</w:t>
      </w:r>
    </w:p>
    <w:p w14:paraId="1D12EE0A" w14:textId="77777777" w:rsidR="00603BBB" w:rsidRDefault="0048616C">
      <w:r w:rsidRPr="00D328FD">
        <w:rPr>
          <w:u w:val="single"/>
        </w:rPr>
        <w:t>The second lesson is that scaling readiness should be judged actor by actor, not only at the level of the innovation</w:t>
      </w:r>
      <w:r>
        <w:t>. The forage agronomy may be ready; the commercial seed system, cooperative fattening model, machinery service model, insurance product, bank-finance pathway, and abattoir procurement model are not all equally ready. S4I should therefore avoid asking whether a project as a whole is 'ready to scale' and instead ask which functions in the scaling pathway are ready, which actors are prepared to perform them, which incentives are strong enough to survive without donor support, and which weakest links could bloc</w:t>
      </w:r>
      <w:r>
        <w:t>k the whole pathway. This project would benefit from exactly that kind of disaggregated readiness assessment.</w:t>
      </w:r>
    </w:p>
    <w:p w14:paraId="7A42B2FF" w14:textId="6824C7D1" w:rsidR="00603BBB" w:rsidRDefault="0048616C">
      <w:r w:rsidRPr="00D328FD">
        <w:rPr>
          <w:u w:val="single"/>
        </w:rPr>
        <w:t>The third lesson is that demand-pull language should not be accepted as evidence of a demand-driven scaling pathway</w:t>
      </w:r>
      <w:r>
        <w:t>. Projects often describe value chains as demand-led because a buyer, processor, abattoir, input supplier, bank, or government agency has expressed interest. Interest is not investment. Agreement in principle is not a business model. A new abattoir, an insurance intermediary, a machinery supplier, or a Ministry department may be supportive without being capable of driving scaling. S4I should require projects to specify what each actor will actually do, what resources they will commit, what volume they need,</w:t>
      </w:r>
      <w:r>
        <w:t xml:space="preserve"> how they will earn money or fulfill their mandate, </w:t>
      </w:r>
      <w:r>
        <w:t>why they will continue after donor exit</w:t>
      </w:r>
      <w:r w:rsidR="00D328FD">
        <w:t xml:space="preserve">, and what tangible concrete financial investment or other evidence there is of their willingness to play this </w:t>
      </w:r>
      <w:proofErr w:type="gramStart"/>
      <w:r w:rsidR="00D328FD">
        <w:t>role.</w:t>
      </w:r>
      <w:r>
        <w:t>.</w:t>
      </w:r>
      <w:proofErr w:type="gramEnd"/>
    </w:p>
    <w:p w14:paraId="6BD9D7C5" w14:textId="28FF920A" w:rsidR="00603BBB" w:rsidRDefault="0048616C">
      <w:r w:rsidRPr="00D328FD">
        <w:rPr>
          <w:u w:val="single"/>
        </w:rPr>
        <w:t xml:space="preserve">The fourth lesson is that S4I funding is most valuable when it is used to </w:t>
      </w:r>
      <w:r w:rsidR="00C65A1D">
        <w:rPr>
          <w:u w:val="single"/>
        </w:rPr>
        <w:t xml:space="preserve">either accelerate adoption of a proven innovation bundle or </w:t>
      </w:r>
      <w:r w:rsidRPr="00D328FD">
        <w:rPr>
          <w:u w:val="single"/>
        </w:rPr>
        <w:t>convert broad scaling narratives into evidence-gated scaling strategies</w:t>
      </w:r>
      <w:r>
        <w:t xml:space="preserve">. The best use of S4I support is not to finance additional demonstrations or expand reach numbers before the pathway is proven. It is to fund the missing analytical and implementation work that determines whether a pathway can scale: business-case testing, actor segmentation, bottleneck </w:t>
      </w:r>
      <w:r>
        <w:lastRenderedPageBreak/>
        <w:t xml:space="preserve">analysis, delivery-cost analysis, user segmentation, seed-system testing, market-margin mapping, and post-project sustainability planning. In this case, S4I funding would add most value by helping the project prove the seed </w:t>
      </w:r>
      <w:r>
        <w:t>access model, define the minimum viable farmer forage package, test the commercial fattening business cases, and identify which actor - if any - can drive continued scaling after the project exits.</w:t>
      </w:r>
    </w:p>
    <w:p w14:paraId="1F379994" w14:textId="77777777" w:rsidR="00603BBB" w:rsidRDefault="0048616C">
      <w:r w:rsidRPr="00B44360">
        <w:rPr>
          <w:u w:val="single"/>
        </w:rPr>
        <w:t>The fifth lesson is that CGIAR scaling work needs to treat donor exit as a design constraint from the beginning rather than as a final sustainability question</w:t>
      </w:r>
      <w:r>
        <w:t>. Too many functions in ambitious CGIAR scaling projects remain project-held: convening, coordination, technical troubleshooting, partner motivation, financial brokering, data collection, and market linkage. These functions are often invisible in project descriptions because they are embedded in staff effort. S4I should require every scaling strategy to specify which actor will perform these functions after project support declines, how that actor will pay for them, and what happens if no actor has the ince</w:t>
      </w:r>
      <w:r>
        <w:t>ntive or capacity to take them over. Where no actor exists, the project is not yet scaling; it is still being carried by donor-funded facilitation.</w:t>
      </w:r>
    </w:p>
    <w:p w14:paraId="330B83BB" w14:textId="7C17B42B" w:rsidR="00603BBB" w:rsidRDefault="0048616C">
      <w:r w:rsidRPr="00B44360">
        <w:rPr>
          <w:u w:val="single"/>
        </w:rPr>
        <w:t>The sixth lesson is that S4I should reward disciplined narrowing as much as expansion</w:t>
      </w:r>
      <w:r w:rsidR="00B44360">
        <w:t xml:space="preserve"> i.e. scaling down to scale up</w:t>
      </w:r>
      <w:r>
        <w:t>. A project that reduces a complex bundle to a scalable core, abandons weak components, segments adopters, or postpones rollout of an unproven commercial model may be making better scaling decisions than a project that reports larger reach. In this case, the strongest path forward is not to scale the full forage-feed-fattening-finance-insurance-abattoir package to as many cooperatives as possible. It is to scale the simple forage model while using a smaller number of commercial pilots to test whether a more</w:t>
      </w:r>
      <w:r>
        <w:t xml:space="preserve"> complex pathway is viable. S4I should help normalize this kind of strategic discipline within CGIAR, because it is essential for credible scaling.</w:t>
      </w:r>
    </w:p>
    <w:p w14:paraId="5BC962EA" w14:textId="6A56CBBA" w:rsidR="00603BBB" w:rsidRDefault="0048616C">
      <w:r w:rsidRPr="00AB3F59">
        <w:rPr>
          <w:u w:val="single"/>
        </w:rPr>
        <w:t>Finally, this case suggests that IPSR and related innovation-profiling processes are useful only if they force sharper choices rather than produce more complete descriptions of the existing bundle</w:t>
      </w:r>
      <w:r w:rsidR="00AB3F59">
        <w:rPr>
          <w:u w:val="single"/>
        </w:rPr>
        <w:t xml:space="preserve"> and identify obstacles to otherwise unproven innovation packages</w:t>
      </w:r>
      <w:r>
        <w:t xml:space="preserve">. The value of IPSR should not be to document every component, partner, and ambition. Its value should be to clarify the scaling hypothesis, identify the binding bottlenecks relative to that ambition, distinguish proven from unproven functions, and define the next evidence-gated decision. IPSR workshops would be more useful if they ended with a clear minimum viable package, a segmented scaling pathway, an actor-by-actor business-case table, a donor-exit map, and a short list of make-or-break assumptions to </w:t>
      </w:r>
      <w:r>
        <w:t>be tested before further expansion. Used that way, IPSR could become a practical scaling-management tool rather than a compliance or documentation exercise.</w:t>
      </w:r>
    </w:p>
    <w:p w14:paraId="575F1171" w14:textId="77777777" w:rsidR="001A4811" w:rsidRDefault="002F6200">
      <w:pPr>
        <w:pStyle w:val="Heading1"/>
        <w:spacing w:before="120" w:after="120"/>
      </w:pPr>
      <w:r>
        <w:rPr>
          <w:rFonts w:ascii="Calibri" w:hAnsi="Calibri"/>
          <w:u w:val="single"/>
        </w:rPr>
        <w:t>Conclusion</w:t>
      </w:r>
    </w:p>
    <w:p w14:paraId="752D1369" w14:textId="77777777" w:rsidR="001A4811" w:rsidRDefault="002F6200">
      <w:r>
        <w:rPr>
          <w:color w:val="000000"/>
        </w:rPr>
        <w:t>The Zambia forage project is promising because it starts from a real constraint and has produced a farmer-relevant technical response. The basic forage model deserves continued development and scaling. It fits farmer needs, supports livestock resilience, and can plausibly diffuse if seed, extension, and practical feeding advice are strengthened. The project should be proud of that. Many agricultural innovations never reach the point where farmers use them because they solve a problem farmers actually feel. This one appears to have done so.</w:t>
      </w:r>
    </w:p>
    <w:p w14:paraId="5D4E8A8B" w14:textId="77777777" w:rsidR="001A4811" w:rsidRDefault="002F6200">
      <w:r>
        <w:rPr>
          <w:color w:val="000000"/>
        </w:rPr>
        <w:t xml:space="preserve">The commercial model is a different matter. It is not wrong, but it is early. It should be treated as a set of hypotheses, not a scaling package. The hypotheses are that better feed can support profitable fattening; that farmers or cooperatives can manage the production and feeding system; that </w:t>
      </w:r>
      <w:r>
        <w:rPr>
          <w:color w:val="000000"/>
        </w:rPr>
        <w:lastRenderedPageBreak/>
        <w:t>machinery improves returns enough to justify cost; that banks and insurers will participate commercially; that formal buyers will pay transparent and attractive prices; and that the Ministry and partners can support the coordination required. These hypotheses are worth testing. They are not yet proven enough to justify broad rollout.</w:t>
      </w:r>
    </w:p>
    <w:p w14:paraId="2925E9D0" w14:textId="77777777" w:rsidR="001A4811" w:rsidRDefault="002F6200">
      <w:r>
        <w:rPr>
          <w:color w:val="000000"/>
        </w:rPr>
        <w:t>The strategic recommendation is therefore clear: separate the models, scale the simple one carefully, test the complex one rigorously, and do not confuse coordination with market formation. Forage as livestock asset protection can scale broadly. Commercial fattening should scale selectively. The project's medium-term success will depend less on how many actors it convenes and more on whether those actors have a reason to continue without the project. That is the test of scaling.</w:t>
      </w:r>
    </w:p>
    <w:sectPr w:rsidR="001A4811" w:rsidSect="00034616">
      <w:footerReference w:type="default" r:id="rId8"/>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16530" w14:textId="77777777" w:rsidR="0048616C" w:rsidRDefault="0048616C">
      <w:pPr>
        <w:spacing w:after="0" w:line="240" w:lineRule="auto"/>
      </w:pPr>
      <w:r>
        <w:separator/>
      </w:r>
    </w:p>
  </w:endnote>
  <w:endnote w:type="continuationSeparator" w:id="0">
    <w:p w14:paraId="469F77E5" w14:textId="77777777" w:rsidR="0048616C" w:rsidRDefault="00486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223D" w14:textId="77777777" w:rsidR="001A4811" w:rsidRDefault="001A4811">
    <w:pPr>
      <w:pStyle w:val="Footer"/>
    </w:pPr>
  </w:p>
  <w:tbl>
    <w:tblPr>
      <w:tblW w:w="0" w:type="auto"/>
      <w:jc w:val="center"/>
      <w:tblLayout w:type="fixed"/>
      <w:tblLook w:val="04A0" w:firstRow="1" w:lastRow="0" w:firstColumn="1" w:lastColumn="0" w:noHBand="0" w:noVBand="1"/>
    </w:tblPr>
    <w:tblGrid>
      <w:gridCol w:w="3312"/>
      <w:gridCol w:w="2448"/>
      <w:gridCol w:w="3312"/>
    </w:tblGrid>
    <w:tr w:rsidR="001A4811" w14:paraId="0F57C499" w14:textId="77777777">
      <w:trPr>
        <w:jc w:val="center"/>
      </w:trPr>
      <w:tc>
        <w:tcPr>
          <w:tcW w:w="3312" w:type="dxa"/>
          <w:tcBorders>
            <w:top w:val="nil"/>
            <w:left w:val="nil"/>
            <w:bottom w:val="nil"/>
            <w:right w:val="nil"/>
          </w:tcBorders>
          <w:vAlign w:val="center"/>
        </w:tcPr>
        <w:p w14:paraId="3EEF3AC7" w14:textId="77777777" w:rsidR="001A4811" w:rsidRDefault="002F6200">
          <w:r>
            <w:rPr>
              <w:sz w:val="20"/>
            </w:rPr>
            <w:t>Author: Richard Kohl</w:t>
          </w:r>
        </w:p>
      </w:tc>
      <w:tc>
        <w:tcPr>
          <w:tcW w:w="2448" w:type="dxa"/>
          <w:tcBorders>
            <w:top w:val="nil"/>
            <w:left w:val="nil"/>
            <w:bottom w:val="nil"/>
            <w:right w:val="nil"/>
          </w:tcBorders>
          <w:vAlign w:val="center"/>
        </w:tcPr>
        <w:p w14:paraId="7AAEBC1B" w14:textId="77777777" w:rsidR="001A4811" w:rsidRDefault="002F6200">
          <w:pPr>
            <w:jc w:val="center"/>
          </w:pPr>
          <w:r>
            <w:rPr>
              <w:sz w:val="20"/>
            </w:rPr>
            <w:t xml:space="preserve">Page </w:t>
          </w:r>
          <w:r>
            <w:rPr>
              <w:sz w:val="20"/>
            </w:rPr>
            <w:fldChar w:fldCharType="begin"/>
          </w:r>
          <w:r>
            <w:rPr>
              <w:sz w:val="20"/>
            </w:rPr>
            <w:instrText>PAGE</w:instrText>
          </w:r>
          <w:r>
            <w:rPr>
              <w:sz w:val="20"/>
            </w:rPr>
            <w:fldChar w:fldCharType="separate"/>
          </w:r>
          <w:r>
            <w:rPr>
              <w:sz w:val="20"/>
            </w:rPr>
            <w:t>1</w:t>
          </w:r>
          <w:r>
            <w:rPr>
              <w:sz w:val="20"/>
            </w:rPr>
            <w:fldChar w:fldCharType="end"/>
          </w:r>
          <w:r>
            <w:rPr>
              <w:sz w:val="20"/>
            </w:rPr>
            <w:t xml:space="preserve"> of </w:t>
          </w:r>
          <w:r>
            <w:rPr>
              <w:sz w:val="20"/>
            </w:rPr>
            <w:fldChar w:fldCharType="begin"/>
          </w:r>
          <w:r>
            <w:rPr>
              <w:sz w:val="20"/>
            </w:rPr>
            <w:instrText>NUMPAGES</w:instrText>
          </w:r>
          <w:r>
            <w:rPr>
              <w:sz w:val="20"/>
            </w:rPr>
            <w:fldChar w:fldCharType="separate"/>
          </w:r>
          <w:r>
            <w:rPr>
              <w:sz w:val="20"/>
            </w:rPr>
            <w:t>1</w:t>
          </w:r>
          <w:r>
            <w:rPr>
              <w:sz w:val="20"/>
            </w:rPr>
            <w:fldChar w:fldCharType="end"/>
          </w:r>
        </w:p>
      </w:tc>
      <w:tc>
        <w:tcPr>
          <w:tcW w:w="3312" w:type="dxa"/>
          <w:tcBorders>
            <w:top w:val="nil"/>
            <w:left w:val="nil"/>
            <w:bottom w:val="nil"/>
            <w:right w:val="nil"/>
          </w:tcBorders>
          <w:vAlign w:val="center"/>
        </w:tcPr>
        <w:p w14:paraId="1C735385" w14:textId="1BF8FF04" w:rsidR="001A4811" w:rsidRDefault="002F6200">
          <w:pPr>
            <w:jc w:val="right"/>
          </w:pPr>
          <w:r>
            <w:rPr>
              <w:sz w:val="20"/>
            </w:rPr>
            <w:t>0</w:t>
          </w:r>
          <w:r w:rsidR="00ED5AA2">
            <w:rPr>
              <w:sz w:val="20"/>
            </w:rPr>
            <w:t>5</w:t>
          </w:r>
          <w:r>
            <w:rPr>
              <w:sz w:val="20"/>
            </w:rPr>
            <w:t xml:space="preserve"> July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9087F" w14:textId="77777777" w:rsidR="0048616C" w:rsidRDefault="0048616C">
      <w:pPr>
        <w:spacing w:after="0" w:line="240" w:lineRule="auto"/>
      </w:pPr>
      <w:r>
        <w:separator/>
      </w:r>
    </w:p>
  </w:footnote>
  <w:footnote w:type="continuationSeparator" w:id="0">
    <w:p w14:paraId="2CE98894" w14:textId="77777777" w:rsidR="0048616C" w:rsidRDefault="004861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5227125">
    <w:abstractNumId w:val="8"/>
  </w:num>
  <w:num w:numId="2" w16cid:durableId="1369793810">
    <w:abstractNumId w:val="6"/>
  </w:num>
  <w:num w:numId="3" w16cid:durableId="541525615">
    <w:abstractNumId w:val="5"/>
  </w:num>
  <w:num w:numId="4" w16cid:durableId="1119685436">
    <w:abstractNumId w:val="4"/>
  </w:num>
  <w:num w:numId="5" w16cid:durableId="654525781">
    <w:abstractNumId w:val="7"/>
  </w:num>
  <w:num w:numId="6" w16cid:durableId="1903249427">
    <w:abstractNumId w:val="3"/>
  </w:num>
  <w:num w:numId="7" w16cid:durableId="216357221">
    <w:abstractNumId w:val="2"/>
  </w:num>
  <w:num w:numId="8" w16cid:durableId="722220043">
    <w:abstractNumId w:val="1"/>
  </w:num>
  <w:num w:numId="9" w16cid:durableId="1414744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173"/>
    <w:rsid w:val="0006063C"/>
    <w:rsid w:val="000B406B"/>
    <w:rsid w:val="000D694D"/>
    <w:rsid w:val="000F5E00"/>
    <w:rsid w:val="0015074B"/>
    <w:rsid w:val="001625B2"/>
    <w:rsid w:val="00197790"/>
    <w:rsid w:val="001A4811"/>
    <w:rsid w:val="002362B0"/>
    <w:rsid w:val="0029639D"/>
    <w:rsid w:val="002D7AC5"/>
    <w:rsid w:val="002E0EE6"/>
    <w:rsid w:val="002F6200"/>
    <w:rsid w:val="00313187"/>
    <w:rsid w:val="00326F90"/>
    <w:rsid w:val="003313A8"/>
    <w:rsid w:val="00363AFC"/>
    <w:rsid w:val="00365E10"/>
    <w:rsid w:val="003C0E38"/>
    <w:rsid w:val="0048616C"/>
    <w:rsid w:val="004A746A"/>
    <w:rsid w:val="005443E3"/>
    <w:rsid w:val="005A1C91"/>
    <w:rsid w:val="00603BBB"/>
    <w:rsid w:val="00610FD1"/>
    <w:rsid w:val="00632312"/>
    <w:rsid w:val="00655891"/>
    <w:rsid w:val="006A5E19"/>
    <w:rsid w:val="00731312"/>
    <w:rsid w:val="00743423"/>
    <w:rsid w:val="008C14A6"/>
    <w:rsid w:val="00943A8F"/>
    <w:rsid w:val="00943FA4"/>
    <w:rsid w:val="00AA1D8D"/>
    <w:rsid w:val="00AB3F59"/>
    <w:rsid w:val="00B34BD7"/>
    <w:rsid w:val="00B44360"/>
    <w:rsid w:val="00B47730"/>
    <w:rsid w:val="00B81E37"/>
    <w:rsid w:val="00C65A1D"/>
    <w:rsid w:val="00C65C1C"/>
    <w:rsid w:val="00C775B1"/>
    <w:rsid w:val="00CB0664"/>
    <w:rsid w:val="00D328FD"/>
    <w:rsid w:val="00E13BEF"/>
    <w:rsid w:val="00E36B6A"/>
    <w:rsid w:val="00ED5AA2"/>
    <w:rsid w:val="00F87730"/>
    <w:rsid w:val="00FC693F"/>
    <w:rsid w:val="00FF3F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7330282-4476-4F9A-A15F-08BB935E0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64"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12</Pages>
  <Words>5758</Words>
  <Characters>32826</Characters>
  <Application>Microsoft Office Word</Application>
  <DocSecurity>0</DocSecurity>
  <Lines>437</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Kohl</cp:lastModifiedBy>
  <cp:revision>33</cp:revision>
  <dcterms:created xsi:type="dcterms:W3CDTF">2026-07-05T16:44:00Z</dcterms:created>
  <dcterms:modified xsi:type="dcterms:W3CDTF">2026-07-05T17:15:00Z</dcterms:modified>
  <cp:category/>
</cp:coreProperties>
</file>