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7B12B" w14:textId="77777777" w:rsidR="00A3398D" w:rsidRDefault="00E83717">
      <w:pPr>
        <w:spacing w:after="240" w:line="240" w:lineRule="auto"/>
        <w:jc w:val="center"/>
      </w:pPr>
      <w:r>
        <w:rPr>
          <w:b/>
          <w:sz w:val="32"/>
        </w:rPr>
        <w:t>Zambia Appropriate-Scale Mechanization Service Provider Model: Scaling Assessment, Bottlenecks, and Recommendations</w:t>
      </w:r>
    </w:p>
    <w:p w14:paraId="62A46E93" w14:textId="77777777" w:rsidR="00A3398D" w:rsidRDefault="00E83717">
      <w:pPr>
        <w:spacing w:after="240" w:line="240" w:lineRule="auto"/>
        <w:jc w:val="center"/>
      </w:pPr>
      <w:r>
        <w:rPr>
          <w:i/>
        </w:rPr>
        <w:t>Prepared by Dr. Richard Kohl, Strategy and Scale LLC</w:t>
      </w:r>
    </w:p>
    <w:p w14:paraId="5932E0D5" w14:textId="77777777" w:rsidR="00A3398D" w:rsidRDefault="00E83717">
      <w:pPr>
        <w:spacing w:after="360" w:line="240" w:lineRule="auto"/>
        <w:jc w:val="center"/>
      </w:pPr>
      <w:r>
        <w:t>4 July 2026</w:t>
      </w:r>
    </w:p>
    <w:p w14:paraId="0FE826A5" w14:textId="77777777" w:rsidR="00A3398D" w:rsidRDefault="00E83717">
      <w:pPr>
        <w:spacing w:before="120" w:after="120" w:line="240" w:lineRule="auto"/>
      </w:pPr>
      <w:r>
        <w:rPr>
          <w:b/>
          <w:sz w:val="28"/>
          <w:u w:val="single"/>
        </w:rPr>
        <w:t>Executive Summary</w:t>
      </w:r>
    </w:p>
    <w:p w14:paraId="581F448F" w14:textId="77777777" w:rsidR="00A3398D" w:rsidRDefault="00E83717">
      <w:pPr>
        <w:pStyle w:val="ListBullet"/>
        <w:spacing w:after="120" w:line="240" w:lineRule="auto"/>
      </w:pPr>
      <w:r w:rsidRPr="00A96844">
        <w:rPr>
          <w:u w:val="single"/>
        </w:rPr>
        <w:t>Strong core value proposition</w:t>
      </w:r>
      <w:r>
        <w:t>. The Zambia mechanization solution addresses a real and visible constraint: smallholder farmers need faster, cheaper, less labor-intensive ways to perform post-harvest processing and selected land-preparation tasks, and there is clear willingness to pay for at least some services, especially maize shelling. The project has done something many scaling projects fail to do: it has listened to market demand and narrowed the equipment offer toward machines that farmers and service providers actually say they wa</w:t>
      </w:r>
      <w:r>
        <w:t>nt.</w:t>
      </w:r>
    </w:p>
    <w:p w14:paraId="4295F9C4" w14:textId="34B538D9" w:rsidR="00A3398D" w:rsidRDefault="00E83717">
      <w:pPr>
        <w:pStyle w:val="ListBullet"/>
        <w:spacing w:after="120" w:line="240" w:lineRule="auto"/>
      </w:pPr>
      <w:r w:rsidRPr="00A96844">
        <w:rPr>
          <w:u w:val="single"/>
        </w:rPr>
        <w:t>Plausible service provider pathway</w:t>
      </w:r>
      <w:r>
        <w:t xml:space="preserve">. The basic scaling logic is sound. A relatively small number of entrepreneurial farmers, emerging farmers, </w:t>
      </w:r>
      <w:r w:rsidR="00A96844">
        <w:t xml:space="preserve">local </w:t>
      </w:r>
      <w:proofErr w:type="gramStart"/>
      <w:r w:rsidR="00A96844">
        <w:t>business people</w:t>
      </w:r>
      <w:proofErr w:type="gramEnd"/>
      <w:r w:rsidR="00A96844">
        <w:t xml:space="preserve"> </w:t>
      </w:r>
      <w:r w:rsidR="00A96844">
        <w:t xml:space="preserve">and potentially </w:t>
      </w:r>
      <w:r>
        <w:t>women’s groups</w:t>
      </w:r>
      <w:r w:rsidR="00A96844">
        <w:t xml:space="preserve"> and</w:t>
      </w:r>
      <w:r>
        <w:t xml:space="preserve"> cooperatives</w:t>
      </w:r>
      <w:r>
        <w:t xml:space="preserve"> </w:t>
      </w:r>
      <w:r>
        <w:t xml:space="preserve">can buy </w:t>
      </w:r>
      <w:r w:rsidR="009A22EA">
        <w:t xml:space="preserve">relatively </w:t>
      </w:r>
      <w:r>
        <w:t xml:space="preserve">low-cost machines </w:t>
      </w:r>
      <w:r>
        <w:t xml:space="preserve">and provide fee-based services to many farmers who will not own machines themselves. </w:t>
      </w:r>
    </w:p>
    <w:p w14:paraId="1F0F8E22" w14:textId="2B5AC7FE" w:rsidR="009A22EA" w:rsidRDefault="009A22EA" w:rsidP="009A22EA">
      <w:pPr>
        <w:pStyle w:val="ListBullet"/>
        <w:spacing w:after="120" w:line="240" w:lineRule="auto"/>
      </w:pPr>
      <w:r w:rsidRPr="009A22EA">
        <w:rPr>
          <w:u w:val="single"/>
        </w:rPr>
        <w:t xml:space="preserve">Financing for processing </w:t>
      </w:r>
      <w:r w:rsidR="00AA34A7">
        <w:rPr>
          <w:u w:val="single"/>
        </w:rPr>
        <w:t xml:space="preserve">and some land preparation </w:t>
      </w:r>
      <w:r w:rsidRPr="009A22EA">
        <w:rPr>
          <w:u w:val="single"/>
        </w:rPr>
        <w:t>machinery helpful but not essential</w:t>
      </w:r>
      <w:r w:rsidRPr="009A22EA">
        <w:t>.</w:t>
      </w:r>
      <w:r>
        <w:t xml:space="preserve"> </w:t>
      </w:r>
      <w:r>
        <w:t>Because several priority machines are relatively inexpensive ($250-550), the model does not depend entirely on formal; cash purchase by better-off service providers can create an initial installed base while finance solutions are developed.</w:t>
      </w:r>
      <w:r>
        <w:t xml:space="preserve">  That said </w:t>
      </w:r>
      <w:r>
        <w:t>finance would be beneficial in accelerating the pace of adoption and scaling</w:t>
      </w:r>
      <w:r w:rsidR="00AA34A7">
        <w:t xml:space="preserve">. The situation </w:t>
      </w:r>
      <w:proofErr w:type="gramStart"/>
      <w:r w:rsidR="00AA34A7">
        <w:t>for tilling</w:t>
      </w:r>
      <w:proofErr w:type="gramEnd"/>
      <w:r w:rsidR="00AA34A7">
        <w:t xml:space="preserve"> and land preparation machinery is less clear.</w:t>
      </w:r>
    </w:p>
    <w:p w14:paraId="0E9BA98D" w14:textId="4227DA2D" w:rsidR="00A3398D" w:rsidRDefault="00E83717">
      <w:pPr>
        <w:pStyle w:val="ListBullet"/>
        <w:spacing w:after="120" w:line="240" w:lineRule="auto"/>
      </w:pPr>
      <w:r w:rsidRPr="00AA34A7">
        <w:rPr>
          <w:u w:val="single"/>
        </w:rPr>
        <w:t xml:space="preserve">Execution is the immediate </w:t>
      </w:r>
      <w:r w:rsidR="00AA34A7">
        <w:rPr>
          <w:u w:val="single"/>
        </w:rPr>
        <w:t>challenge</w:t>
      </w:r>
      <w:r w:rsidR="0089233E">
        <w:rPr>
          <w:u w:val="single"/>
        </w:rPr>
        <w:t xml:space="preserve"> for sales of processing machinery to occur before the 2026 processing season ends</w:t>
      </w:r>
      <w:r>
        <w:t xml:space="preserve">. The strongest criticism is not of the concept but of the 2026 implementation pathway. The project has started too late in the agricultural and processing calendar, </w:t>
      </w:r>
      <w:r>
        <w:t xml:space="preserve">has too little in-country business-development capacity, and appears over-partnered, under-managed, and under-implemented. </w:t>
      </w:r>
      <w:r w:rsidR="0089233E">
        <w:t xml:space="preserve">While not critical, it </w:t>
      </w:r>
      <w:r w:rsidR="0089233E">
        <w:t>lacks a working finance mechanism</w:t>
      </w:r>
      <w:r w:rsidR="0089233E">
        <w:t xml:space="preserve">. </w:t>
      </w:r>
      <w:r w:rsidR="0089233E">
        <w:t xml:space="preserve"> </w:t>
      </w:r>
      <w:r>
        <w:t xml:space="preserve">Unless the team shifts rapidly from awareness events to conversion, due diligence, financing, delivery, and after-sales support, 2026 will produce far fewer service providers than </w:t>
      </w:r>
      <w:proofErr w:type="gramStart"/>
      <w:r>
        <w:t>the scaling</w:t>
      </w:r>
      <w:proofErr w:type="gramEnd"/>
      <w:r>
        <w:t xml:space="preserve"> ambition implies.</w:t>
      </w:r>
    </w:p>
    <w:p w14:paraId="59C29933" w14:textId="77777777" w:rsidR="00DC5A6E" w:rsidRDefault="00DC5A6E" w:rsidP="008F0259">
      <w:pPr>
        <w:pStyle w:val="ListBullet"/>
        <w:spacing w:after="120" w:line="240" w:lineRule="auto"/>
      </w:pPr>
      <w:r w:rsidRPr="00DC5A6E">
        <w:rPr>
          <w:u w:val="single"/>
        </w:rPr>
        <w:t>The Zimbabwe financing model is too complex and inappropriate for Zambia</w:t>
      </w:r>
      <w:r w:rsidR="00E83717">
        <w:t xml:space="preserve">. The original financing concept borrowed too much from Zimbabwe and does not fit current Zambian realities, the price points of the machines, or the immediate seasonality problem. </w:t>
      </w:r>
      <w:r w:rsidR="00A607F1">
        <w:t xml:space="preserve"> </w:t>
      </w:r>
    </w:p>
    <w:p w14:paraId="30069515" w14:textId="77777777" w:rsidR="00DC5A6E" w:rsidRDefault="00A607F1" w:rsidP="006E72AA">
      <w:pPr>
        <w:pStyle w:val="ListBullet"/>
        <w:numPr>
          <w:ilvl w:val="0"/>
          <w:numId w:val="10"/>
        </w:numPr>
        <w:spacing w:after="120" w:line="240" w:lineRule="auto"/>
      </w:pPr>
      <w:r>
        <w:t xml:space="preserve">The notion of putting in place a complicated, multi-stakeholder process where machinery service providers </w:t>
      </w:r>
      <w:r w:rsidRPr="008F0259">
        <w:rPr>
          <w:u w:val="single"/>
        </w:rPr>
        <w:t>repay their machine loans by selling maize to aggregators</w:t>
      </w:r>
      <w:r>
        <w:t xml:space="preserve"> </w:t>
      </w:r>
      <w:r w:rsidR="00534E5A">
        <w:t xml:space="preserve">makes no sense.  </w:t>
      </w:r>
    </w:p>
    <w:p w14:paraId="178ABF25" w14:textId="77777777" w:rsidR="00DC5A6E" w:rsidRDefault="00DC5A6E" w:rsidP="006E72AA">
      <w:pPr>
        <w:pStyle w:val="ListBullet"/>
        <w:numPr>
          <w:ilvl w:val="0"/>
          <w:numId w:val="10"/>
        </w:numPr>
        <w:tabs>
          <w:tab w:val="num" w:pos="720"/>
        </w:tabs>
        <w:spacing w:after="120" w:line="240" w:lineRule="auto"/>
      </w:pPr>
      <w:r>
        <w:t>T</w:t>
      </w:r>
      <w:r w:rsidR="00534E5A">
        <w:t xml:space="preserve">he Zimbabwe model requires a complicated set of linkages between machinery/maize farmers to aggregators to maize </w:t>
      </w:r>
      <w:proofErr w:type="gramStart"/>
      <w:r w:rsidR="00534E5A">
        <w:t>off-takers</w:t>
      </w:r>
      <w:proofErr w:type="gramEnd"/>
      <w:r w:rsidR="00534E5A">
        <w:t xml:space="preserve"> to </w:t>
      </w:r>
      <w:r w:rsidR="009B214C">
        <w:t xml:space="preserve">banks to machinery suppliers and includes, in principle, insurance companies. </w:t>
      </w:r>
    </w:p>
    <w:p w14:paraId="50A6A8AA" w14:textId="48FC7113" w:rsidR="008F0259" w:rsidRDefault="009B214C" w:rsidP="006E72AA">
      <w:pPr>
        <w:pStyle w:val="ListBullet"/>
        <w:numPr>
          <w:ilvl w:val="0"/>
          <w:numId w:val="10"/>
        </w:numPr>
        <w:tabs>
          <w:tab w:val="num" w:pos="720"/>
        </w:tabs>
        <w:spacing w:after="120" w:line="240" w:lineRule="auto"/>
      </w:pPr>
      <w:r>
        <w:t xml:space="preserve">The primary insurance partner identified, </w:t>
      </w:r>
      <w:r w:rsidR="00FB4ECC">
        <w:t xml:space="preserve">ACRE Africa, is </w:t>
      </w:r>
      <w:r w:rsidR="008F0259">
        <w:t xml:space="preserve">a </w:t>
      </w:r>
      <w:r w:rsidR="008F0259" w:rsidRPr="006E72AA">
        <w:rPr>
          <w:u w:val="single"/>
        </w:rPr>
        <w:t>specialized agricultural insurance intermediary / product designer / implementation platform</w:t>
      </w:r>
      <w:r w:rsidR="008F0259" w:rsidRPr="006E72AA">
        <w:rPr>
          <w:u w:val="single"/>
        </w:rPr>
        <w:t xml:space="preserve"> and not an</w:t>
      </w:r>
      <w:r w:rsidR="008F0259" w:rsidRPr="006E72AA">
        <w:rPr>
          <w:u w:val="single"/>
        </w:rPr>
        <w:t xml:space="preserve"> underwriter</w:t>
      </w:r>
      <w:r w:rsidR="008F0259" w:rsidRPr="008F0259">
        <w:t xml:space="preserve">. ACRE Africa describes </w:t>
      </w:r>
      <w:r w:rsidR="008F0259">
        <w:t xml:space="preserve">works with insurance underwriters by </w:t>
      </w:r>
      <w:r w:rsidR="008F0259" w:rsidRPr="008F0259">
        <w:t>offering agricultural and climate-risk solutions</w:t>
      </w:r>
      <w:r w:rsidR="007B7EA0">
        <w:t xml:space="preserve"> to develop crop insurance products </w:t>
      </w:r>
      <w:r w:rsidR="008F0259" w:rsidRPr="008F0259">
        <w:t xml:space="preserve">to </w:t>
      </w:r>
      <w:proofErr w:type="gramStart"/>
      <w:r w:rsidR="008F0259" w:rsidRPr="008F0259">
        <w:t>offer</w:t>
      </w:r>
      <w:proofErr w:type="gramEnd"/>
      <w:r w:rsidR="008F0259" w:rsidRPr="008F0259">
        <w:t xml:space="preserve"> smallholder</w:t>
      </w:r>
      <w:r w:rsidR="007B7EA0">
        <w:t>s</w:t>
      </w:r>
      <w:r w:rsidR="008F0259" w:rsidRPr="008F0259">
        <w:t>.</w:t>
      </w:r>
      <w:r w:rsidR="007B7EA0">
        <w:t xml:space="preserve"> No underwriter was mentioned in the Alliance presentation, and it is worth noting that the bundled insurance-loans in Kenya have not scaled over the last five years.</w:t>
      </w:r>
    </w:p>
    <w:p w14:paraId="13E30FEE" w14:textId="14311F92" w:rsidR="00DC5A6E" w:rsidRPr="008F0259" w:rsidRDefault="006E72AA" w:rsidP="006E72AA">
      <w:pPr>
        <w:pStyle w:val="ListBullet"/>
        <w:numPr>
          <w:ilvl w:val="0"/>
          <w:numId w:val="10"/>
        </w:numPr>
        <w:spacing w:after="120" w:line="240" w:lineRule="auto"/>
      </w:pPr>
      <w:r>
        <w:t>The Zimbabwe model</w:t>
      </w:r>
      <w:r w:rsidR="00DC5A6E">
        <w:t xml:space="preserve"> include</w:t>
      </w:r>
      <w:r>
        <w:t>d</w:t>
      </w:r>
      <w:r w:rsidR="00DC5A6E">
        <w:t xml:space="preserve"> a </w:t>
      </w:r>
      <w:r>
        <w:t xml:space="preserve">large </w:t>
      </w:r>
      <w:r w:rsidR="00DC5A6E">
        <w:t xml:space="preserve">guarantee fund which was funded by a much larger USAID </w:t>
      </w:r>
      <w:r>
        <w:t>project</w:t>
      </w:r>
      <w:r w:rsidR="00DC5A6E">
        <w:t xml:space="preserve"> in Zimbabwe, no </w:t>
      </w:r>
      <w:r>
        <w:t xml:space="preserve">commensurate </w:t>
      </w:r>
      <w:r w:rsidR="00DC5A6E">
        <w:t>source of a guarantee fund is available in Zambia.</w:t>
      </w:r>
    </w:p>
    <w:p w14:paraId="04C4356E" w14:textId="11EB7813" w:rsidR="00A3398D" w:rsidRDefault="006E72AA">
      <w:pPr>
        <w:pStyle w:val="ListBullet"/>
        <w:spacing w:after="120" w:line="240" w:lineRule="auto"/>
      </w:pPr>
      <w:r w:rsidRPr="006E72AA">
        <w:rPr>
          <w:u w:val="single"/>
        </w:rPr>
        <w:lastRenderedPageBreak/>
        <w:t>A new, simpler financing model is needed in Zambia aligned with local realities</w:t>
      </w:r>
      <w:r>
        <w:t xml:space="preserve">. </w:t>
      </w:r>
      <w:r w:rsidR="00E83717">
        <w:t>Commercial bank products are largely irrelevant for machines below roughly 50,000</w:t>
      </w:r>
      <w:r w:rsidR="007A749F">
        <w:t xml:space="preserve"> </w:t>
      </w:r>
      <w:r w:rsidR="00E83717">
        <w:t>kwacha</w:t>
      </w:r>
      <w:r w:rsidR="007A749F">
        <w:t xml:space="preserve"> ($2777) and </w:t>
      </w:r>
      <w:r w:rsidR="00E83717">
        <w:t>MFIs may be too expensive for many service providers</w:t>
      </w:r>
      <w:r w:rsidR="007A749F">
        <w:t xml:space="preserve"> (compounded annual interest rates approaching 75% or more.)  The government’s </w:t>
      </w:r>
      <w:r w:rsidR="00E83717">
        <w:t>C</w:t>
      </w:r>
      <w:r w:rsidR="007A749F">
        <w:t>E</w:t>
      </w:r>
      <w:r w:rsidR="00E83717">
        <w:t>EC-type public finance is promising but uncertain</w:t>
      </w:r>
      <w:r w:rsidR="007A749F">
        <w:t xml:space="preserve"> as it is not sure whether they will have financing resources and </w:t>
      </w:r>
      <w:r w:rsidR="00AE7FFD">
        <w:t>the timing of approvals is likely to be longer than the putative 30 days claimed by CEEC staff. A</w:t>
      </w:r>
      <w:r w:rsidR="00E83717">
        <w:t xml:space="preserve"> small time-bound guarantee or interest-rate support facility may be the most catalytic short-term use of S4I resources if designed </w:t>
      </w:r>
      <w:proofErr w:type="gramStart"/>
      <w:r w:rsidR="00E83717">
        <w:t>carefully</w:t>
      </w:r>
      <w:r w:rsidR="00AE7FFD">
        <w:t>;  it</w:t>
      </w:r>
      <w:proofErr w:type="gramEnd"/>
      <w:r w:rsidR="00AE7FFD">
        <w:t xml:space="preserve"> should be based on what number of each type of target machine would need to be adopted in each district to reach a critical mass that would allow other potential service providers to see the success of being a service provider (and build awareness among potential customers) and adopt organically on their own.</w:t>
      </w:r>
    </w:p>
    <w:p w14:paraId="76428111" w14:textId="323CC903" w:rsidR="00A3398D" w:rsidRDefault="00E83717">
      <w:pPr>
        <w:pStyle w:val="ListBullet"/>
        <w:spacing w:after="120" w:line="240" w:lineRule="auto"/>
      </w:pPr>
      <w:r w:rsidRPr="00461F6B">
        <w:rPr>
          <w:u w:val="single"/>
        </w:rPr>
        <w:t>The project is at transition to scale, not yet full scaling</w:t>
      </w:r>
      <w:r>
        <w:t>. Maize shelling appears close to early scaling because farmer demand and service-provider profitability are credible</w:t>
      </w:r>
      <w:r w:rsidR="00461F6B">
        <w:t xml:space="preserve"> and already taking off</w:t>
      </w:r>
      <w:r>
        <w:t>. The overall multi-machine</w:t>
      </w:r>
      <w:r w:rsidR="00461F6B">
        <w:t xml:space="preserve"> (e.g. peanut processing machines, chopper-grinders)</w:t>
      </w:r>
      <w:r>
        <w:t xml:space="preserve">, multi-actor service provider model is still transition-to-scale because </w:t>
      </w:r>
      <w:r w:rsidR="00571F80">
        <w:t xml:space="preserve">the profitability and urgency of demand is less clear. </w:t>
      </w:r>
      <w:r>
        <w:t>Basin diggers and some conservation-agriculture-linked machines remain closer to proof of concept from a market perspective</w:t>
      </w:r>
      <w:r w:rsidR="00ED05FE">
        <w:t xml:space="preserve">; that said it is a worthwhile experiment for the project </w:t>
      </w:r>
      <w:proofErr w:type="gramStart"/>
      <w:r w:rsidR="00ED05FE">
        <w:t>to  demonstrate</w:t>
      </w:r>
      <w:proofErr w:type="gramEnd"/>
      <w:r w:rsidR="00ED05FE">
        <w:t xml:space="preserve"> sufficient demand and service provider profitability in 2026.  Machinery importers stated that successful sales of fifty or more would convince them to import and market on their own for the 2027 season.</w:t>
      </w:r>
    </w:p>
    <w:p w14:paraId="705E6DA5" w14:textId="6B21E914" w:rsidR="00A3398D" w:rsidRDefault="00ED05FE">
      <w:pPr>
        <w:pStyle w:val="ListBullet"/>
        <w:spacing w:after="240" w:line="240" w:lineRule="auto"/>
      </w:pPr>
      <w:r w:rsidRPr="00ED05FE">
        <w:rPr>
          <w:u w:val="single"/>
        </w:rPr>
        <w:t xml:space="preserve">The project should revise its 2026 strategy to speed up processing machinery sales and shift to land preparation machinery by September in time for the Nov-Dec </w:t>
      </w:r>
      <w:proofErr w:type="gramStart"/>
      <w:r w:rsidRPr="00ED05FE">
        <w:rPr>
          <w:u w:val="single"/>
        </w:rPr>
        <w:t>season</w:t>
      </w:r>
      <w:r>
        <w:t xml:space="preserve">, </w:t>
      </w:r>
      <w:r w:rsidRPr="00ED05FE">
        <w:rPr>
          <w:u w:val="single"/>
        </w:rPr>
        <w:t>and</w:t>
      </w:r>
      <w:proofErr w:type="gramEnd"/>
      <w:r w:rsidRPr="00ED05FE">
        <w:rPr>
          <w:u w:val="single"/>
        </w:rPr>
        <w:t xml:space="preserve"> revise its processing strategy for Spring 2027. </w:t>
      </w:r>
      <w:r w:rsidR="00E83717">
        <w:t xml:space="preserve"> </w:t>
      </w:r>
    </w:p>
    <w:p w14:paraId="71A15889" w14:textId="2C8717F9" w:rsidR="00A3398D" w:rsidRDefault="00E83717" w:rsidP="00FF3DA5">
      <w:pPr>
        <w:pStyle w:val="Heading1"/>
      </w:pPr>
      <w:r>
        <w:t>Intervention Summary and Components</w:t>
      </w:r>
    </w:p>
    <w:p w14:paraId="55CE7AE0" w14:textId="77777777" w:rsidR="00A3398D" w:rsidRDefault="00E83717">
      <w:pPr>
        <w:spacing w:after="240" w:line="264" w:lineRule="auto"/>
      </w:pPr>
      <w:r>
        <w:rPr>
          <w:b/>
        </w:rPr>
        <w:t xml:space="preserve">The core intervention. </w:t>
      </w:r>
      <w:r>
        <w:t>The Zambia mechanization solution is best understood as an appropriate-scale mechanization service provider model rather than a conventional equipment distribution project. The project is trying to increase smallholder access to mechanization by enabling selected rural entrepreneurs and farmer groups to purchase relatively low-cost machines and provide fee-based services to surrounding farmers. This distinction is important. The target user of the machine is not necessarily the same as the target beneficiar</w:t>
      </w:r>
      <w:r>
        <w:t>y of the service. Most smallholders will not buy maize shellers, peanut processors, basin diggers, chopper grinders, or larger land-preparation equipment. They may, however, pay a service provider to shell maize, process groundnuts, prepare land, dig conservation agriculture basins, or process fodder. The scaling pathway therefore depends on two linked value propositions: a service provider must be able to earn money with the machine, and farmers must find the service cheaper, faster, more reliable, or less</w:t>
      </w:r>
      <w:r>
        <w:t xml:space="preserve"> labor-intensive than their current alternative.</w:t>
      </w:r>
    </w:p>
    <w:p w14:paraId="6D4CCDFF" w14:textId="4A5DE618" w:rsidR="00A3398D" w:rsidRDefault="00E83717">
      <w:pPr>
        <w:spacing w:after="240" w:line="264" w:lineRule="auto"/>
      </w:pPr>
      <w:r>
        <w:rPr>
          <w:b/>
        </w:rPr>
        <w:t xml:space="preserve">The innovation bundle. </w:t>
      </w:r>
      <w:r>
        <w:t>The current bundle includes several categories of machines: post-harvest processing equipment such as maize shellers and groundnut shellers; value-addition equipment such as peanut butter processing machines; conservation-agriculture-related equipment such as basin diggers; and livestock or crop-residue-related machines such as chopper grinders or fodder cutters. Earlier thinking appears to have emphasized a package that could provide year-round work for service providers, but feedback from farmers and gove</w:t>
      </w:r>
      <w:r>
        <w:t>rnment pushed the team toward a more flexible menu. That was the right pivot. A $10,000 multi-machine package may be theoretically attractive because it spreads income across seasons, but it can also burden the service provider with capital costs, management complexity, and machines for which demand is not proven. Allowing buyers to start with a single high-demand machine is more consistent with actual scaling behavior</w:t>
      </w:r>
      <w:r w:rsidR="00E725B4">
        <w:t xml:space="preserve">, </w:t>
      </w:r>
      <w:r w:rsidR="00E725B4">
        <w:lastRenderedPageBreak/>
        <w:t xml:space="preserve">even if the season is shorter.  Nonetheless, processing does </w:t>
      </w:r>
      <w:r w:rsidR="00AA428B">
        <w:t xml:space="preserve">occur over five months, and </w:t>
      </w:r>
      <w:r w:rsidR="00643DC0">
        <w:t xml:space="preserve">the potential use of chopper-grinders to prepare cattle feed is even longer, maybe even </w:t>
      </w:r>
      <w:r w:rsidR="003C5736">
        <w:t>eight months</w:t>
      </w:r>
      <w:r>
        <w:t>.</w:t>
      </w:r>
    </w:p>
    <w:p w14:paraId="36879BAF" w14:textId="31752C2E" w:rsidR="00A3398D" w:rsidRDefault="00E83717">
      <w:pPr>
        <w:spacing w:after="240" w:line="264" w:lineRule="auto"/>
      </w:pPr>
      <w:r>
        <w:rPr>
          <w:b/>
        </w:rPr>
        <w:t xml:space="preserve">The </w:t>
      </w:r>
      <w:r w:rsidR="003C5736">
        <w:rPr>
          <w:b/>
        </w:rPr>
        <w:t xml:space="preserve">awareness </w:t>
      </w:r>
      <w:r w:rsidR="00E44DA5">
        <w:rPr>
          <w:b/>
        </w:rPr>
        <w:t xml:space="preserve">and demand </w:t>
      </w:r>
      <w:r w:rsidR="003C5736">
        <w:rPr>
          <w:b/>
        </w:rPr>
        <w:t>generation</w:t>
      </w:r>
      <w:r>
        <w:rPr>
          <w:b/>
        </w:rPr>
        <w:t xml:space="preserve"> </w:t>
      </w:r>
      <w:r w:rsidR="003C5736">
        <w:rPr>
          <w:b/>
        </w:rPr>
        <w:t>approach</w:t>
      </w:r>
      <w:r>
        <w:rPr>
          <w:b/>
        </w:rPr>
        <w:t xml:space="preserve">. </w:t>
      </w:r>
      <w:r>
        <w:t xml:space="preserve">The project combines machinery demonstrations, awareness campaigns, partner-led mobilization, expressions-of-interest lists, linkage to machinery suppliers, and an intended link to finance. </w:t>
      </w:r>
      <w:r w:rsidR="00E44DA5">
        <w:t xml:space="preserve">It is noteworthy that both the first two activities build awareness among potential service providers and machinery service clients. </w:t>
      </w:r>
      <w:r>
        <w:t>CFU</w:t>
      </w:r>
      <w:r w:rsidR="00E44DA5">
        <w:t>,</w:t>
      </w:r>
      <w:r>
        <w:t xml:space="preserve"> </w:t>
      </w:r>
      <w:r>
        <w:t xml:space="preserve">TLC </w:t>
      </w:r>
      <w:r w:rsidR="00E44DA5">
        <w:t xml:space="preserve">and the </w:t>
      </w:r>
      <w:proofErr w:type="spellStart"/>
      <w:r w:rsidR="00E44DA5">
        <w:t>MoA</w:t>
      </w:r>
      <w:proofErr w:type="spellEnd"/>
      <w:r w:rsidR="00E44DA5">
        <w:t xml:space="preserve"> extension agents </w:t>
      </w:r>
      <w:r>
        <w:t xml:space="preserve">provide the last-mile mobilization structures </w:t>
      </w:r>
      <w:r w:rsidR="00E44DA5">
        <w:t>in nine districts (three each)</w:t>
      </w:r>
      <w:r w:rsidR="00271376">
        <w:t xml:space="preserve"> principally through demonstrations</w:t>
      </w:r>
      <w:r>
        <w:t xml:space="preserve">. Machinery suppliers such as Saro, Camco, Growmore/Promo-type companies, and other dealers </w:t>
      </w:r>
      <w:r w:rsidR="00271376">
        <w:t xml:space="preserve">assist in demonstration </w:t>
      </w:r>
      <w:proofErr w:type="gramStart"/>
      <w:r w:rsidR="00271376">
        <w:t>and also</w:t>
      </w:r>
      <w:proofErr w:type="gramEnd"/>
      <w:r w:rsidR="00271376">
        <w:t xml:space="preserve"> sell the targeted </w:t>
      </w:r>
      <w:r>
        <w:t>equipment</w:t>
      </w:r>
      <w:r w:rsidR="00271376">
        <w:t xml:space="preserve"> (except basin diggers are too new and not available)</w:t>
      </w:r>
      <w:r>
        <w:t xml:space="preserve">, technical advice, spare parts, and potentially after-sales service. Financial institutions are expected to help service providers purchase machines, although this component is currently the least developed. CIMMYT plays the technical and coordinating role, with </w:t>
      </w:r>
      <w:r w:rsidR="00CE71E2">
        <w:t xml:space="preserve">the </w:t>
      </w:r>
      <w:r>
        <w:t xml:space="preserve">Alliance </w:t>
      </w:r>
      <w:r>
        <w:t>intended to contribute finance</w:t>
      </w:r>
      <w:r w:rsidR="00CE71E2">
        <w:t xml:space="preserve"> and IWMI support with </w:t>
      </w:r>
      <w:r>
        <w:t>GESI</w:t>
      </w:r>
      <w:r>
        <w:t>.</w:t>
      </w:r>
    </w:p>
    <w:p w14:paraId="0B6C5FB8" w14:textId="7B488CF6" w:rsidR="00A3398D" w:rsidRDefault="00E83717">
      <w:pPr>
        <w:spacing w:after="240" w:line="264" w:lineRule="auto"/>
      </w:pPr>
      <w:r>
        <w:rPr>
          <w:b/>
        </w:rPr>
        <w:t xml:space="preserve">The scaling logic. </w:t>
      </w:r>
      <w:r>
        <w:t xml:space="preserve">If the model works, scaling will occur through a sequence that is </w:t>
      </w:r>
      <w:r w:rsidR="002B061D">
        <w:t xml:space="preserve">largely </w:t>
      </w:r>
      <w:r>
        <w:t>commercial rather than purely project-driven</w:t>
      </w:r>
      <w:r w:rsidR="00175AAB">
        <w:t xml:space="preserve"> based on a “virtuous circle” model</w:t>
      </w:r>
      <w:r>
        <w:t>. Demonstrations create awareness among farmers and potential service providers. A subset of potential service providers decide that a machine can generate enough income to justify purchase. They buy a machine with cash or finance</w:t>
      </w:r>
      <w:r w:rsidR="007374FD">
        <w:t>; most of the machines will repay the investment in a single processing season</w:t>
      </w:r>
      <w:r>
        <w:t>. Farmers test and then repeat-purchase the service. Successful service providers expand coverage, buy additional machines, or create local proof that induces neighbors, competitors, suppliers, and lenders to enter</w:t>
      </w:r>
      <w:r w:rsidR="00944FA2">
        <w:t xml:space="preserve"> as machinery providers and other farmers as service customers</w:t>
      </w:r>
      <w:r>
        <w:t xml:space="preserve">. Machinery dealers then stock more machines because they see demand. Lenders develop or adapt products because they see repayment. </w:t>
      </w:r>
      <w:proofErr w:type="gramStart"/>
      <w:r w:rsidR="00175AAB">
        <w:t>Thus</w:t>
      </w:r>
      <w:proofErr w:type="gramEnd"/>
      <w:r w:rsidR="00175AAB">
        <w:t xml:space="preserve"> a virtuous circle; </w:t>
      </w:r>
      <w:r>
        <w:t>the project’s role should be catalytic: to identify viable machines, reduce early uncertainty, connect actors, solve temporary coordination and finance failures, and then let market actors increasingly drive scaling.</w:t>
      </w:r>
    </w:p>
    <w:p w14:paraId="57A0D2D6" w14:textId="1A70E92C" w:rsidR="00A3398D" w:rsidRDefault="00E83717">
      <w:pPr>
        <w:spacing w:before="120" w:after="120" w:line="240" w:lineRule="auto"/>
      </w:pPr>
      <w:proofErr w:type="gramStart"/>
      <w:r>
        <w:rPr>
          <w:b/>
          <w:sz w:val="28"/>
          <w:u w:val="single"/>
        </w:rPr>
        <w:t>Implementation</w:t>
      </w:r>
      <w:proofErr w:type="gramEnd"/>
      <w:r>
        <w:rPr>
          <w:b/>
          <w:sz w:val="28"/>
          <w:u w:val="single"/>
        </w:rPr>
        <w:t xml:space="preserve"> Geography, Evidence of Impact, and Business Case</w:t>
      </w:r>
    </w:p>
    <w:p w14:paraId="4FC53009" w14:textId="64EC66D4" w:rsidR="00A3398D" w:rsidRDefault="00E83717">
      <w:pPr>
        <w:spacing w:after="240" w:line="264" w:lineRule="auto"/>
      </w:pPr>
      <w:r>
        <w:rPr>
          <w:b/>
        </w:rPr>
        <w:t xml:space="preserve">Geography and current reach. </w:t>
      </w:r>
      <w:r>
        <w:t xml:space="preserve">The project is being implemented through partner networks across </w:t>
      </w:r>
      <w:r w:rsidR="00A31341">
        <w:t xml:space="preserve">nine </w:t>
      </w:r>
      <w:r>
        <w:t xml:space="preserve">selected districts in Zambia, with demonstrations and awareness building reportedly reaching several thousand farmers in an initial round and generating a substantial list of expressions of interest. </w:t>
      </w:r>
      <w:r>
        <w:t xml:space="preserve">The model has a history through earlier Ukama Ustawi and CIMMYT-related work, including a small number of service providers in Zambia </w:t>
      </w:r>
      <w:r w:rsidR="00A31341">
        <w:t xml:space="preserve">who received machinery for free to build a test case, </w:t>
      </w:r>
      <w:r>
        <w:t>and more extensive learning from Zimbabwe and other countries. That history provides useful proof points, but it does not substitute for a Zambia-specific scaling pathway. Zambia has its own machinery markets, finance institutions, public subsidy channels, farmer cash-flow cycles, and service-provider profi</w:t>
      </w:r>
      <w:r>
        <w:t>l</w:t>
      </w:r>
      <w:r>
        <w:t>e</w:t>
      </w:r>
      <w:r>
        <w:t>s</w:t>
      </w:r>
      <w:r>
        <w:t>.</w:t>
      </w:r>
    </w:p>
    <w:p w14:paraId="6AE48270" w14:textId="6B556ED7" w:rsidR="00FD5786" w:rsidRDefault="003C051D">
      <w:pPr>
        <w:spacing w:after="240" w:line="264" w:lineRule="auto"/>
      </w:pPr>
      <w:r>
        <w:t>For the future, if sufficient additional resources can be reprogrammed, the program should consider complementing the existing open demonstration approach with a “push” model that targets districts of high potential, and within those districts, specific individuals with the characteristics of potential cash buyers or those who would qualify for financing.</w:t>
      </w:r>
    </w:p>
    <w:p w14:paraId="5AD0B05F" w14:textId="609FDF57" w:rsidR="00A3398D" w:rsidRDefault="00E83717">
      <w:pPr>
        <w:spacing w:after="240" w:line="264" w:lineRule="auto"/>
      </w:pPr>
      <w:r>
        <w:rPr>
          <w:b/>
        </w:rPr>
        <w:t xml:space="preserve">Agronomic and labor logic. </w:t>
      </w:r>
      <w:r>
        <w:t xml:space="preserve">Mechanization is </w:t>
      </w:r>
      <w:r>
        <w:t xml:space="preserve">being introduced primarily because it </w:t>
      </w:r>
      <w:r>
        <w:t xml:space="preserve">solves labor, timeliness, and cost bottlenecks. Farmers described maize shelling as faster, cleaner, cheaper, and </w:t>
      </w:r>
      <w:r>
        <w:lastRenderedPageBreak/>
        <w:t xml:space="preserve">less cumbersome than manual shelling. Manual shelling can take more than two weeks for a significant maize harvest and require 10 or more people, including food and labor payments. </w:t>
      </w:r>
      <w:r w:rsidRPr="005E212F">
        <w:rPr>
          <w:u w:val="single"/>
        </w:rPr>
        <w:t>Machine shelling can reduce the task to roughly a day, with lower grain loss, easier sorting, and far less managerial burden</w:t>
      </w:r>
      <w:r w:rsidR="005E212F" w:rsidRPr="005E212F">
        <w:rPr>
          <w:u w:val="single"/>
        </w:rPr>
        <w:t xml:space="preserve"> and, most importantly, is much less expensive than hiring labor</w:t>
      </w:r>
      <w:r w:rsidRPr="005E212F">
        <w:rPr>
          <w:u w:val="single"/>
        </w:rPr>
        <w:t>.</w:t>
      </w:r>
      <w:r>
        <w:t xml:space="preserve"> That is a serious farmer value proposition.</w:t>
      </w:r>
    </w:p>
    <w:p w14:paraId="130B03F5" w14:textId="0E74A5AC" w:rsidR="00A3398D" w:rsidRDefault="00E83717">
      <w:pPr>
        <w:spacing w:after="240" w:line="264" w:lineRule="auto"/>
      </w:pPr>
      <w:r>
        <w:rPr>
          <w:b/>
        </w:rPr>
        <w:t xml:space="preserve">The maize sheller as the strongest business case. </w:t>
      </w:r>
      <w:r>
        <w:t xml:space="preserve">The maize sheller is the clearest near-term scaling opportunity. Farmers are already paying for shelling services, and the comparison with manual labor appears favorable. The service is easy to understand, demand is visible, the machine is relatively affordable, and the service provider can earn revenue from many clients in a compressed season. This is the type of innovation that can </w:t>
      </w:r>
      <w:r w:rsidR="00FD0290">
        <w:t>accelerate</w:t>
      </w:r>
      <w:r>
        <w:t xml:space="preserve"> along the S-curve once enough machines are in place. Its main constraints are not farmer disbelief or lack of technical value but machine availability, timing, finance, and service-provider identification.</w:t>
      </w:r>
    </w:p>
    <w:p w14:paraId="28A38082" w14:textId="5950CB68" w:rsidR="00A3398D" w:rsidRDefault="00E83717">
      <w:pPr>
        <w:spacing w:after="240" w:line="264" w:lineRule="auto"/>
      </w:pPr>
      <w:r>
        <w:rPr>
          <w:b/>
        </w:rPr>
        <w:t xml:space="preserve">Groundnut and peanut processing. </w:t>
      </w:r>
      <w:r>
        <w:t>The groundnut and peanut processing machines also appear promising, particularly for women’s groups, cooperatives, and local value addition</w:t>
      </w:r>
      <w:r w:rsidR="00FD0290">
        <w:t xml:space="preserve"> as groundnuts are largely grown by women and processing is done by women (and does not require physical strength)</w:t>
      </w:r>
      <w:r>
        <w:t xml:space="preserve">. The project’s implementing partners report interest from groups moving beyond selling raw groundnuts toward peanut butter and other processed products. The business case is plausible but less proven than maize shelling. The project should treat groundnut processing as a strong candidate rather than as already validated at scale. It needs clearer evidence on </w:t>
      </w:r>
      <w:r>
        <w:t>whether the service-provider business is shelling, processing, own-account value addition, or some combination of the three.</w:t>
      </w:r>
    </w:p>
    <w:p w14:paraId="2385BF0A" w14:textId="752636A2" w:rsidR="00A3398D" w:rsidRDefault="00E83717">
      <w:pPr>
        <w:spacing w:after="240" w:line="264" w:lineRule="auto"/>
      </w:pPr>
      <w:r>
        <w:rPr>
          <w:b/>
        </w:rPr>
        <w:t xml:space="preserve">Basin diggers and conservation agriculture. </w:t>
      </w:r>
      <w:r>
        <w:t xml:space="preserve">The basin digger is potentially important because </w:t>
      </w:r>
      <w:r w:rsidRPr="008D4BA1">
        <w:rPr>
          <w:u w:val="single"/>
        </w:rPr>
        <w:t xml:space="preserve">it may address one of the </w:t>
      </w:r>
      <w:r w:rsidR="008D4BA1" w:rsidRPr="008D4BA1">
        <w:rPr>
          <w:u w:val="single"/>
        </w:rPr>
        <w:t xml:space="preserve">biggest </w:t>
      </w:r>
      <w:r w:rsidRPr="008D4BA1">
        <w:rPr>
          <w:u w:val="single"/>
        </w:rPr>
        <w:t xml:space="preserve">practical </w:t>
      </w:r>
      <w:r w:rsidR="008D4BA1" w:rsidRPr="008D4BA1">
        <w:rPr>
          <w:u w:val="single"/>
        </w:rPr>
        <w:t>obstacles</w:t>
      </w:r>
      <w:r w:rsidRPr="008D4BA1">
        <w:rPr>
          <w:u w:val="single"/>
        </w:rPr>
        <w:t xml:space="preserve"> in conservation agriculture</w:t>
      </w:r>
      <w:r>
        <w:t xml:space="preserve">: </w:t>
      </w:r>
      <w:proofErr w:type="gramStart"/>
      <w:r>
        <w:t>the labor</w:t>
      </w:r>
      <w:proofErr w:type="gramEnd"/>
      <w:r>
        <w:t xml:space="preserve"> burden of manually digging basins. </w:t>
      </w:r>
      <w:r w:rsidRPr="008D4BA1">
        <w:rPr>
          <w:b/>
          <w:bCs/>
          <w:u w:val="single"/>
        </w:rPr>
        <w:t>The team is right to test it</w:t>
      </w:r>
      <w:r>
        <w:t>. However, from a market perspective it remains much less certain than maize shelling. It is new, supply is limited, farmers may not yet know whether it works, and the willingness of farmers to pay for basin-digging services before the planting season is not well established. It should be treated as an experiment with potentially high upside, not as a proven scaling product. The project should not allow enthusiasm for conservation agriculture to override evidence about farmer demand and service-provider pro</w:t>
      </w:r>
      <w:r>
        <w:t>fitability.</w:t>
      </w:r>
    </w:p>
    <w:p w14:paraId="5CFEA4DE" w14:textId="43C97779" w:rsidR="00A3398D" w:rsidRDefault="00E83717">
      <w:pPr>
        <w:spacing w:after="240" w:line="264" w:lineRule="auto"/>
      </w:pPr>
      <w:r>
        <w:rPr>
          <w:b/>
        </w:rPr>
        <w:t xml:space="preserve">Service-provider profitability. </w:t>
      </w:r>
      <w:r>
        <w:t>The project has useful evidence that service providers can make money, including earlier business data and individual examples of farmers buying machines with their own resources. However, the evidence is still not yet organized into a sufficiently practical investment proposition</w:t>
      </w:r>
      <w:r w:rsidR="000D7DDB">
        <w:t xml:space="preserve"> for all potential machines</w:t>
      </w:r>
      <w:r>
        <w:t xml:space="preserve">. A scaling strategy needs machine-by-machine business cases: purchase price, fuel cost, operator cost, repair and spare parts cost, daily throughput, fee per unit, number of days in season, expected utilization, break-even point, repayment capacity, and sensitivity to late delivery. The project has </w:t>
      </w:r>
      <w:r w:rsidR="000D7DDB">
        <w:t xml:space="preserve">many </w:t>
      </w:r>
      <w:r>
        <w:t>pieces of this evidence, but it needs to turn them into a standard due-diligence and sales tool used by partners, suppliers, lenders, and potential service providers.</w:t>
      </w:r>
    </w:p>
    <w:p w14:paraId="3007C85E" w14:textId="77777777" w:rsidR="00A3398D" w:rsidRDefault="00E83717">
      <w:pPr>
        <w:spacing w:before="120" w:after="120" w:line="240" w:lineRule="auto"/>
      </w:pPr>
      <w:r>
        <w:rPr>
          <w:b/>
          <w:sz w:val="28"/>
          <w:u w:val="single"/>
        </w:rPr>
        <w:t>3. Scaling Ambition</w:t>
      </w:r>
    </w:p>
    <w:p w14:paraId="359E9152" w14:textId="191EC1A1" w:rsidR="00A3398D" w:rsidRDefault="00E83717">
      <w:pPr>
        <w:spacing w:after="240" w:line="264" w:lineRule="auto"/>
      </w:pPr>
      <w:r>
        <w:rPr>
          <w:b/>
        </w:rPr>
        <w:t xml:space="preserve">Ambition versus pipeline. </w:t>
      </w:r>
      <w:r>
        <w:t xml:space="preserve">The implied scaling ambition is to create a substantial number of new machinery service providers and thereby reach many more smallholder farmers with appropriate-scale mechanization services. The earlier ambition of around 250 adopters or service providers in 2026 may have been plausible on paper, but it no longer appears realistic without a major change in </w:t>
      </w:r>
      <w:r>
        <w:lastRenderedPageBreak/>
        <w:t>execution. The project has generated</w:t>
      </w:r>
      <w:r w:rsidR="00C166E5">
        <w:t xml:space="preserve"> a large and growing number of</w:t>
      </w:r>
      <w:r>
        <w:t xml:space="preserve"> expressions of interest</w:t>
      </w:r>
      <w:r w:rsidR="0049556F">
        <w:t xml:space="preserve"> expected to reach one thousand or more by the end of July 2026</w:t>
      </w:r>
      <w:r>
        <w:t xml:space="preserve">, but expressions of interest are not adoption. The relevant conversion chain </w:t>
      </w:r>
      <w:proofErr w:type="gramStart"/>
      <w:r>
        <w:t>is:</w:t>
      </w:r>
      <w:proofErr w:type="gramEnd"/>
      <w:r>
        <w:t xml:space="preserve"> attends a demonstration; puts name on a list; provides basic data; demonstrates cash or creditworthiness; selects a machine; </w:t>
      </w:r>
      <w:r w:rsidR="0049556F">
        <w:t>puts together the document for a loan if needed</w:t>
      </w:r>
      <w:r>
        <w:t>;</w:t>
      </w:r>
      <w:r w:rsidR="0049556F">
        <w:t xml:space="preserve"> submit the loan application; potentially</w:t>
      </w:r>
      <w:r>
        <w:t xml:space="preserve"> receives finance if </w:t>
      </w:r>
      <w:r w:rsidR="0049556F">
        <w:t>approved</w:t>
      </w:r>
      <w:r>
        <w:t>; orders machine; receives machine before the service season; provides services; earns revenue; repays; and continues the following season. A credible scaling ambition must be built from expected conversion rates along this chain, not from attendance numbers.</w:t>
      </w:r>
      <w:r w:rsidR="0049556F">
        <w:t xml:space="preserve"> Moreover, a MEAL study of this step-by-step conversion rate would be an important contribution to the </w:t>
      </w:r>
      <w:proofErr w:type="gramStart"/>
      <w:r w:rsidR="0049556F">
        <w:t>scaling</w:t>
      </w:r>
      <w:proofErr w:type="gramEnd"/>
      <w:r w:rsidR="0049556F">
        <w:t xml:space="preserve"> science literature.</w:t>
      </w:r>
    </w:p>
    <w:p w14:paraId="1F39C218" w14:textId="5F32A932" w:rsidR="00A3398D" w:rsidRDefault="00E83717">
      <w:pPr>
        <w:spacing w:after="240" w:line="264" w:lineRule="auto"/>
      </w:pPr>
      <w:r>
        <w:rPr>
          <w:b/>
        </w:rPr>
        <w:t xml:space="preserve">What should count as scaling. </w:t>
      </w:r>
      <w:r>
        <w:t xml:space="preserve">The project should distinguish four levels of progress. Awareness is not scaling. Expression of interest is not scaling. Machine purchase is early adoption. Repeat service provision with paying farmer clients is scaling behavior. The real outcome is not the number of farmers who attend demonstrations or say they are interested. It is the number of functioning service providers still operating after the project has stopped organizing the process, </w:t>
      </w:r>
      <w:r>
        <w:t>the number of farmers repeatedly paying for services because the services make economic sense</w:t>
      </w:r>
      <w:r w:rsidR="0017332D">
        <w:t>, and ultimately the numbers of both who learned about being provider or client from the example of others – a multiplier effect.</w:t>
      </w:r>
      <w:r>
        <w:t xml:space="preserve"> That distinction should discipline the project’s targets and monitoring system.</w:t>
      </w:r>
    </w:p>
    <w:p w14:paraId="05D7DB41" w14:textId="2EA686CA" w:rsidR="00A3398D" w:rsidRDefault="00E83717">
      <w:pPr>
        <w:spacing w:after="240" w:line="264" w:lineRule="auto"/>
      </w:pPr>
      <w:r>
        <w:rPr>
          <w:b/>
        </w:rPr>
        <w:t xml:space="preserve">Reasonable near-term ambition. </w:t>
      </w:r>
      <w:r>
        <w:t>For the rest of 2026, a realistic ambition would be to salvage the season by converting cash buyers</w:t>
      </w:r>
      <w:r w:rsidR="00B56C0F">
        <w:t xml:space="preserve"> for processing machinery</w:t>
      </w:r>
      <w:r>
        <w:t>, completing a segmented service-provider pipeline, testing the fastest feasible finance route for a small number of machines</w:t>
      </w:r>
      <w:r w:rsidR="00FD5786">
        <w:t xml:space="preserve"> if possible or for the next season</w:t>
      </w:r>
      <w:r>
        <w:t xml:space="preserve">, and pivoting toward </w:t>
      </w:r>
      <w:r w:rsidR="00B56C0F">
        <w:t xml:space="preserve">land preparation and other </w:t>
      </w:r>
      <w:r>
        <w:t>machines whose service window still exists in October-December. A revised 2026 target might be less impressive numerically but more meaningful analytically: a defined number of verified cash sales; a defined number of credit-ready applications; a defined number of machines delivered before their economic window closes; a working conversion database; and a practical finance design for 2027. For 2027, ambition can rise substantially if the project starts early, targets better prospects, has machines available</w:t>
      </w:r>
      <w:r>
        <w:t xml:space="preserve"> before the season, and has financing ready by March or April rather than August or September.</w:t>
      </w:r>
    </w:p>
    <w:p w14:paraId="4502F97F" w14:textId="77777777" w:rsidR="00A3398D" w:rsidRDefault="00E83717">
      <w:pPr>
        <w:spacing w:before="120" w:after="120" w:line="240" w:lineRule="auto"/>
      </w:pPr>
      <w:r>
        <w:rPr>
          <w:b/>
          <w:sz w:val="28"/>
          <w:u w:val="single"/>
        </w:rPr>
        <w:t>4. Stakeholders and Roles</w:t>
      </w:r>
    </w:p>
    <w:p w14:paraId="07E4F81B" w14:textId="77777777" w:rsidR="00796FE0" w:rsidRDefault="00E83717">
      <w:pPr>
        <w:spacing w:after="240" w:line="264" w:lineRule="auto"/>
      </w:pPr>
      <w:r>
        <w:rPr>
          <w:b/>
        </w:rPr>
        <w:t xml:space="preserve">CIMMYT and CGIAR partners. </w:t>
      </w:r>
      <w:r>
        <w:t xml:space="preserve">CIMMYT appears to be the accountable technical and coordination lead. Its strengths are evidence generation, mechanization knowledge, experience with service-provider models, and the ability to convene implementing partners, suppliers, and public actors. The weakness is that too much of the solution currently depends on coordination among CGIAR centers and senior staff who are not consistently on the ground. </w:t>
      </w:r>
    </w:p>
    <w:p w14:paraId="1E2A4F69" w14:textId="228CA00E" w:rsidR="00A3398D" w:rsidRDefault="00E83717">
      <w:pPr>
        <w:spacing w:after="240" w:line="264" w:lineRule="auto"/>
      </w:pPr>
      <w:r>
        <w:t xml:space="preserve">The Alliance role in finance appears </w:t>
      </w:r>
      <w:r w:rsidR="007306BF">
        <w:t xml:space="preserve">to be </w:t>
      </w:r>
      <w:r w:rsidR="00796FE0">
        <w:t>outdated</w:t>
      </w:r>
      <w:proofErr w:type="gramStart"/>
      <w:r w:rsidR="00796FE0">
        <w:t xml:space="preserve">, </w:t>
      </w:r>
      <w:r w:rsidR="007306BF">
        <w:t>too little</w:t>
      </w:r>
      <w:proofErr w:type="gramEnd"/>
      <w:r w:rsidR="007306BF">
        <w:t xml:space="preserve"> too late, inappropriate, </w:t>
      </w:r>
      <w:r>
        <w:t>underdeveloped</w:t>
      </w:r>
      <w:r w:rsidR="00796FE0">
        <w:t xml:space="preserve"> and uncoordinated with the last six </w:t>
      </w:r>
      <w:proofErr w:type="gramStart"/>
      <w:r w:rsidR="00796FE0">
        <w:t>month</w:t>
      </w:r>
      <w:proofErr w:type="gramEnd"/>
      <w:r w:rsidR="00796FE0">
        <w:t xml:space="preserve"> of developments by </w:t>
      </w:r>
      <w:proofErr w:type="gramStart"/>
      <w:r w:rsidR="00796FE0">
        <w:t xml:space="preserve">CIMMYT </w:t>
      </w:r>
      <w:r>
        <w:t>.</w:t>
      </w:r>
      <w:proofErr w:type="gramEnd"/>
      <w:r>
        <w:t xml:space="preserve"> A financing model cannot be developed through occasional calls or by dusting off a model from Zimbabwe. It requires local presence, direct negotiation with lenders, due diligence tools, and rapid iteration with service providers and suppliers.</w:t>
      </w:r>
    </w:p>
    <w:p w14:paraId="5835338E" w14:textId="06E39B4A" w:rsidR="00A3398D" w:rsidRDefault="00E83717">
      <w:pPr>
        <w:spacing w:after="240" w:line="264" w:lineRule="auto"/>
      </w:pPr>
      <w:r>
        <w:rPr>
          <w:b/>
        </w:rPr>
        <w:t xml:space="preserve">Implementing partners. </w:t>
      </w:r>
      <w:r>
        <w:t xml:space="preserve">CFU and TLC are among the strongest assets in the model because they have field structures, farmer trust, and mechanisms to organize demonstrations. CFU’s lead farmer system and TLC’s work with cooperatives, women’s groups, and existing community structures </w:t>
      </w:r>
      <w:r>
        <w:lastRenderedPageBreak/>
        <w:t xml:space="preserve">provide useful routes to demand creation. However, the current partner resourcing appears too low for the work being asked of them. Demonstrations, list collection, targeted recruitment, follow-up visits, </w:t>
      </w:r>
      <w:r w:rsidR="001F7997">
        <w:t xml:space="preserve">and especially </w:t>
      </w:r>
      <w:r w:rsidRPr="001F7997">
        <w:rPr>
          <w:b/>
          <w:bCs/>
        </w:rPr>
        <w:t>due diligence support, supplier linkage, credit preparation</w:t>
      </w:r>
      <w:r>
        <w:t xml:space="preserve"> cannot be done well with token sub-grants and a few awareness events. If these partners are expected to drive the last mile, they need resources, clear roles, performance expectations, </w:t>
      </w:r>
      <w:r>
        <w:t>rapid reporting systems</w:t>
      </w:r>
      <w:r w:rsidR="001F7997">
        <w:t xml:space="preserve"> and potentially additional support on the financial preparation end</w:t>
      </w:r>
      <w:r>
        <w:t>.</w:t>
      </w:r>
    </w:p>
    <w:p w14:paraId="0C07A236" w14:textId="77777777" w:rsidR="00A3398D" w:rsidRDefault="00E83717">
      <w:pPr>
        <w:spacing w:after="240" w:line="264" w:lineRule="auto"/>
      </w:pPr>
      <w:r>
        <w:rPr>
          <w:b/>
        </w:rPr>
        <w:t xml:space="preserve">Machinery suppliers. </w:t>
      </w:r>
      <w:r>
        <w:t xml:space="preserve">The suppliers are necessary but not yet fully activated as scaling drivers. Some have branch networks, technical staff, after-sales capacity, and experience with public and donor-financed machinery schemes. Others are more passive dealers waiting for customers to come to them. The project’s current risk is that suppliers will attend occasional demonstrations but not invest seriously in promotion, local stocking, spare parts, or after-sales support unless they see credible demand. </w:t>
      </w:r>
      <w:r w:rsidRPr="001F7997">
        <w:rPr>
          <w:u w:val="single"/>
        </w:rPr>
        <w:t>The project should negotiate specific supplier commitments</w:t>
      </w:r>
      <w:r>
        <w:t>: number of demonstration days, machines pre-positioned, spare parts available, delivery timelines, after-sales service, warranty terms, and willingness to co-finance promotion once sales begin.</w:t>
      </w:r>
    </w:p>
    <w:p w14:paraId="1BE69A02" w14:textId="1922F510" w:rsidR="00A3398D" w:rsidRDefault="00E83717">
      <w:pPr>
        <w:spacing w:after="240" w:line="264" w:lineRule="auto"/>
      </w:pPr>
      <w:r>
        <w:rPr>
          <w:b/>
        </w:rPr>
        <w:t xml:space="preserve">Financial institutions. </w:t>
      </w:r>
      <w:r>
        <w:t>The finance landscape is fragmented. Commercial asset finance products can work for larger farmers and larger equipment, but are largely irrelevant for small machines if banks will not process loans below 50,000-100,000 kwacha. MFIs may reach smaller borrowers but can be too expensive if interest rates are effectively 5 percent per month. Public finance through CE</w:t>
      </w:r>
      <w:r w:rsidR="00594019">
        <w:t>E</w:t>
      </w:r>
      <w:r>
        <w:t>C-type mechanisms is promising because of lower interest and looser criteria, but its speed, funding availability, and political reliability are uncertain. A well-designed guarantee or interest-rate support facility may be catalytic, but only if it is temporary, carefully targeted</w:t>
      </w:r>
      <w:r w:rsidR="00187883">
        <w:t xml:space="preserve"> </w:t>
      </w:r>
      <w:proofErr w:type="gramStart"/>
      <w:r w:rsidR="00187883">
        <w:t>to</w:t>
      </w:r>
      <w:proofErr w:type="gramEnd"/>
      <w:r w:rsidR="00187883">
        <w:t xml:space="preserve"> enough machinery providers in each district to catalyze additional adopters</w:t>
      </w:r>
      <w:r>
        <w:t>, and linked to real cash-flow evidence.</w:t>
      </w:r>
    </w:p>
    <w:p w14:paraId="78AEEE87" w14:textId="36B72ED7" w:rsidR="00A3398D" w:rsidRDefault="00E83717">
      <w:pPr>
        <w:spacing w:after="240" w:line="264" w:lineRule="auto"/>
      </w:pPr>
      <w:r>
        <w:rPr>
          <w:b/>
        </w:rPr>
        <w:t xml:space="preserve">Service providers and farmers. </w:t>
      </w:r>
      <w:r>
        <w:t>The most important actors are the prospective service providers and the farmers who will pay for services. The best service providers are unlikely to be the poorest farmers. They will often be emerging farmers, shopkeepers, widows with businesses, cooperative leaders, existing service providers, larger farmers with cash, or people who already have some business experience, working capital, local trust, and the ability to manage repayment. That is not a failure of inclusion; it is how service-provider models</w:t>
      </w:r>
      <w:r>
        <w:t xml:space="preserve"> usually scale. The inclusion benefit comes from many poorer farmers gaining access to services without owning machines themselves. The project should be honest about that logic rather than pretending every smallholder is an equally realistic machine buyer.</w:t>
      </w:r>
      <w:r w:rsidR="00187883">
        <w:t xml:space="preserve"> Hopefully with growing scale of the machinery market, economies of scale and competition will bring purchase prices down that will allow smaller and less-resourced farmers to become machinery service providers in the next few years. The evidence on price competition in Zimbabwe is encouraging in this regard.</w:t>
      </w:r>
    </w:p>
    <w:p w14:paraId="6A01ACE6" w14:textId="3F73EA9C" w:rsidR="00A3398D" w:rsidRDefault="00E83717">
      <w:pPr>
        <w:spacing w:before="120" w:after="120" w:line="240" w:lineRule="auto"/>
      </w:pPr>
      <w:r>
        <w:rPr>
          <w:b/>
          <w:sz w:val="28"/>
          <w:u w:val="single"/>
        </w:rPr>
        <w:t>Strengths from a Scaling Perspective</w:t>
      </w:r>
    </w:p>
    <w:p w14:paraId="5D52D722" w14:textId="4CF8CC3A" w:rsidR="00A3398D" w:rsidRDefault="00E83717">
      <w:pPr>
        <w:spacing w:after="240" w:line="264" w:lineRule="auto"/>
      </w:pPr>
      <w:r>
        <w:rPr>
          <w:b/>
        </w:rPr>
        <w:t xml:space="preserve">Demand-led machine selection. </w:t>
      </w:r>
      <w:r>
        <w:t>The project’s biggest strength is that it has largely avoided the common trap of technology-push mechanization</w:t>
      </w:r>
      <w:r w:rsidR="00553D1C">
        <w:t xml:space="preserve"> of machines selected by agronomic experts on what they think farmers need or could use</w:t>
      </w:r>
      <w:r>
        <w:t xml:space="preserve">. It has listened to farmers and potential service providers and adjusted from a large bundled package toward smaller machines with clearer demand. </w:t>
      </w:r>
      <w:r w:rsidRPr="00553D1C">
        <w:rPr>
          <w:u w:val="single"/>
        </w:rPr>
        <w:t>That is unusual</w:t>
      </w:r>
      <w:r w:rsidR="00553D1C" w:rsidRPr="00553D1C">
        <w:rPr>
          <w:u w:val="single"/>
        </w:rPr>
        <w:t xml:space="preserve">, </w:t>
      </w:r>
      <w:r w:rsidRPr="00553D1C">
        <w:rPr>
          <w:u w:val="single"/>
        </w:rPr>
        <w:t>important</w:t>
      </w:r>
      <w:r w:rsidR="00553D1C" w:rsidRPr="00553D1C">
        <w:rPr>
          <w:u w:val="single"/>
        </w:rPr>
        <w:t xml:space="preserve"> and deserves recognition and congratula</w:t>
      </w:r>
      <w:r w:rsidR="00553D1C">
        <w:rPr>
          <w:u w:val="single"/>
        </w:rPr>
        <w:t>t</w:t>
      </w:r>
      <w:r w:rsidR="00553D1C" w:rsidRPr="00553D1C">
        <w:rPr>
          <w:u w:val="single"/>
        </w:rPr>
        <w:t>ions</w:t>
      </w:r>
      <w:r w:rsidR="00553D1C">
        <w:rPr>
          <w:u w:val="single"/>
        </w:rPr>
        <w:t>; it is a model for other mechanization programs in this regard</w:t>
      </w:r>
      <w:r w:rsidRPr="00553D1C">
        <w:rPr>
          <w:u w:val="single"/>
        </w:rPr>
        <w:t>.</w:t>
      </w:r>
      <w:r>
        <w:t xml:space="preserve"> Many agricultural mechanization projects fail because they promote machines that agronomists, engineers, or donors want farmers to use rather than machines that farmers and rural entrepreneurs are willing to pay for. Here, the strongest candidate machines </w:t>
      </w:r>
      <w:r>
        <w:lastRenderedPageBreak/>
        <w:t>are those with visible user demand, immediate labor savings, and relatively simple business propositions.</w:t>
      </w:r>
    </w:p>
    <w:p w14:paraId="4E141C8D" w14:textId="77777777" w:rsidR="00A3398D" w:rsidRDefault="00E83717">
      <w:pPr>
        <w:spacing w:after="240" w:line="264" w:lineRule="auto"/>
      </w:pPr>
      <w:r>
        <w:rPr>
          <w:b/>
        </w:rPr>
        <w:t xml:space="preserve">Low capital barrier. </w:t>
      </w:r>
      <w:r>
        <w:t>The priority machines are relatively inexpensive, especially compared with tractors or larger mechanization packages. This creates a dual scaling pathway: cash purchase for better-off rural entrepreneurs and targeted credit for those just below the cash threshold. The existence of cash buyers matters enormously. A model that depends entirely on formal finance in a weak rural credit environment is fragile. A model that can start with cash buyers, prove demand, demonstrate repayment potential, and then attrac</w:t>
      </w:r>
      <w:r>
        <w:t>t finance is much more scalable.</w:t>
      </w:r>
    </w:p>
    <w:p w14:paraId="749827F5" w14:textId="77777777" w:rsidR="00A3398D" w:rsidRDefault="00E83717">
      <w:pPr>
        <w:spacing w:after="240" w:line="264" w:lineRule="auto"/>
      </w:pPr>
      <w:r>
        <w:rPr>
          <w:b/>
        </w:rPr>
        <w:t xml:space="preserve">Clear farmer willingness to pay. </w:t>
      </w:r>
      <w:r>
        <w:t>The maize shelling evidence is compelling because farmers articulated why they pay: speed, lower labor requirements, lower total cost, reduced loss, and convenience. This is the right kind of adoption evidence. Farmers are not adopting because a project tells them to. They pay because the service solves a real problem. That is exactly what a scaling assessment should look for.</w:t>
      </w:r>
    </w:p>
    <w:p w14:paraId="0C41E0F0" w14:textId="3E3BB8B2" w:rsidR="00A3398D" w:rsidRDefault="00E83717">
      <w:pPr>
        <w:spacing w:after="240" w:line="264" w:lineRule="auto"/>
      </w:pPr>
      <w:r>
        <w:rPr>
          <w:b/>
        </w:rPr>
        <w:t xml:space="preserve">Promising gender and enterprise logic. </w:t>
      </w:r>
      <w:r>
        <w:t xml:space="preserve">The model has real gender potential, especially where smaller machines can be purchased or managed by women, women’s groups, or mixed farmer groups. Peanut processing and some smaller machines appear particularly relevant. The project </w:t>
      </w:r>
      <w:r w:rsidR="002C22B9">
        <w:t>has</w:t>
      </w:r>
      <w:r>
        <w:t xml:space="preserve"> avoid</w:t>
      </w:r>
      <w:r w:rsidR="002C22B9">
        <w:t>ed</w:t>
      </w:r>
      <w:r>
        <w:t xml:space="preserve"> superficial GESI </w:t>
      </w:r>
      <w:r w:rsidR="002C22B9">
        <w:t xml:space="preserve">targets like number of women attending demonstrations or other </w:t>
      </w:r>
      <w:r>
        <w:t>activities separated from the business model. The best inclusion strategy is to identify which machines, service models, financing options, and group structures enable women to own, manage, or benefit from mechanization services profitably.</w:t>
      </w:r>
    </w:p>
    <w:p w14:paraId="565EFF46" w14:textId="77777777" w:rsidR="00A3398D" w:rsidRDefault="00E83717">
      <w:pPr>
        <w:spacing w:after="240" w:line="264" w:lineRule="auto"/>
      </w:pPr>
      <w:r>
        <w:rPr>
          <w:b/>
        </w:rPr>
        <w:t xml:space="preserve">Potential for private-sector pull. </w:t>
      </w:r>
      <w:r>
        <w:t>Machinery suppliers already exist in Zambia, and some have branch networks, technical staff, and experience with financing schemes. The project does not need to create a machinery market from nothing. Its role is to reduce early uncertainty, aggregate credible demand, and help suppliers see that smallholder-oriented machines can be a profitable business line. If the project can generate even a modest critical mass of paying service providers, suppliers may begin to import, stock, demonstrate, and service ma</w:t>
      </w:r>
      <w:r>
        <w:t>chines with less project prompting.</w:t>
      </w:r>
    </w:p>
    <w:p w14:paraId="15740117" w14:textId="5AA40C0A" w:rsidR="00A3398D" w:rsidRDefault="00E83717">
      <w:pPr>
        <w:spacing w:before="120" w:after="120" w:line="240" w:lineRule="auto"/>
      </w:pPr>
      <w:r>
        <w:rPr>
          <w:b/>
          <w:sz w:val="28"/>
          <w:u w:val="single"/>
        </w:rPr>
        <w:t>Weaknesses and Bottlenecks Relative to Ambition</w:t>
      </w:r>
    </w:p>
    <w:p w14:paraId="1E5A8EF9" w14:textId="4916184B" w:rsidR="00A3398D" w:rsidRDefault="00E83717">
      <w:pPr>
        <w:spacing w:after="240" w:line="264" w:lineRule="auto"/>
      </w:pPr>
      <w:r>
        <w:rPr>
          <w:b/>
        </w:rPr>
        <w:t xml:space="preserve">Finance is the binding bottleneck. </w:t>
      </w:r>
      <w:r>
        <w:t xml:space="preserve">The project’s weakest link is finance. The finance pathway is currently not ready for the adoption target. Commercial banks are mismatched to the most promising low-cost machines. MFIs may be too expensive. Public finance may be slow and uncertain. The Zimbabwe-derived aggregation-and-repayment model is </w:t>
      </w:r>
      <w:r w:rsidR="005D637C">
        <w:t xml:space="preserve">outdated, </w:t>
      </w:r>
      <w:r>
        <w:t>too complicated</w:t>
      </w:r>
      <w:r w:rsidR="005D637C">
        <w:t xml:space="preserve">, requires resources not in existence, </w:t>
      </w:r>
      <w:r>
        <w:t>and not well aligned with the current Zambia machine mix. Insurance does not appear to solve the problem. The project needs a Zambia-specific finance strategy built around actual machine prices, service-provider profiles, repayment cash flow, seasonality, and lender transaction costs.</w:t>
      </w:r>
    </w:p>
    <w:p w14:paraId="132BA21A" w14:textId="0B778071" w:rsidR="00A3398D" w:rsidRDefault="00E83717">
      <w:pPr>
        <w:spacing w:after="240" w:line="264" w:lineRule="auto"/>
      </w:pPr>
      <w:r>
        <w:rPr>
          <w:b/>
        </w:rPr>
        <w:t>Seasonality has been mishandled</w:t>
      </w:r>
      <w:r w:rsidR="006335C7">
        <w:rPr>
          <w:b/>
        </w:rPr>
        <w:t xml:space="preserve"> for the first half of 2026</w:t>
      </w:r>
      <w:r>
        <w:rPr>
          <w:b/>
        </w:rPr>
        <w:t xml:space="preserve">. </w:t>
      </w:r>
      <w:r>
        <w:t xml:space="preserve">The timing problem is severe. Processing machines generate income mainly </w:t>
      </w:r>
      <w:r w:rsidR="006335C7">
        <w:t>for a defined period after the</w:t>
      </w:r>
      <w:r>
        <w:t xml:space="preserve"> harvest. If a potential service provider receives a maize sheller or groundnut processor in September, much of the 2026 service window </w:t>
      </w:r>
      <w:r w:rsidR="006335C7">
        <w:t xml:space="preserve">– May through September with peak months in July and August -- </w:t>
      </w:r>
      <w:r>
        <w:t>may already be gone. A rational borrower may not want to take on debt for a machine that will generate little revenue</w:t>
      </w:r>
      <w:r w:rsidR="006335C7">
        <w:t xml:space="preserve"> – one month </w:t>
      </w:r>
      <w:proofErr w:type="gramStart"/>
      <w:r w:rsidR="006335C7">
        <w:t xml:space="preserve">-- </w:t>
      </w:r>
      <w:r>
        <w:t xml:space="preserve"> until</w:t>
      </w:r>
      <w:proofErr w:type="gramEnd"/>
      <w:r>
        <w:t xml:space="preserve"> the next season. This is not a minor implementation delay; it changes the economics </w:t>
      </w:r>
      <w:r>
        <w:lastRenderedPageBreak/>
        <w:t>of adoption. The project must align finance approval, machine ordering, importation, delivery, and training with the agricultural calendar. A machine delivered after its income season is a stranded asset, at least temporarily.</w:t>
      </w:r>
    </w:p>
    <w:p w14:paraId="0BF68967" w14:textId="0C845DBB" w:rsidR="00A3398D" w:rsidRDefault="00E83717">
      <w:pPr>
        <w:spacing w:after="240" w:line="264" w:lineRule="auto"/>
      </w:pPr>
      <w:r>
        <w:rPr>
          <w:b/>
        </w:rPr>
        <w:t xml:space="preserve">Implementation capacity is too thin. </w:t>
      </w:r>
      <w:r>
        <w:t>The project has too many partners relative to the amount of practical management on the ground. Coordination calls are not coordination. A mechanization scaling model requires people who follow up on lists, call prospective service providers, accompany them to suppliers, help prepare loan documentation, negotiate with lenders, verify business capacity, check delivery dates, and troubleshoot after-sales problems. This is business development work, not just agronomic extension. The project currently appears t</w:t>
      </w:r>
      <w:r>
        <w:t xml:space="preserve">o have </w:t>
      </w:r>
      <w:r w:rsidR="008E4293">
        <w:t xml:space="preserve">invested in </w:t>
      </w:r>
      <w:r>
        <w:t xml:space="preserve">too much senior-level participation </w:t>
      </w:r>
      <w:r w:rsidR="008E4293">
        <w:t xml:space="preserve">out of country </w:t>
      </w:r>
      <w:r>
        <w:t xml:space="preserve">and too little </w:t>
      </w:r>
      <w:r w:rsidR="008E4293">
        <w:t xml:space="preserve">in in-country </w:t>
      </w:r>
      <w:r>
        <w:t>field-level execution capacity.</w:t>
      </w:r>
    </w:p>
    <w:p w14:paraId="0C01F29D" w14:textId="77777777" w:rsidR="00A3398D" w:rsidRDefault="00E83717">
      <w:pPr>
        <w:spacing w:after="240" w:line="264" w:lineRule="auto"/>
      </w:pPr>
      <w:r>
        <w:rPr>
          <w:b/>
        </w:rPr>
        <w:t xml:space="preserve">The interest list is not yet a pipeline. </w:t>
      </w:r>
      <w:r>
        <w:t>The project has generated expressions of interest, but a list of names and phone numbers is not a service-provider pipeline. The list must be converted into a segmented database with information relevant to adoption: machine of interest, cash availability, land size, crops, current production, current machinery ownership, existing business activity, willingness to provide services, location, expected client base, credit history, group membership, collateral, and preferred supplier. Without this information,</w:t>
      </w:r>
      <w:r>
        <w:t xml:space="preserve"> the team cannot distinguish serious buyers from curious attendees, cash buyers from credit-dependent prospects, or near-term opportunities from long-term leads.</w:t>
      </w:r>
    </w:p>
    <w:p w14:paraId="41C51B5F" w14:textId="60F6EB55" w:rsidR="00A3398D" w:rsidRDefault="00E83717">
      <w:pPr>
        <w:spacing w:after="240" w:line="264" w:lineRule="auto"/>
      </w:pPr>
      <w:r>
        <w:rPr>
          <w:b/>
        </w:rPr>
        <w:t xml:space="preserve">Supplier incentives remain under-specified. </w:t>
      </w:r>
      <w:r>
        <w:t xml:space="preserve">Suppliers say supportive things, but their actual business commitments are unclear. If suppliers believe the project will do demand creation for them and only call them when buyers appear, scaling will remain project-driven. If </w:t>
      </w:r>
      <w:r w:rsidRPr="008E4293">
        <w:rPr>
          <w:u w:val="single"/>
        </w:rPr>
        <w:t xml:space="preserve">suppliers begin to co-invest </w:t>
      </w:r>
      <w:r w:rsidR="008E4293" w:rsidRPr="008E4293">
        <w:rPr>
          <w:u w:val="single"/>
        </w:rPr>
        <w:t>more</w:t>
      </w:r>
      <w:r w:rsidR="008E4293">
        <w:t xml:space="preserve"> </w:t>
      </w:r>
      <w:r>
        <w:t xml:space="preserve">in demonstrations, stock spare parts, train operators, provide after-sales support, and market directly to service providers, scaling becomes more private-sector driven. The project should stop treating supplier participation as attendance and start </w:t>
      </w:r>
      <w:r w:rsidR="00FB409B">
        <w:t xml:space="preserve">focusing on and negotiating </w:t>
      </w:r>
      <w:r>
        <w:t>supplier investment.</w:t>
      </w:r>
    </w:p>
    <w:p w14:paraId="41B7D70A" w14:textId="31B7929F" w:rsidR="00A3398D" w:rsidRDefault="009743B1">
      <w:pPr>
        <w:spacing w:after="240" w:line="264" w:lineRule="auto"/>
      </w:pPr>
      <w:r>
        <w:rPr>
          <w:b/>
        </w:rPr>
        <w:t>Getting the number of machines right</w:t>
      </w:r>
      <w:r w:rsidR="00E83717">
        <w:rPr>
          <w:b/>
        </w:rPr>
        <w:t xml:space="preserve">. </w:t>
      </w:r>
      <w:r w:rsidR="00E83717">
        <w:t>The project’s effort to offer choice is appropriate</w:t>
      </w:r>
      <w:r>
        <w:t xml:space="preserve"> and has a good job narrowing the number of machines to some extent</w:t>
      </w:r>
      <w:r w:rsidR="00E83717">
        <w:t>, but too many machines can create managerial overload. Each machine has a different customer, seasonality, business case, supplier chain, repair requirement, and finance logic. The scaling strategy should rank machines into categories: immediate scale candidates, 2026 recovery candidates, proof-of-concept candidates, and deprioritized machines. Maize shellers are immediate scale candidates. Groundnut and peanut equipment are promising but need sharper value-chain analysis. Chopper grinders may have a longe</w:t>
      </w:r>
      <w:r w:rsidR="00E83717">
        <w:t>r service window but need clearer demand evidence. Basin diggers are valuable experiments, not yet a scale bet.</w:t>
      </w:r>
      <w:r>
        <w:t xml:space="preserve">  Whether there is a viable business case for other land preparation and tilling machinery remains to be developed, and urgently in time for the next season at the end of 2026.</w:t>
      </w:r>
    </w:p>
    <w:p w14:paraId="44C17812" w14:textId="77777777" w:rsidR="00A3398D" w:rsidRDefault="00E83717">
      <w:pPr>
        <w:spacing w:after="240" w:line="264" w:lineRule="auto"/>
      </w:pPr>
      <w:r>
        <w:rPr>
          <w:b/>
        </w:rPr>
        <w:t xml:space="preserve">The adoption target is not evidence-based enough. </w:t>
      </w:r>
      <w:r>
        <w:t>Targets should be calculated from conversion assumptions and operational capacity. If the project needs 250 machine adopters but expects only a 10-20 percent conversion from serious interest, it needs a much larger and better-qualified pipeline than currently exists. If only 20-30 percent of interested prospects can pay cash, and finance will not arrive before the season closes, then 2026 targets must be revised. Unrealistic targets create incentives to count awareness rather than adoption.</w:t>
      </w:r>
    </w:p>
    <w:p w14:paraId="4D28116C" w14:textId="67AFDA12" w:rsidR="00A3398D" w:rsidRDefault="00E83717">
      <w:pPr>
        <w:spacing w:before="120" w:after="120" w:line="240" w:lineRule="auto"/>
      </w:pPr>
      <w:r>
        <w:rPr>
          <w:b/>
          <w:sz w:val="28"/>
          <w:u w:val="single"/>
        </w:rPr>
        <w:t>Actor Incentives, Business Models, and Sustainability</w:t>
      </w:r>
    </w:p>
    <w:p w14:paraId="15312FA2" w14:textId="40949A30" w:rsidR="00A3398D" w:rsidRDefault="00E83717">
      <w:pPr>
        <w:spacing w:after="240" w:line="264" w:lineRule="auto"/>
      </w:pPr>
      <w:r>
        <w:rPr>
          <w:b/>
        </w:rPr>
        <w:lastRenderedPageBreak/>
        <w:t xml:space="preserve">Farmers as service users. </w:t>
      </w:r>
      <w:r>
        <w:t xml:space="preserve">The farmer value proposition is strongest where the service saves time, reduces labor cost, reduces loss, and allows faster post-harvest handling. Maize shelling passes this test. Land preparation and basin digging are less certain because farmers may have lower cash availability before planting </w:t>
      </w:r>
      <w:r w:rsidR="007475B6">
        <w:t xml:space="preserve">versus during processing when they can earn cash within a few days by selling output; they </w:t>
      </w:r>
      <w:r>
        <w:t>may be more risk-averse about paying for a new service before seeing yield or labor benefits. The project should not assume all mechanization services are equivalent. Farmers pay for tasks that solve immediate cash-flow, labor, or timeliness problems; they may resist service</w:t>
      </w:r>
      <w:r>
        <w:t>s whose benefits a</w:t>
      </w:r>
      <w:r>
        <w:t>r</w:t>
      </w:r>
      <w:r>
        <w:t>e</w:t>
      </w:r>
      <w:r>
        <w:t xml:space="preserve"> </w:t>
      </w:r>
      <w:r>
        <w:t>u</w:t>
      </w:r>
      <w:r>
        <w:t xml:space="preserve">ncertain, delayed, </w:t>
      </w:r>
      <w:r>
        <w:t>tied to broader conservation-agriculture messages</w:t>
      </w:r>
      <w:r w:rsidR="0093126F">
        <w:t xml:space="preserve"> or for which they do not have financial resources (cash flow) at the time of the agricultural production cycle regardless of the benefits.</w:t>
      </w:r>
    </w:p>
    <w:p w14:paraId="1AFD13B3" w14:textId="0AD62789" w:rsidR="00A3398D" w:rsidRDefault="00E83717">
      <w:pPr>
        <w:spacing w:after="240" w:line="264" w:lineRule="auto"/>
      </w:pPr>
      <w:r>
        <w:rPr>
          <w:b/>
        </w:rPr>
        <w:t xml:space="preserve">Service providers. </w:t>
      </w:r>
      <w:r>
        <w:t>The service-provider business model requires enough utilization in a short season to recover capital costs, operating costs, and loan repayment. For low-cost machines, this is plausible. For larger machines or bundled packages, utilization risk rises. The best service providers will have existing client networks, transport, storage, basic mechanical ability, business discipline, and enough liquidity to handle repairs or slow payment. Selecting poor or unprepared service providers in the name of inclusion wo</w:t>
      </w:r>
      <w:r>
        <w:t>uld be irresponsible; it could create defaults and damage the market. The project should target entrepreneurs who can make the model work</w:t>
      </w:r>
      <w:r w:rsidR="004E7457">
        <w:t xml:space="preserve"> and especially either have the cash or have the business mentality and other characteristics that financial </w:t>
      </w:r>
      <w:r w:rsidR="002428BB">
        <w:t>institutions</w:t>
      </w:r>
      <w:r w:rsidR="004E7457">
        <w:t xml:space="preserve"> will require</w:t>
      </w:r>
      <w:r w:rsidR="002428BB">
        <w:t xml:space="preserve"> to approve lending.  At the same time, they should </w:t>
      </w:r>
      <w:r>
        <w:t>measur</w:t>
      </w:r>
      <w:r w:rsidR="002428BB">
        <w:t>e</w:t>
      </w:r>
      <w:r>
        <w:t xml:space="preserve"> inclusion through service acc</w:t>
      </w:r>
      <w:r w:rsidR="002428BB">
        <w:t>e</w:t>
      </w:r>
      <w:r>
        <w:t>ss, labor reduction, women’s enterprise opportunities, and affordability for smallholders</w:t>
      </w:r>
      <w:r w:rsidR="002428BB">
        <w:t xml:space="preserve"> and develop remedies to increase inclusion while respecting the primary focus on a market logic</w:t>
      </w:r>
      <w:r>
        <w:t>.</w:t>
      </w:r>
    </w:p>
    <w:p w14:paraId="79E97631" w14:textId="72D4B5CD" w:rsidR="00A3398D" w:rsidRDefault="00E83717">
      <w:pPr>
        <w:spacing w:after="240" w:line="264" w:lineRule="auto"/>
      </w:pPr>
      <w:r>
        <w:rPr>
          <w:b/>
        </w:rPr>
        <w:t xml:space="preserve">Machinery suppliers. </w:t>
      </w:r>
      <w:r>
        <w:t xml:space="preserve">Suppliers make money only if machine sales and after-sales services reach enough volume. One-off donor-linked sales will not change supplier behavior. The project should ask suppliers a hard question: at what level of verified demand will </w:t>
      </w:r>
      <w:r w:rsidR="001B1F8C">
        <w:t xml:space="preserve">machinery producers </w:t>
      </w:r>
      <w:r w:rsidR="00B22352">
        <w:t>or importers</w:t>
      </w:r>
      <w:r>
        <w:t xml:space="preserve"> stock machines</w:t>
      </w:r>
      <w:r>
        <w:t xml:space="preserve">, provide spare parts, send staff to demonstrations, or offer credit terms? </w:t>
      </w:r>
      <w:r w:rsidR="00B22352">
        <w:t xml:space="preserve">These </w:t>
      </w:r>
      <w:r w:rsidR="005F5050">
        <w:t xml:space="preserve">levels of demand should be primary project </w:t>
      </w:r>
      <w:r w:rsidR="00B22352">
        <w:t xml:space="preserve">targets </w:t>
      </w:r>
      <w:r w:rsidR="005F5050">
        <w:t xml:space="preserve">as they mean the private sector will be increasingly in the lead.  </w:t>
      </w:r>
      <w:r>
        <w:t>Supplier behavior should become a key indicator of scaling readiness. When suppliers start investing their own money, the model is moving from project facilitation toward market scaling.</w:t>
      </w:r>
    </w:p>
    <w:p w14:paraId="0C683089" w14:textId="189C98B8" w:rsidR="00A3398D" w:rsidRDefault="00E83717">
      <w:pPr>
        <w:spacing w:after="240" w:line="264" w:lineRule="auto"/>
      </w:pPr>
      <w:r>
        <w:rPr>
          <w:b/>
        </w:rPr>
        <w:t xml:space="preserve">Financial institutions. </w:t>
      </w:r>
      <w:r>
        <w:t xml:space="preserve">Lenders </w:t>
      </w:r>
      <w:r>
        <w:t xml:space="preserve">will not create products for </w:t>
      </w:r>
      <w:r w:rsidR="008173A8">
        <w:t xml:space="preserve">ten or even a few hundred </w:t>
      </w:r>
      <w:r>
        <w:t xml:space="preserve">scattered small loans unless transaction costs are covered or reduced. The project can help by aggregating credit-ready applicants, standardizing due diligence, </w:t>
      </w:r>
      <w:r w:rsidR="008173A8">
        <w:t xml:space="preserve">helping farmers prepare their loan applications, </w:t>
      </w:r>
      <w:r>
        <w:t>linking machines to cash-flow models, using the machine as collateral where possible, creating repayment calendars aligned with service seasons, and using temporary guarantees to reduce early risk. But the project should avoid designing a finance model so complex that it becomes another project-managed system that collapses after donor exit.</w:t>
      </w:r>
    </w:p>
    <w:p w14:paraId="61363E61" w14:textId="77777777" w:rsidR="00A3398D" w:rsidRDefault="00E83717">
      <w:pPr>
        <w:spacing w:before="120" w:after="120" w:line="240" w:lineRule="auto"/>
      </w:pPr>
      <w:r>
        <w:rPr>
          <w:b/>
          <w:sz w:val="28"/>
          <w:u w:val="single"/>
        </w:rPr>
        <w:t>8. Scaling Pathway and Stage of Readiness</w:t>
      </w:r>
    </w:p>
    <w:p w14:paraId="79040699" w14:textId="77777777" w:rsidR="00A3398D" w:rsidRDefault="00E83717">
      <w:pPr>
        <w:spacing w:after="240" w:line="264" w:lineRule="auto"/>
      </w:pPr>
      <w:r>
        <w:rPr>
          <w:b/>
        </w:rPr>
        <w:t xml:space="preserve">Not one pathway but three. </w:t>
      </w:r>
      <w:r>
        <w:t xml:space="preserve">The project should explicitly separate three pathways. The first is a cash-purchase pathway for low-cost machines with strong demand, especially maize shellers and possibly some groundnut equipment. The second is a small-loan or guarantee-supported pathway for service providers who are close to being able to buy but need short-term finance. The third is a larger-equipment pathway for tractors, rippers, direct seeders, and more expensive land-preparation </w:t>
      </w:r>
      <w:r>
        <w:lastRenderedPageBreak/>
        <w:t xml:space="preserve">equipment where commercial banks or leasing companies </w:t>
      </w:r>
      <w:r>
        <w:t>may be relevant. Treating all machines and all buyers as if they share one finance and marketing pathway is a strategic mistake.</w:t>
      </w:r>
    </w:p>
    <w:p w14:paraId="2A7E02FC" w14:textId="67C86638" w:rsidR="00A3398D" w:rsidRDefault="00E83717">
      <w:pPr>
        <w:spacing w:after="240" w:line="264" w:lineRule="auto"/>
      </w:pPr>
      <w:r>
        <w:rPr>
          <w:b/>
        </w:rPr>
        <w:t xml:space="preserve">Current scaling stage. </w:t>
      </w:r>
      <w:r>
        <w:t xml:space="preserve">Overall, the innovation is in </w:t>
      </w:r>
      <w:r w:rsidR="006D64E0">
        <w:t>mid-</w:t>
      </w:r>
      <w:r>
        <w:t xml:space="preserve">transition to scale within Zambia. It is not </w:t>
      </w:r>
      <w:r w:rsidR="00723658">
        <w:t>well beyond</w:t>
      </w:r>
      <w:r>
        <w:t xml:space="preserve"> proof of concept because there is credible evidence of farmer demand, service-provider profitability, and functioning machinery services. It is not yet full scaling because the finance model, supplier incentives, conversion system</w:t>
      </w:r>
      <w:r w:rsidR="00723658">
        <w:t xml:space="preserve"> of leads to purchases and beyond</w:t>
      </w:r>
      <w:r>
        <w:t>, seasonal planning, and implementation architecture are not mature. Some components are further along than others. Maize shelling is closest to early scaling. Groundnut and peanut processing are promising transition-to-scale candidates. Basin diggers and some conservation-agriculture-related machines are closer to proof of concept from a market perspective. The finance system is still at proof of concept.</w:t>
      </w:r>
    </w:p>
    <w:p w14:paraId="6047D8E1" w14:textId="279938F2" w:rsidR="00A3398D" w:rsidRDefault="00E83717">
      <w:pPr>
        <w:spacing w:after="240" w:line="264" w:lineRule="auto"/>
      </w:pPr>
      <w:r>
        <w:rPr>
          <w:b/>
        </w:rPr>
        <w:t xml:space="preserve">IPSR and scaling readiness. </w:t>
      </w:r>
      <w:r>
        <w:t>The CGIAR IPSR profile for the mechanization starter pack appears to rate the innovation as highly ready, but the field evidence suggests that such a rating is too aggregated to be useful for scaling management. The machinery itself may be proven. The service-provider model may be conceptually proven. But the current Zambia scaling package is only as ready as its weakest components: finance, supplier stocking, seasonal timing, and in-country implementation. IPSR would add more value if it forced teams to ra</w:t>
      </w:r>
      <w:r>
        <w:t>te each component separately</w:t>
      </w:r>
      <w:r w:rsidR="0075455C">
        <w:t xml:space="preserve"> where appropriate (as in this case)</w:t>
      </w:r>
      <w:r>
        <w:t>, identify actor-level business models, specify who funds and implements each function after donor exit, and distinguish innovation readiness from scaling system readiness. An IPSR workshop should not end with a high readiness score; it should end with a prioritized bottleneck plan and an accountable 90-day execution calendar.</w:t>
      </w:r>
    </w:p>
    <w:p w14:paraId="3F581B69" w14:textId="5B7532D9" w:rsidR="00A3398D" w:rsidRDefault="00E83717">
      <w:pPr>
        <w:spacing w:before="120" w:after="120" w:line="240" w:lineRule="auto"/>
      </w:pPr>
      <w:r>
        <w:rPr>
          <w:b/>
          <w:sz w:val="28"/>
          <w:u w:val="single"/>
        </w:rPr>
        <w:t>Recommendations for the Project Team</w:t>
      </w:r>
    </w:p>
    <w:p w14:paraId="322065A9" w14:textId="77777777" w:rsidR="00A3398D" w:rsidRDefault="00E83717">
      <w:pPr>
        <w:spacing w:before="120" w:after="120" w:line="240" w:lineRule="auto"/>
      </w:pPr>
      <w:r>
        <w:rPr>
          <w:b/>
          <w:i/>
        </w:rPr>
        <w:t>Immediate actions for the rest of 2026</w:t>
      </w:r>
    </w:p>
    <w:p w14:paraId="1FE8C80F" w14:textId="77777777" w:rsidR="00A3398D" w:rsidRDefault="00E83717">
      <w:pPr>
        <w:pStyle w:val="ListBullet"/>
        <w:spacing w:after="120" w:line="240" w:lineRule="auto"/>
      </w:pPr>
      <w:r w:rsidRPr="0075455C">
        <w:rPr>
          <w:u w:val="single"/>
        </w:rPr>
        <w:t>Segment the interest list immediately</w:t>
      </w:r>
      <w:r>
        <w:t>. Divide all names into four groups: cash buyers ready now; low-cost machine buyers who need small loans; larger-equipment prospects suitable for bank or leasing finance; and low-credibility expressions of interest. Collect the information lenders and suppliers actually need, not just names and phone numbers.</w:t>
      </w:r>
    </w:p>
    <w:p w14:paraId="404F9BC0" w14:textId="77777777" w:rsidR="00A3398D" w:rsidRDefault="00E83717">
      <w:pPr>
        <w:pStyle w:val="ListBullet"/>
        <w:spacing w:after="120" w:line="240" w:lineRule="auto"/>
      </w:pPr>
      <w:r w:rsidRPr="0075455C">
        <w:rPr>
          <w:u w:val="single"/>
        </w:rPr>
        <w:t>Prioritize cash buyers for processing machines now</w:t>
      </w:r>
      <w:r>
        <w:t>. The 2026 maize shelling and groundnut processing windows are closing. The team should spend the next few weeks converting cash-ready buyers, connecting them directly to suppliers, verifying machine availability, and documenting whether they provide services immediately. This is the fastest way to salvage 2026.</w:t>
      </w:r>
    </w:p>
    <w:p w14:paraId="4916E659" w14:textId="77777777" w:rsidR="00A3398D" w:rsidRDefault="00E83717">
      <w:pPr>
        <w:pStyle w:val="ListBullet"/>
        <w:spacing w:after="120" w:line="240" w:lineRule="auto"/>
      </w:pPr>
      <w:r w:rsidRPr="0075455C">
        <w:rPr>
          <w:u w:val="single"/>
        </w:rPr>
        <w:t>Do not push late-season debt for processing machines</w:t>
      </w:r>
      <w:r>
        <w:t>. If a buyer will not receive a maize sheller or peanut processor until September, the economics may no longer make sense for 2026. Do not encourage borrowers to take on debt for a machine that cannot earn until the next harvest season unless they have stored crop, confirmed clients, or a credible off-season business model.</w:t>
      </w:r>
    </w:p>
    <w:p w14:paraId="0E8FB6C2" w14:textId="77777777" w:rsidR="00A3398D" w:rsidRDefault="00E83717">
      <w:pPr>
        <w:pStyle w:val="ListBullet"/>
        <w:spacing w:after="120" w:line="240" w:lineRule="auto"/>
      </w:pPr>
      <w:r w:rsidRPr="0075455C">
        <w:rPr>
          <w:u w:val="single"/>
        </w:rPr>
        <w:t>Test whether to pivot toward land-preparation equipment</w:t>
      </w:r>
      <w:r>
        <w:t>. For prospects who need loans and will not receive machines until October or November, examine whether basin diggers, rippers, two-wheel tractor packages, or other land-preparation machines have a stronger seasonal fit. This should be a business-case decision, not a conservation-agriculture preference.</w:t>
      </w:r>
    </w:p>
    <w:p w14:paraId="3A62DC76" w14:textId="77777777" w:rsidR="00A3398D" w:rsidRDefault="00E83717">
      <w:pPr>
        <w:pStyle w:val="ListBullet"/>
        <w:spacing w:after="120" w:line="240" w:lineRule="auto"/>
      </w:pPr>
      <w:r w:rsidRPr="0075455C">
        <w:rPr>
          <w:u w:val="single"/>
        </w:rPr>
        <w:t>Put a finance person on the ground</w:t>
      </w:r>
      <w:r>
        <w:t>. The finance role must be in Zambia, active daily, and responsible for lender negotiation, application criteria, due-diligence checklists, guarantee design, and applicant support. This cannot be run effectively from another country or through occasional coordination calls.</w:t>
      </w:r>
    </w:p>
    <w:p w14:paraId="7DB0663E" w14:textId="486B9B66" w:rsidR="00A3398D" w:rsidRDefault="00E83717">
      <w:pPr>
        <w:pStyle w:val="ListBullet"/>
        <w:spacing w:after="120" w:line="240" w:lineRule="auto"/>
      </w:pPr>
      <w:r w:rsidRPr="00315BE5">
        <w:rPr>
          <w:u w:val="single"/>
        </w:rPr>
        <w:t xml:space="preserve">Increase partner resources for </w:t>
      </w:r>
      <w:r w:rsidR="00315BE5" w:rsidRPr="00315BE5">
        <w:rPr>
          <w:u w:val="single"/>
        </w:rPr>
        <w:t>demonstrations</w:t>
      </w:r>
      <w:r w:rsidR="00315BE5" w:rsidRPr="00315BE5">
        <w:rPr>
          <w:u w:val="single"/>
        </w:rPr>
        <w:t xml:space="preserve"> </w:t>
      </w:r>
      <w:r w:rsidR="00315BE5">
        <w:rPr>
          <w:u w:val="single"/>
        </w:rPr>
        <w:t>and well beyond, i.e. loan application preparation, submission etc</w:t>
      </w:r>
      <w:r>
        <w:t xml:space="preserve">. CFU and TLC should be funded to follow up with serious prospects, </w:t>
      </w:r>
      <w:r>
        <w:lastRenderedPageBreak/>
        <w:t>collect data, support applications, organize targeted meetings with suppliers, and track adoption. Awareness without conversion is not enough.</w:t>
      </w:r>
    </w:p>
    <w:p w14:paraId="447EFB2A" w14:textId="60CC1BD5" w:rsidR="00A3398D" w:rsidRDefault="00E83717">
      <w:pPr>
        <w:pStyle w:val="ListBullet"/>
        <w:spacing w:after="240" w:line="240" w:lineRule="auto"/>
      </w:pPr>
      <w:r w:rsidRPr="00315BE5">
        <w:rPr>
          <w:u w:val="single"/>
        </w:rPr>
        <w:t xml:space="preserve">Negotiate </w:t>
      </w:r>
      <w:r w:rsidR="00315BE5">
        <w:rPr>
          <w:u w:val="single"/>
        </w:rPr>
        <w:t>increased</w:t>
      </w:r>
      <w:r w:rsidRPr="00315BE5">
        <w:rPr>
          <w:u w:val="single"/>
        </w:rPr>
        <w:t xml:space="preserve"> </w:t>
      </w:r>
      <w:r w:rsidR="00315BE5">
        <w:rPr>
          <w:u w:val="single"/>
        </w:rPr>
        <w:t xml:space="preserve">machinery </w:t>
      </w:r>
      <w:r w:rsidRPr="00315BE5">
        <w:rPr>
          <w:u w:val="single"/>
        </w:rPr>
        <w:t>supplier commitments</w:t>
      </w:r>
      <w:r w:rsidR="00315BE5">
        <w:rPr>
          <w:u w:val="single"/>
        </w:rPr>
        <w:t>, if possible</w:t>
      </w:r>
      <w:r>
        <w:t>. Ask each supplier what they will contribute in 2026: machines in stock, delivery timelines, demos, spare parts, technicians, after-sales service, warranty, and co-financing of promotion. Supplier participation should be measured by investment, not attendance.</w:t>
      </w:r>
      <w:r w:rsidR="007C0711">
        <w:t xml:space="preserve">  Access to customers is a valuable commodity (the cost of customer acquisition), there should be a </w:t>
      </w:r>
      <w:r w:rsidR="007C0711" w:rsidRPr="007C0711">
        <w:rPr>
          <w:i/>
          <w:iCs/>
        </w:rPr>
        <w:t>quid pro quo</w:t>
      </w:r>
      <w:r w:rsidR="007C0711">
        <w:t>.</w:t>
      </w:r>
    </w:p>
    <w:p w14:paraId="567653F2" w14:textId="77777777" w:rsidR="00A3398D" w:rsidRDefault="00E83717">
      <w:pPr>
        <w:spacing w:before="120" w:after="120" w:line="240" w:lineRule="auto"/>
      </w:pPr>
      <w:r>
        <w:rPr>
          <w:b/>
          <w:i/>
        </w:rPr>
        <w:t>Actions for the 2027 agricultural year</w:t>
      </w:r>
    </w:p>
    <w:p w14:paraId="147F5504" w14:textId="77777777" w:rsidR="00A3398D" w:rsidRDefault="00E83717">
      <w:pPr>
        <w:pStyle w:val="ListBullet"/>
        <w:spacing w:after="120" w:line="240" w:lineRule="auto"/>
      </w:pPr>
      <w:r w:rsidRPr="00A068B8">
        <w:rPr>
          <w:u w:val="single"/>
        </w:rPr>
        <w:t>Start the 2027 processing-machine cycle no later than January or February</w:t>
      </w:r>
      <w:r>
        <w:t>. Identify serious service-provider prospects, complete due diligence, finalize finance, and ensure machines are delivered before the maize and groundnut processing season begins. The correct deadline is not application submission; it is machine availability before the service window opens.</w:t>
      </w:r>
    </w:p>
    <w:p w14:paraId="73ED35B8" w14:textId="77777777" w:rsidR="00A3398D" w:rsidRDefault="00E83717">
      <w:pPr>
        <w:pStyle w:val="ListBullet"/>
        <w:spacing w:after="120" w:line="240" w:lineRule="auto"/>
      </w:pPr>
      <w:r w:rsidRPr="00A068B8">
        <w:rPr>
          <w:u w:val="single"/>
        </w:rPr>
        <w:t>Develop machine-specific business cases</w:t>
      </w:r>
      <w:r>
        <w:t>. For each priority machine, produce a one-page investment sheet showing cost, throughput, service price, operating cost, days of use, break-even point, repayment schedule, and risk. Use these sheets with service providers, suppliers, lenders, and implementing partners.</w:t>
      </w:r>
    </w:p>
    <w:p w14:paraId="6E32C7AE" w14:textId="77777777" w:rsidR="00A3398D" w:rsidRDefault="00E83717">
      <w:pPr>
        <w:pStyle w:val="ListBullet"/>
        <w:spacing w:after="120" w:line="240" w:lineRule="auto"/>
      </w:pPr>
      <w:r w:rsidRPr="00A068B8">
        <w:rPr>
          <w:u w:val="single"/>
        </w:rPr>
        <w:t>Run a targeted recruitment experiment</w:t>
      </w:r>
      <w:r>
        <w:t>. Compare open demonstrations with targeted recruitment of 20-30 high-potential service providers in selected zones. Measure cost per actual machine buyer and cost per functioning service provider. This will produce actionable evidence about whether the project should emphasize mass awareness or targeted conversion.</w:t>
      </w:r>
    </w:p>
    <w:p w14:paraId="2D235785" w14:textId="77777777" w:rsidR="00A3398D" w:rsidRDefault="00E83717">
      <w:pPr>
        <w:pStyle w:val="ListBullet"/>
        <w:spacing w:after="120" w:line="240" w:lineRule="auto"/>
      </w:pPr>
      <w:r w:rsidRPr="00A068B8">
        <w:rPr>
          <w:u w:val="single"/>
        </w:rPr>
        <w:t>Build a two-tier finance strategy</w:t>
      </w:r>
      <w:r>
        <w:t>. Use cash purchase and supplier linkage for low-cost machines; use a temporary guarantee or interest-rate buy-down only where it unlocks credible buyers; reserve commercial bank products for larger machines. Avoid forcing small machines into bank products designed for much larger assets.</w:t>
      </w:r>
    </w:p>
    <w:p w14:paraId="3FE16627" w14:textId="7A2CFD2A" w:rsidR="00A3398D" w:rsidRDefault="00E83717">
      <w:pPr>
        <w:pStyle w:val="ListBullet"/>
        <w:spacing w:after="120" w:line="240" w:lineRule="auto"/>
      </w:pPr>
      <w:r w:rsidRPr="00CF66CD">
        <w:rPr>
          <w:u w:val="single"/>
        </w:rPr>
        <w:t>Institutionalize supplier-led scaling</w:t>
      </w:r>
      <w:r>
        <w:t>. By 2027</w:t>
      </w:r>
      <w:r w:rsidR="00CF66CD">
        <w:t>, 2028 at the latest</w:t>
      </w:r>
      <w:r>
        <w:t>, the goal should be that suppliers are organizing some demonstrations, stocking machines, and following up on leads because it is profitable for them. The project should gradually shift from doing promotion itself to creating a market in which suppliers compete for service-provider customers.</w:t>
      </w:r>
    </w:p>
    <w:p w14:paraId="4518C208" w14:textId="3C62CBF0" w:rsidR="00A3398D" w:rsidRDefault="00615B7C">
      <w:pPr>
        <w:pStyle w:val="ListBullet"/>
        <w:spacing w:after="120" w:line="240" w:lineRule="auto"/>
      </w:pPr>
      <w:r w:rsidRPr="00451F65">
        <w:rPr>
          <w:u w:val="single"/>
        </w:rPr>
        <w:t>Double down on training in business skills</w:t>
      </w:r>
      <w:r>
        <w:t>.  The project correctly is already investing in this, but all the financial institutions and machin</w:t>
      </w:r>
      <w:r w:rsidR="00BB5981">
        <w:t xml:space="preserve">ery companies emphasized the importance of a “business mentality”, record keeping, etc.  It was not clear from our interviews </w:t>
      </w:r>
      <w:r w:rsidR="00BB5981" w:rsidRPr="00A31562">
        <w:rPr>
          <w:u w:val="single"/>
        </w:rPr>
        <w:t xml:space="preserve">how much was being invested in business </w:t>
      </w:r>
      <w:proofErr w:type="gramStart"/>
      <w:r w:rsidR="00BB5981" w:rsidRPr="00A31562">
        <w:rPr>
          <w:u w:val="single"/>
        </w:rPr>
        <w:t>skill</w:t>
      </w:r>
      <w:proofErr w:type="gramEnd"/>
      <w:r w:rsidR="00BB5981" w:rsidRPr="00A31562">
        <w:rPr>
          <w:u w:val="single"/>
        </w:rPr>
        <w:t xml:space="preserve"> and entrepreneurship training</w:t>
      </w:r>
      <w:r w:rsidR="00BB5981">
        <w:t xml:space="preserve"> </w:t>
      </w:r>
      <w:r w:rsidR="00FA2683">
        <w:t>and to whom, only machinery buyers, potential buyers, or whom? It might be useful to c</w:t>
      </w:r>
      <w:r w:rsidR="00E83717">
        <w:t xml:space="preserve">reate </w:t>
      </w:r>
      <w:r w:rsidR="00FA2683">
        <w:t xml:space="preserve">something like </w:t>
      </w:r>
      <w:r w:rsidR="00E83717">
        <w:t>a service-provider academy. Develop short practical training for selected buyers: business planning, recordkeeping, pricing, customer acquisition, machine maintenance, repayment planning, and after-sales troubleshooting. Training should be delivered before machine delivery, not after problems occur.</w:t>
      </w:r>
    </w:p>
    <w:p w14:paraId="61D87AE8" w14:textId="256DA17B" w:rsidR="00A3398D" w:rsidRDefault="00E83717">
      <w:pPr>
        <w:pStyle w:val="ListBullet"/>
        <w:spacing w:after="120" w:line="240" w:lineRule="auto"/>
      </w:pPr>
      <w:r w:rsidRPr="00F25234">
        <w:rPr>
          <w:u w:val="single"/>
        </w:rPr>
        <w:t xml:space="preserve">Set targets from </w:t>
      </w:r>
      <w:r w:rsidR="00093BFE">
        <w:rPr>
          <w:u w:val="single"/>
        </w:rPr>
        <w:t xml:space="preserve">actual </w:t>
      </w:r>
      <w:r w:rsidRPr="00F25234">
        <w:rPr>
          <w:u w:val="single"/>
        </w:rPr>
        <w:t>conversion rates</w:t>
      </w:r>
      <w:r>
        <w:t xml:space="preserve">. Do not set 2027 targets by aspiration. Set </w:t>
      </w:r>
      <w:proofErr w:type="gramStart"/>
      <w:r>
        <w:t>them from</w:t>
      </w:r>
      <w:proofErr w:type="gramEnd"/>
      <w:r>
        <w:t xml:space="preserve"> the number of demonstrations, expected attendance, expected serious leads, expected cash buyers, expected finance approvals, and expected machine deliveries</w:t>
      </w:r>
      <w:r w:rsidR="00093BFE">
        <w:t xml:space="preserve"> based on the resources that can be realistically committed to the two customer acquisition pathways</w:t>
      </w:r>
      <w:r>
        <w:t>. Revise monthly based on actual conversion data.</w:t>
      </w:r>
    </w:p>
    <w:p w14:paraId="48EFF37E" w14:textId="77777777" w:rsidR="00A3398D" w:rsidRDefault="00E83717">
      <w:pPr>
        <w:pStyle w:val="ListBullet"/>
        <w:spacing w:after="240" w:line="240" w:lineRule="auto"/>
      </w:pPr>
      <w:r w:rsidRPr="00093BFE">
        <w:rPr>
          <w:u w:val="single"/>
        </w:rPr>
        <w:t>Document the model as a CGIAR scaling case</w:t>
      </w:r>
      <w:r>
        <w:t>. The project is potentially valuable beyond Zambia because it illustrates demand-led machine selection, service-provider pathways, finance bottlenecks, and the difference between innovation readiness and scaling system readiness. Treat learning as an output, not a by-product.</w:t>
      </w:r>
    </w:p>
    <w:p w14:paraId="385D011D" w14:textId="32076110" w:rsidR="00A3398D" w:rsidRDefault="00E83717">
      <w:pPr>
        <w:spacing w:before="120" w:after="120" w:line="240" w:lineRule="auto"/>
      </w:pPr>
      <w:r>
        <w:rPr>
          <w:b/>
          <w:sz w:val="28"/>
          <w:u w:val="single"/>
        </w:rPr>
        <w:t>Recommendation on S4I Funding and Expected Activities, Outputs, and Outcomes</w:t>
      </w:r>
    </w:p>
    <w:p w14:paraId="6300954B" w14:textId="4B5DFD96" w:rsidR="00A3398D" w:rsidRDefault="00E83717">
      <w:pPr>
        <w:spacing w:after="240" w:line="264" w:lineRule="auto"/>
      </w:pPr>
      <w:r>
        <w:rPr>
          <w:b/>
        </w:rPr>
        <w:lastRenderedPageBreak/>
        <w:t xml:space="preserve">Funding recommendation. </w:t>
      </w:r>
      <w:r>
        <w:t>S4I should fund the project for another year, but not as a routine continuation. The justification is that the core model is strong and the bottlenecks are solvable. The warning is that another year of the same approach would be a poor investment. Funding should be conditional on a revised strategy that reallocates resources from senior coordination and generic awareness toward in-country execution, finance design, partner implementation, supplier commitments, and conversion tracking. This is the kind of pr</w:t>
      </w:r>
      <w:r>
        <w:t>oject S4I should fund if S4I’s purpose is to convert promising innovations into scalable systems rather than simply sponsor more pilots.</w:t>
      </w:r>
      <w:r w:rsidR="00525B16">
        <w:t xml:space="preserve"> The Alliance should be dropped from the three Center partnership and CIMMYT as the lead partner should find a local (or East/Southern African) consultant who is familiar with these kinds of financing issues to design one or more solutions.  Having them work directly for CIMMYT should resolve some of the coordination, performance and delivery issues experienced this year with the Alliance.</w:t>
      </w:r>
    </w:p>
    <w:p w14:paraId="286C3D55" w14:textId="6CAE024A" w:rsidR="00A3398D" w:rsidRDefault="00E83717">
      <w:pPr>
        <w:spacing w:after="240" w:line="264" w:lineRule="auto"/>
      </w:pPr>
      <w:r>
        <w:rPr>
          <w:b/>
        </w:rPr>
        <w:t xml:space="preserve">What S4I should expect. </w:t>
      </w:r>
      <w:r>
        <w:t xml:space="preserve">S4I should expect the project to produce </w:t>
      </w:r>
      <w:r w:rsidR="007B6449">
        <w:t xml:space="preserve">diverse outcomes along multiple pathways – significant progress in scaling maize shellers and potentially other processing machinery, building business cases for land preparation machinery, and putting in place </w:t>
      </w:r>
      <w:r w:rsidR="009C6EF8">
        <w:t>scaling infrastructure such as financing.</w:t>
      </w:r>
      <w:r>
        <w:t xml:space="preserve"> The minimum Year 2 outputs should include a revised Zambia-specific scaling pathway; a segmented service-provider database; machine-specific business cases; signed or clearly documented supplier commitments; a finance product or guarantee mechanism tested with real buyers; </w:t>
      </w:r>
      <w:r>
        <w:t>a 2027 seasonal implementation calendar; and evidence on service-provider profitability and farmer repeat purchase. S4I should also expect explicit decisions on which machines are scale candidates, which are transition-to-scale candidates, and which remain proof of concept.</w:t>
      </w:r>
    </w:p>
    <w:p w14:paraId="5B79AC9C" w14:textId="77777777" w:rsidR="00A3398D" w:rsidRDefault="00E83717">
      <w:pPr>
        <w:spacing w:after="240" w:line="264" w:lineRule="auto"/>
      </w:pPr>
      <w:r>
        <w:rPr>
          <w:b/>
        </w:rPr>
        <w:t xml:space="preserve">Priority activities for S4I funding. </w:t>
      </w:r>
      <w:r>
        <w:t>The highest-value use of S4I funds would be: hiring or contracting in-country business-development capacity; strengthening CFU/TLC and other field partners for targeted recruitment and follow-up; developing and testing finance mechanisms; supporting temporary risk-sharing or interest reduction where necessary; increasing strategically located demonstrations; funding M&amp;E for the conversion chain; and documenting lessons. S4I should not primarily fund more generic meetings, broad awareness campaigns, senior s</w:t>
      </w:r>
      <w:r>
        <w:t>taff time outside Zambia, or complex finance designs that are not field-tested with actual service providers.</w:t>
      </w:r>
    </w:p>
    <w:p w14:paraId="65DFC87E" w14:textId="77777777" w:rsidR="00A3398D" w:rsidRDefault="00E83717">
      <w:pPr>
        <w:spacing w:after="240" w:line="264" w:lineRule="auto"/>
      </w:pPr>
      <w:r>
        <w:rPr>
          <w:b/>
        </w:rPr>
        <w:t xml:space="preserve">Expected outcomes. </w:t>
      </w:r>
      <w:r>
        <w:t>By the end of the next S4I funding period, the project should demonstrate more than machine distribution. It should show functioning service providers earning revenue, farmers repeat-purchasing services, suppliers increasing their own investment, finance institutions processing viable cases, and a declining project role in routine transactions. The goal is not simply more machines; it is a market system in which machinery services continue and expand because each actor has a reason to continue after donor e</w:t>
      </w:r>
      <w:r>
        <w:t>xit.</w:t>
      </w:r>
    </w:p>
    <w:p w14:paraId="551B7239" w14:textId="77777777" w:rsidR="00A3398D" w:rsidRDefault="00E83717">
      <w:pPr>
        <w:spacing w:before="120" w:after="120" w:line="240" w:lineRule="auto"/>
      </w:pPr>
      <w:r>
        <w:rPr>
          <w:b/>
          <w:sz w:val="28"/>
          <w:u w:val="single"/>
        </w:rPr>
        <w:t>11. Lessons for CGIAR and S4I</w:t>
      </w:r>
    </w:p>
    <w:p w14:paraId="0F1D8F65" w14:textId="77777777" w:rsidR="00FE1BBB" w:rsidRDefault="00E83717">
      <w:pPr>
        <w:spacing w:after="240" w:line="264" w:lineRule="auto"/>
      </w:pPr>
      <w:r>
        <w:rPr>
          <w:b/>
        </w:rPr>
        <w:t xml:space="preserve">Scaling is not coordination. </w:t>
      </w:r>
      <w:r>
        <w:t>CGIAR projects often confuse partnership structures with scaling systems. This case shows the difference. Having CIMMYT, Alliance, IWMI, implementing partners, suppliers, lenders, and government actors in a project does not mean the system is coordinated. Coordination exists when someone is accountable for converting interested farmers into service providers, service providers into machine buyers, machine buyers into functioning businesses, and functioning businesses into sustained service markets.</w:t>
      </w:r>
      <w:r w:rsidR="00247486">
        <w:t xml:space="preserve"> </w:t>
      </w:r>
    </w:p>
    <w:p w14:paraId="18F9D67E" w14:textId="1D845E29" w:rsidR="00A3398D" w:rsidRDefault="00FE1BBB">
      <w:pPr>
        <w:spacing w:after="240" w:line="264" w:lineRule="auto"/>
      </w:pPr>
      <w:r w:rsidRPr="00FE1BBB">
        <w:rPr>
          <w:b/>
          <w:bCs/>
        </w:rPr>
        <w:t xml:space="preserve">CGIAR </w:t>
      </w:r>
      <w:proofErr w:type="gramStart"/>
      <w:r w:rsidRPr="00FE1BBB">
        <w:rPr>
          <w:b/>
          <w:bCs/>
        </w:rPr>
        <w:t>lead</w:t>
      </w:r>
      <w:proofErr w:type="gramEnd"/>
      <w:r w:rsidRPr="00FE1BBB">
        <w:rPr>
          <w:b/>
          <w:bCs/>
        </w:rPr>
        <w:t xml:space="preserve"> </w:t>
      </w:r>
      <w:r w:rsidR="00247486" w:rsidRPr="00FE1BBB">
        <w:rPr>
          <w:b/>
          <w:bCs/>
        </w:rPr>
        <w:t>Center</w:t>
      </w:r>
      <w:r w:rsidRPr="00FE1BBB">
        <w:rPr>
          <w:b/>
          <w:bCs/>
        </w:rPr>
        <w:t>s and</w:t>
      </w:r>
      <w:r w:rsidR="00247486" w:rsidRPr="00FE1BBB">
        <w:rPr>
          <w:b/>
          <w:bCs/>
        </w:rPr>
        <w:t xml:space="preserve"> partners </w:t>
      </w:r>
      <w:r w:rsidRPr="00FE1BBB">
        <w:rPr>
          <w:b/>
          <w:bCs/>
        </w:rPr>
        <w:t xml:space="preserve">need to be </w:t>
      </w:r>
      <w:proofErr w:type="gramStart"/>
      <w:r w:rsidRPr="00FE1BBB">
        <w:rPr>
          <w:b/>
          <w:bCs/>
        </w:rPr>
        <w:t xml:space="preserve">held </w:t>
      </w:r>
      <w:r w:rsidR="00247486" w:rsidRPr="00FE1BBB">
        <w:rPr>
          <w:b/>
          <w:bCs/>
        </w:rPr>
        <w:t xml:space="preserve"> accountable</w:t>
      </w:r>
      <w:proofErr w:type="gramEnd"/>
      <w:r w:rsidR="00247486" w:rsidRPr="00FE1BBB">
        <w:rPr>
          <w:b/>
          <w:bCs/>
        </w:rPr>
        <w:t xml:space="preserve"> for their role</w:t>
      </w:r>
      <w:r w:rsidR="00247486">
        <w:t xml:space="preserve">.  Unfortunately, it seems that in this, and several other cases, some Center </w:t>
      </w:r>
      <w:proofErr w:type="gramStart"/>
      <w:r w:rsidR="00247486">
        <w:t>partners  treat</w:t>
      </w:r>
      <w:proofErr w:type="gramEnd"/>
      <w:r w:rsidR="00247486">
        <w:t xml:space="preserve"> the S4I money as “found </w:t>
      </w:r>
      <w:r w:rsidR="00247486">
        <w:lastRenderedPageBreak/>
        <w:t xml:space="preserve">money” and use it, at least in part, to fill in gaps in staff salaries </w:t>
      </w:r>
      <w:r w:rsidR="005700B0">
        <w:t xml:space="preserve">and other patches </w:t>
      </w:r>
      <w:r w:rsidR="00247486">
        <w:t>threatened by budget cuts</w:t>
      </w:r>
      <w:r w:rsidR="005700B0">
        <w:t xml:space="preserve">.  The S4I team should fight for more direct accountability as to how the money is spent and on what activities related to </w:t>
      </w:r>
      <w:proofErr w:type="gramStart"/>
      <w:r w:rsidR="005700B0">
        <w:t>scaling;  in</w:t>
      </w:r>
      <w:proofErr w:type="gramEnd"/>
      <w:r w:rsidR="005700B0">
        <w:t xml:space="preserve"> the </w:t>
      </w:r>
      <w:proofErr w:type="gramStart"/>
      <w:r>
        <w:t>meantime</w:t>
      </w:r>
      <w:proofErr w:type="gramEnd"/>
      <w:r w:rsidR="005700B0">
        <w:t xml:space="preserve"> poor or non-performance, such as that by the Alliance in this case, should not be rewarded with renewed funding.</w:t>
      </w:r>
      <w:r>
        <w:t xml:space="preserve">  </w:t>
      </w:r>
      <w:r w:rsidR="002D36B8">
        <w:t xml:space="preserve">Cutting off funding for the project </w:t>
      </w:r>
      <w:proofErr w:type="gramStart"/>
      <w:r w:rsidR="002D36B8">
        <w:t>as a whole does</w:t>
      </w:r>
      <w:proofErr w:type="gramEnd"/>
      <w:r w:rsidR="002D36B8">
        <w:t xml:space="preserve"> not make sense at this point, however the recommendations of this report need to be integrated into their proposal for 2027 funding and there needs to be clear evidence and performance that the mistakes and missteps of 2026 are not going to be repeated.</w:t>
      </w:r>
    </w:p>
    <w:p w14:paraId="43A654D3" w14:textId="77777777" w:rsidR="00A3398D" w:rsidRDefault="00E83717">
      <w:pPr>
        <w:spacing w:after="240" w:line="264" w:lineRule="auto"/>
      </w:pPr>
      <w:r>
        <w:rPr>
          <w:b/>
        </w:rPr>
        <w:t xml:space="preserve">Finance must be designed around the unit economics. </w:t>
      </w:r>
      <w:r>
        <w:t>Agricultural scaling projects too often treat finance as a generic missing input. In this case, finance must be machine-specific, season-specific, and borrower-specific. A 10,000 kwacha maize sheller, a 5,000 kwacha basin digger, a 50,000 kwacha package, and a tractor are different finance products. S4I should require every project with a commercial pathway to identify price points, transaction costs, repayment timing, collateral, and lender incentives before scaling targets are approved.</w:t>
      </w:r>
    </w:p>
    <w:p w14:paraId="5F10ED34" w14:textId="77777777" w:rsidR="00A3398D" w:rsidRDefault="00E83717">
      <w:pPr>
        <w:spacing w:after="240" w:line="264" w:lineRule="auto"/>
      </w:pPr>
      <w:r>
        <w:rPr>
          <w:b/>
        </w:rPr>
        <w:t xml:space="preserve">Seasonality is strategy. </w:t>
      </w:r>
      <w:r>
        <w:t>In agriculture, missing the season is not a scheduling inconvenience. It can erase the business case for adoption. S4I should treat seasonal readiness as a stage-gate criterion: the machine, input, seed, training, finance, and buyer linkage must arrive before the economic window. Projects that receive late funding need a revised seasonal strategy, not an unchanged work plan executed late.</w:t>
      </w:r>
    </w:p>
    <w:p w14:paraId="2768D9D4" w14:textId="77777777" w:rsidR="00A3398D" w:rsidRDefault="00E83717">
      <w:pPr>
        <w:spacing w:after="240" w:line="264" w:lineRule="auto"/>
      </w:pPr>
      <w:r>
        <w:rPr>
          <w:b/>
        </w:rPr>
        <w:t xml:space="preserve">Demand-led design is a major strength. </w:t>
      </w:r>
      <w:r>
        <w:t>The most encouraging lesson is that the project has listened to users and moved toward machines with actual demand. This should be celebrated and generalized. CGIAR scaling should not start with the innovation researchers want to scale; it should start with the problem farmers and entrepreneurs are willing to pay to solve. The maize sheller is promising because farmers already pay for the service, not because it is a CGIAR priority.</w:t>
      </w:r>
    </w:p>
    <w:p w14:paraId="7C79701B" w14:textId="77777777" w:rsidR="00A3398D" w:rsidRDefault="00E83717">
      <w:pPr>
        <w:spacing w:after="240" w:line="264" w:lineRule="auto"/>
      </w:pPr>
      <w:r>
        <w:rPr>
          <w:b/>
        </w:rPr>
        <w:t xml:space="preserve">The poor are not always the first direct buyers. </w:t>
      </w:r>
      <w:r>
        <w:t>Service-provider models often scale through relatively better-off rural entrepreneurs, not through the poorest households buying assets. That is acceptable if the service reaches poorer farmers affordably. CGIAR should be clear about this distinction. Inclusion should be measured by access to services, distribution of labor savings, women’s participation in ownership and management where feasible, and affordability for smallholders, not by pretending every poor farmer is a realistic machine owner.</w:t>
      </w:r>
    </w:p>
    <w:p w14:paraId="59CEB0B2" w14:textId="77777777" w:rsidR="00A3398D" w:rsidRDefault="00E83717">
      <w:pPr>
        <w:spacing w:after="240" w:line="264" w:lineRule="auto"/>
      </w:pPr>
      <w:r>
        <w:rPr>
          <w:b/>
        </w:rPr>
        <w:t xml:space="preserve">S4I value added. </w:t>
      </w:r>
      <w:r>
        <w:t>S4I’s value added in this case is not merely money. Its value is insisting on scaling discipline: actor incentives, business models, finance, timing, conversion data, weakest links, and donor exit. The coaching process exposed problems early enough that the project can still adapt. That is exactly what a scaling program should do. The test now is whether the project changes resource allocation, staffing, finance, and targets quickly enough to turn a good concept into a functioning scaling pathway.</w:t>
      </w:r>
    </w:p>
    <w:p w14:paraId="695D844A" w14:textId="77777777" w:rsidR="00A3398D" w:rsidRDefault="00E83717">
      <w:pPr>
        <w:spacing w:before="120" w:after="120" w:line="240" w:lineRule="auto"/>
      </w:pPr>
      <w:r>
        <w:rPr>
          <w:b/>
          <w:sz w:val="28"/>
          <w:u w:val="single"/>
        </w:rPr>
        <w:t>12. Bottom-Line Judgment</w:t>
      </w:r>
    </w:p>
    <w:p w14:paraId="43A8ECBD" w14:textId="77777777" w:rsidR="00A3398D" w:rsidRDefault="00E83717">
      <w:pPr>
        <w:spacing w:after="240" w:line="264" w:lineRule="auto"/>
      </w:pPr>
      <w:r>
        <w:rPr>
          <w:b/>
        </w:rPr>
        <w:t xml:space="preserve">Final assessment. </w:t>
      </w:r>
      <w:r>
        <w:t xml:space="preserve">The Zambia mechanization solution is one of the more promising types of CGIAR scaling investments because it has a real market logic. Farmers need mechanization services. Service providers can make money. Machines are available or can be imported. Some machines are affordable without complex finance. Partners have rural networks. Suppliers exist. The missing pieces are not scientific validation but execution, finance, timing, targeting, and accountability. That </w:t>
      </w:r>
      <w:r>
        <w:lastRenderedPageBreak/>
        <w:t>makes the project both attractive and risky. A</w:t>
      </w:r>
      <w:r>
        <w:t>ttractive, because the core value proposition is strong. Risky, because failure to fix the bottlenecks will turn a commercially plausible model into another underpowered demonstration project.</w:t>
      </w:r>
    </w:p>
    <w:p w14:paraId="428EF10B" w14:textId="2069A053" w:rsidR="00A3398D" w:rsidRDefault="00E83717">
      <w:pPr>
        <w:spacing w:after="240" w:line="264" w:lineRule="auto"/>
      </w:pPr>
      <w:r>
        <w:rPr>
          <w:b/>
        </w:rPr>
        <w:t xml:space="preserve">Recommendation. </w:t>
      </w:r>
      <w:r>
        <w:t xml:space="preserve">Continue S4I support for one additional year, but stage-gate it around concrete improvements. The project should be judged over the next six to eight weeks by whether it has installed in-country </w:t>
      </w:r>
      <w:r w:rsidR="00437EC1">
        <w:t xml:space="preserve">staff and especially </w:t>
      </w:r>
      <w:r w:rsidR="00143F9F">
        <w:t>loan application</w:t>
      </w:r>
      <w:r w:rsidR="00437EC1">
        <w:t xml:space="preserve"> and </w:t>
      </w:r>
      <w:r>
        <w:t>business-development capacity, segmented the lead list, prioritized cash buyers, redesigned finance, reallocated resources to field execution, and produced a credible 2027 seasonal plan. If it does those things, it deserves continued support. If it continues with diffuse partnerships, weak finance, late machine delivery, and awareness-heavy implementation, S4I should reduce or redirect support. The innovation is promising enough to merit another year; the current scaling strategy is not yet strong enough to</w:t>
      </w:r>
      <w:r>
        <w:t xml:space="preserve"> merit unconditional continuation.</w:t>
      </w:r>
    </w:p>
    <w:sectPr w:rsidR="00A3398D" w:rsidSect="00034616">
      <w:footerReference w:type="default" r:id="rId8"/>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CD455" w14:textId="77777777" w:rsidR="00E83717" w:rsidRDefault="00E83717">
      <w:pPr>
        <w:spacing w:after="0" w:line="240" w:lineRule="auto"/>
      </w:pPr>
      <w:r>
        <w:separator/>
      </w:r>
    </w:p>
  </w:endnote>
  <w:endnote w:type="continuationSeparator" w:id="0">
    <w:p w14:paraId="395007B7" w14:textId="77777777" w:rsidR="00E83717" w:rsidRDefault="00E837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82700" w14:textId="77777777" w:rsidR="00A3398D" w:rsidRDefault="00A3398D">
    <w:pPr>
      <w:pStyle w:val="Footer"/>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2880"/>
      <w:gridCol w:w="3168"/>
      <w:gridCol w:w="2981"/>
    </w:tblGrid>
    <w:tr w:rsidR="00A3398D" w14:paraId="252F0399" w14:textId="77777777">
      <w:trPr>
        <w:jc w:val="center"/>
      </w:trPr>
      <w:tc>
        <w:tcPr>
          <w:tcW w:w="2880" w:type="dxa"/>
        </w:tcPr>
        <w:p w14:paraId="55BCE43F" w14:textId="77777777" w:rsidR="00A3398D" w:rsidRDefault="00E83717">
          <w:pPr>
            <w:spacing w:after="0" w:line="240" w:lineRule="auto"/>
          </w:pPr>
          <w:r>
            <w:rPr>
              <w:sz w:val="20"/>
            </w:rPr>
            <w:t>Author: Richard Kohl</w:t>
          </w:r>
        </w:p>
      </w:tc>
      <w:tc>
        <w:tcPr>
          <w:tcW w:w="3168" w:type="dxa"/>
        </w:tcPr>
        <w:p w14:paraId="4A8D1609" w14:textId="05CD167F" w:rsidR="00A3398D" w:rsidRDefault="00E83717">
          <w:pPr>
            <w:spacing w:after="0" w:line="240" w:lineRule="auto"/>
            <w:jc w:val="center"/>
          </w:pPr>
          <w:r>
            <w:rPr>
              <w:sz w:val="20"/>
            </w:rPr>
            <w:t xml:space="preserve">Page </w:t>
          </w:r>
          <w:r>
            <w:fldChar w:fldCharType="begin"/>
          </w:r>
          <w:r>
            <w:instrText>PAGE</w:instrText>
          </w:r>
          <w:r>
            <w:fldChar w:fldCharType="separate"/>
          </w:r>
          <w:r w:rsidR="00A96844">
            <w:rPr>
              <w:noProof/>
            </w:rPr>
            <w:t>1</w:t>
          </w:r>
          <w:r>
            <w:fldChar w:fldCharType="end"/>
          </w:r>
          <w:r>
            <w:rPr>
              <w:sz w:val="20"/>
            </w:rPr>
            <w:t xml:space="preserve"> of </w:t>
          </w:r>
          <w:r>
            <w:fldChar w:fldCharType="begin"/>
          </w:r>
          <w:r>
            <w:instrText>NUMPAGES</w:instrText>
          </w:r>
          <w:r>
            <w:fldChar w:fldCharType="separate"/>
          </w:r>
          <w:r w:rsidR="00A96844">
            <w:rPr>
              <w:noProof/>
            </w:rPr>
            <w:t>2</w:t>
          </w:r>
          <w:r>
            <w:fldChar w:fldCharType="end"/>
          </w:r>
        </w:p>
      </w:tc>
      <w:tc>
        <w:tcPr>
          <w:tcW w:w="2981" w:type="dxa"/>
        </w:tcPr>
        <w:p w14:paraId="2193263F" w14:textId="77777777" w:rsidR="00A3398D" w:rsidRDefault="00E83717">
          <w:pPr>
            <w:spacing w:after="0" w:line="240" w:lineRule="auto"/>
            <w:jc w:val="right"/>
          </w:pPr>
          <w:r>
            <w:rPr>
              <w:sz w:val="20"/>
            </w:rPr>
            <w:t>4 July 2026</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A2C41" w14:textId="77777777" w:rsidR="00E83717" w:rsidRDefault="00E83717">
      <w:pPr>
        <w:spacing w:after="0" w:line="240" w:lineRule="auto"/>
      </w:pPr>
      <w:r>
        <w:separator/>
      </w:r>
    </w:p>
  </w:footnote>
  <w:footnote w:type="continuationSeparator" w:id="0">
    <w:p w14:paraId="4869CA76" w14:textId="77777777" w:rsidR="00E83717" w:rsidRDefault="00E837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D7E5D06"/>
    <w:multiLevelType w:val="hybridMultilevel"/>
    <w:tmpl w:val="EF40F64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5453722">
    <w:abstractNumId w:val="8"/>
  </w:num>
  <w:num w:numId="2" w16cid:durableId="1478062552">
    <w:abstractNumId w:val="6"/>
  </w:num>
  <w:num w:numId="3" w16cid:durableId="2002007675">
    <w:abstractNumId w:val="5"/>
  </w:num>
  <w:num w:numId="4" w16cid:durableId="50076898">
    <w:abstractNumId w:val="4"/>
  </w:num>
  <w:num w:numId="5" w16cid:durableId="1495335383">
    <w:abstractNumId w:val="7"/>
  </w:num>
  <w:num w:numId="6" w16cid:durableId="1988897240">
    <w:abstractNumId w:val="3"/>
  </w:num>
  <w:num w:numId="7" w16cid:durableId="870918200">
    <w:abstractNumId w:val="2"/>
  </w:num>
  <w:num w:numId="8" w16cid:durableId="1947809465">
    <w:abstractNumId w:val="1"/>
  </w:num>
  <w:num w:numId="9" w16cid:durableId="549000388">
    <w:abstractNumId w:val="0"/>
  </w:num>
  <w:num w:numId="10" w16cid:durableId="5459155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9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3BFE"/>
    <w:rsid w:val="000D7DDB"/>
    <w:rsid w:val="00143F9F"/>
    <w:rsid w:val="0015074B"/>
    <w:rsid w:val="0017332D"/>
    <w:rsid w:val="00175AAB"/>
    <w:rsid w:val="00187883"/>
    <w:rsid w:val="001B1F8C"/>
    <w:rsid w:val="001F7997"/>
    <w:rsid w:val="002428BB"/>
    <w:rsid w:val="00247486"/>
    <w:rsid w:val="00271376"/>
    <w:rsid w:val="0029639D"/>
    <w:rsid w:val="002B061D"/>
    <w:rsid w:val="002C22B9"/>
    <w:rsid w:val="002D36B8"/>
    <w:rsid w:val="00315BE5"/>
    <w:rsid w:val="00326F90"/>
    <w:rsid w:val="003C051D"/>
    <w:rsid w:val="003C5736"/>
    <w:rsid w:val="003F45AB"/>
    <w:rsid w:val="00437EC1"/>
    <w:rsid w:val="00451F65"/>
    <w:rsid w:val="00461F6B"/>
    <w:rsid w:val="0049556F"/>
    <w:rsid w:val="004E7457"/>
    <w:rsid w:val="00525B16"/>
    <w:rsid w:val="00530CD7"/>
    <w:rsid w:val="00534E5A"/>
    <w:rsid w:val="00543231"/>
    <w:rsid w:val="00553D1C"/>
    <w:rsid w:val="005700B0"/>
    <w:rsid w:val="00571F80"/>
    <w:rsid w:val="00594019"/>
    <w:rsid w:val="005D637C"/>
    <w:rsid w:val="005E212F"/>
    <w:rsid w:val="005F5050"/>
    <w:rsid w:val="00615B7C"/>
    <w:rsid w:val="006335C7"/>
    <w:rsid w:val="00643DC0"/>
    <w:rsid w:val="006D64E0"/>
    <w:rsid w:val="006E72AA"/>
    <w:rsid w:val="00723658"/>
    <w:rsid w:val="007306BF"/>
    <w:rsid w:val="007374FD"/>
    <w:rsid w:val="007475B6"/>
    <w:rsid w:val="0075455C"/>
    <w:rsid w:val="00796FE0"/>
    <w:rsid w:val="007A749F"/>
    <w:rsid w:val="007B6449"/>
    <w:rsid w:val="007B7EA0"/>
    <w:rsid w:val="007C0711"/>
    <w:rsid w:val="008173A8"/>
    <w:rsid w:val="0089233E"/>
    <w:rsid w:val="008D4BA1"/>
    <w:rsid w:val="008E4293"/>
    <w:rsid w:val="008F0259"/>
    <w:rsid w:val="00915E94"/>
    <w:rsid w:val="0093126F"/>
    <w:rsid w:val="00944FA2"/>
    <w:rsid w:val="009743B1"/>
    <w:rsid w:val="009A22EA"/>
    <w:rsid w:val="009B214C"/>
    <w:rsid w:val="009C6EF8"/>
    <w:rsid w:val="00A068B8"/>
    <w:rsid w:val="00A31341"/>
    <w:rsid w:val="00A31562"/>
    <w:rsid w:val="00A3398D"/>
    <w:rsid w:val="00A607F1"/>
    <w:rsid w:val="00A96844"/>
    <w:rsid w:val="00AA1D8D"/>
    <w:rsid w:val="00AA34A7"/>
    <w:rsid w:val="00AA428B"/>
    <w:rsid w:val="00AE7FFD"/>
    <w:rsid w:val="00B22352"/>
    <w:rsid w:val="00B47730"/>
    <w:rsid w:val="00B56C0F"/>
    <w:rsid w:val="00BB5981"/>
    <w:rsid w:val="00C166E5"/>
    <w:rsid w:val="00CB0664"/>
    <w:rsid w:val="00CE71E2"/>
    <w:rsid w:val="00CF66CD"/>
    <w:rsid w:val="00DC5A6E"/>
    <w:rsid w:val="00E01627"/>
    <w:rsid w:val="00E44DA5"/>
    <w:rsid w:val="00E725B4"/>
    <w:rsid w:val="00E83717"/>
    <w:rsid w:val="00E96910"/>
    <w:rsid w:val="00ED05FE"/>
    <w:rsid w:val="00F25234"/>
    <w:rsid w:val="00FA2683"/>
    <w:rsid w:val="00FB409B"/>
    <w:rsid w:val="00FB4ECC"/>
    <w:rsid w:val="00FC693F"/>
    <w:rsid w:val="00FD0290"/>
    <w:rsid w:val="00FD5786"/>
    <w:rsid w:val="00FE1BBB"/>
    <w:rsid w:val="00FF3D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0E97819-8B94-44D1-999D-6FF042D1C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F3DA5"/>
    <w:pPr>
      <w:keepNext/>
      <w:keepLines/>
      <w:spacing w:before="240" w:after="0"/>
      <w:outlineLvl w:val="0"/>
    </w:pPr>
    <w:rPr>
      <w:rFonts w:asciiTheme="majorHAnsi" w:eastAsiaTheme="majorEastAsia" w:hAnsiTheme="majorHAnsi" w:cstheme="majorBidi"/>
      <w:b/>
      <w:bCs/>
      <w:color w:val="000000" w:themeColor="text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F3DA5"/>
    <w:rPr>
      <w:rFonts w:asciiTheme="majorHAnsi" w:eastAsiaTheme="majorEastAsia" w:hAnsiTheme="majorHAnsi" w:cstheme="majorBidi"/>
      <w:b/>
      <w:bCs/>
      <w:color w:val="000000" w:themeColor="text1"/>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7481</Words>
  <Characters>43316</Characters>
  <Application>Microsoft Office Word</Application>
  <DocSecurity>0</DocSecurity>
  <Lines>637</Lines>
  <Paragraphs>208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50589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Richard Kohl</cp:lastModifiedBy>
  <cp:revision>2</cp:revision>
  <dcterms:created xsi:type="dcterms:W3CDTF">2026-07-06T17:29:00Z</dcterms:created>
  <dcterms:modified xsi:type="dcterms:W3CDTF">2026-07-06T17:29:00Z</dcterms:modified>
  <cp:category/>
</cp:coreProperties>
</file>