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7A81A" w14:textId="77777777" w:rsidR="00CA6387" w:rsidRPr="00CA6387" w:rsidRDefault="00CA6387" w:rsidP="00CA6387">
      <w:pPr>
        <w:spacing w:after="60" w:line="240" w:lineRule="auto"/>
        <w:jc w:val="center"/>
        <w:rPr>
          <w:rFonts w:ascii="Arial" w:eastAsia="Arial" w:hAnsi="Arial" w:cs="Arial"/>
          <w:b/>
          <w:bCs/>
          <w:color w:val="auto"/>
          <w:sz w:val="32"/>
          <w:szCs w:val="32"/>
          <w:lang w:bidi="km-KH"/>
        </w:rPr>
      </w:pPr>
      <w:r w:rsidRPr="00CA6387">
        <w:rPr>
          <w:rFonts w:ascii="Arial" w:eastAsia="Arial" w:hAnsi="Arial" w:cs="Arial"/>
          <w:b/>
          <w:bCs/>
          <w:color w:val="auto"/>
          <w:sz w:val="32"/>
          <w:szCs w:val="32"/>
          <w:lang w:bidi="km-KH"/>
        </w:rPr>
        <w:t xml:space="preserve">Scaling Shamba Shape Up / Munda Makeover Climate-Smart </w:t>
      </w:r>
      <w:proofErr w:type="spellStart"/>
      <w:r w:rsidRPr="00CA6387">
        <w:rPr>
          <w:rFonts w:ascii="Arial" w:eastAsia="Arial" w:hAnsi="Arial" w:cs="Arial"/>
          <w:b/>
          <w:bCs/>
          <w:color w:val="auto"/>
          <w:sz w:val="32"/>
          <w:szCs w:val="32"/>
          <w:lang w:bidi="km-KH"/>
        </w:rPr>
        <w:t>Agro</w:t>
      </w:r>
      <w:proofErr w:type="spellEnd"/>
      <w:r w:rsidRPr="00CA6387">
        <w:rPr>
          <w:rFonts w:ascii="Arial" w:eastAsia="Arial" w:hAnsi="Arial" w:cs="Arial"/>
          <w:b/>
          <w:bCs/>
          <w:color w:val="auto"/>
          <w:sz w:val="32"/>
          <w:szCs w:val="32"/>
          <w:lang w:bidi="km-KH"/>
        </w:rPr>
        <w:t>-Advisories and Content Generation Platform</w:t>
      </w:r>
    </w:p>
    <w:p w14:paraId="4058C81C" w14:textId="77777777" w:rsidR="00CA6387" w:rsidRPr="00CA6387" w:rsidRDefault="00CA6387" w:rsidP="00CA6387">
      <w:pPr>
        <w:spacing w:line="240" w:lineRule="auto"/>
        <w:jc w:val="center"/>
        <w:rPr>
          <w:rFonts w:ascii="Arial" w:eastAsia="Arial" w:hAnsi="Arial" w:cs="Arial"/>
          <w:i/>
          <w:iCs/>
          <w:color w:val="auto"/>
          <w:sz w:val="24"/>
          <w:szCs w:val="24"/>
          <w:lang w:bidi="km-KH"/>
        </w:rPr>
      </w:pPr>
      <w:r w:rsidRPr="00CA6387">
        <w:rPr>
          <w:rFonts w:ascii="Arial" w:eastAsia="Arial" w:hAnsi="Arial" w:cs="Arial"/>
          <w:i/>
          <w:iCs/>
          <w:color w:val="auto"/>
          <w:sz w:val="24"/>
          <w:szCs w:val="24"/>
          <w:lang w:bidi="km-KH"/>
        </w:rPr>
        <w:t>Assessment and Scaling Recommendations</w:t>
      </w:r>
    </w:p>
    <w:p w14:paraId="2901ABC5" w14:textId="77777777" w:rsidR="00CA6387" w:rsidRPr="00CA6387" w:rsidRDefault="00CA6387" w:rsidP="00CA6387">
      <w:pPr>
        <w:spacing w:after="40" w:line="240" w:lineRule="auto"/>
        <w:jc w:val="center"/>
        <w:rPr>
          <w:rFonts w:ascii="Arial" w:eastAsia="Arial" w:hAnsi="Arial" w:cs="Arial"/>
          <w:color w:val="auto"/>
          <w:lang w:bidi="km-KH"/>
        </w:rPr>
      </w:pPr>
      <w:r w:rsidRPr="00CA6387">
        <w:rPr>
          <w:rFonts w:ascii="Arial" w:eastAsia="Arial" w:hAnsi="Arial" w:cs="Arial"/>
          <w:color w:val="auto"/>
          <w:lang w:bidi="km-KH"/>
        </w:rPr>
        <w:t>Prepared by Dr. Richard Kohl, Strategy and Scale LLC</w:t>
      </w:r>
    </w:p>
    <w:p w14:paraId="785F0869" w14:textId="402776FD" w:rsidR="00CA6387" w:rsidRPr="00CA6387" w:rsidRDefault="00CA6387" w:rsidP="00CA6387">
      <w:pPr>
        <w:spacing w:after="40" w:line="240" w:lineRule="auto"/>
        <w:jc w:val="center"/>
        <w:rPr>
          <w:rFonts w:ascii="Arial" w:eastAsia="Arial" w:hAnsi="Arial" w:cs="Arial"/>
          <w:color w:val="auto"/>
          <w:lang w:bidi="km-KH"/>
        </w:rPr>
      </w:pPr>
      <w:r w:rsidRPr="00CA6387">
        <w:rPr>
          <w:rFonts w:ascii="Arial" w:eastAsia="Arial" w:hAnsi="Arial" w:cs="Arial"/>
          <w:color w:val="auto"/>
          <w:lang w:bidi="km-KH"/>
        </w:rPr>
        <w:t>26 July 2026</w:t>
      </w:r>
    </w:p>
    <w:p w14:paraId="152610F8" w14:textId="77777777" w:rsidR="00CA6387" w:rsidRDefault="00CA6387">
      <w:pPr>
        <w:pStyle w:val="SectionHeading"/>
      </w:pPr>
    </w:p>
    <w:p w14:paraId="3B8FD9F6" w14:textId="692A41AA" w:rsidR="004F0A92" w:rsidRDefault="003051DE">
      <w:pPr>
        <w:pStyle w:val="SectionHeading"/>
      </w:pPr>
      <w:r>
        <w:t>Executive Summary</w:t>
      </w:r>
    </w:p>
    <w:p w14:paraId="18A98684" w14:textId="09DE11CB" w:rsidR="004F0A92" w:rsidRDefault="00663879" w:rsidP="00EE0E11">
      <w:pPr>
        <w:pStyle w:val="ListBullet"/>
        <w:numPr>
          <w:ilvl w:val="0"/>
          <w:numId w:val="13"/>
        </w:numPr>
        <w:spacing w:after="120" w:line="240" w:lineRule="auto"/>
        <w:ind w:left="360"/>
      </w:pPr>
      <w:r>
        <w:t xml:space="preserve">It is important to distinguish between </w:t>
      </w:r>
      <w:r w:rsidR="00CA6387">
        <w:t>Shamba</w:t>
      </w:r>
      <w:r>
        <w:t xml:space="preserve"> Shape</w:t>
      </w:r>
      <w:r w:rsidR="00CA6387">
        <w:t xml:space="preserve"> </w:t>
      </w:r>
      <w:r>
        <w:t>U</w:t>
      </w:r>
      <w:r w:rsidR="00CA6387">
        <w:t>p</w:t>
      </w:r>
      <w:r>
        <w:t xml:space="preserve"> as a platform for scaling other innovations versus scaling </w:t>
      </w:r>
      <w:r w:rsidR="00CA6387">
        <w:t>Shamba</w:t>
      </w:r>
      <w:r>
        <w:t xml:space="preserve"> Shape Up itself. Regarding the former, Shamba Shape Up has built an unusually trusted and recognizable agricultural media brand in Kenya, whether this can be scaled to Zambia and Ethiopia remains a work in progress. </w:t>
      </w:r>
      <w:proofErr w:type="spellStart"/>
      <w:r>
        <w:t>Mediae</w:t>
      </w:r>
      <w:proofErr w:type="spellEnd"/>
      <w:r>
        <w:t xml:space="preserve"> brings a professional production capability, established broadcaster and sponsor relationships, and a rare longitudinal body of audience, knowledge, attitude, and practice data. The initiative is therefore not an agronomic proof-of-concept project; it is a mature communications platform with credible potential to become regional extension infrastructure. </w:t>
      </w:r>
    </w:p>
    <w:p w14:paraId="3848896D" w14:textId="77777777" w:rsidR="00A926C6" w:rsidRDefault="00A926C6" w:rsidP="00EE0E11">
      <w:pPr>
        <w:pStyle w:val="ListBullet"/>
        <w:numPr>
          <w:ilvl w:val="0"/>
          <w:numId w:val="13"/>
        </w:numPr>
        <w:spacing w:after="120" w:line="240" w:lineRule="auto"/>
        <w:ind w:left="360"/>
      </w:pPr>
      <w:r>
        <w:t xml:space="preserve">The team is shifting from production of individual shows toward a reusable Content Generation Platform. The proposed combination of science curation, television and radio, digital follow-up, call centers, audience analytics, and selected physical market linkages is conceptually strong because farmers need repeated and differentiated support rather than a single message. </w:t>
      </w:r>
    </w:p>
    <w:p w14:paraId="79AACE9E" w14:textId="77777777" w:rsidR="00A47A6C" w:rsidRDefault="00A47A6C" w:rsidP="00EE0E11">
      <w:pPr>
        <w:pStyle w:val="ListBullet"/>
        <w:numPr>
          <w:ilvl w:val="0"/>
          <w:numId w:val="13"/>
        </w:numPr>
        <w:spacing w:after="120" w:line="240" w:lineRule="auto"/>
        <w:ind w:left="360"/>
      </w:pPr>
      <w:r>
        <w:t>Information must be linked selectively to the other conditions required for adoption. The KAP evidence indicates strong learning and substantial self-reported behavior change, but the team itself acknowledges that it does not routinely verify sustained adoption in the field. For low-cost practices, well-timed information may be enough; for irrigation, mechanization, insurance, improved livestock systems, or complex CGIAR packages, uptake depends on finance, suppliers, services, after-sales support, land, water, and markets. Content packages should therefore be selected and designed around known conversion bottlenecks, offering simpler or sequenced adoption options rather than promoting technically ideal bundles that few farmers can implement.</w:t>
      </w:r>
    </w:p>
    <w:p w14:paraId="31D462EE" w14:textId="4203082B" w:rsidR="00C30C5F" w:rsidRDefault="001A368E" w:rsidP="00EE0E11">
      <w:pPr>
        <w:pStyle w:val="ListBullet"/>
        <w:numPr>
          <w:ilvl w:val="0"/>
          <w:numId w:val="13"/>
        </w:numPr>
        <w:spacing w:after="120" w:line="240" w:lineRule="auto"/>
        <w:ind w:left="360"/>
      </w:pPr>
      <w:r>
        <w:t xml:space="preserve">A potential scaling weakness is that reach is an important output but not a sufficient scaling ambition. The proposed ambition of reaching 20 million households is plausible as a media target and SSU does have substantial evidence of significant adoption and impact of some of the innovations that have been featured in its programming. </w:t>
      </w:r>
      <w:proofErr w:type="gramStart"/>
      <w:r>
        <w:t>However</w:t>
      </w:r>
      <w:proofErr w:type="gramEnd"/>
      <w:r>
        <w:t xml:space="preserve"> it does not yet distinguish unique exposure, repeated engagement, comprehension, trial, sustained adoption, correct use, </w:t>
      </w:r>
      <w:proofErr w:type="spellStart"/>
      <w:r>
        <w:t>disadoption</w:t>
      </w:r>
      <w:proofErr w:type="spellEnd"/>
      <w:r>
        <w:t xml:space="preserve">, or welfare and resilience benefits. The ambition should be recast as a conversion pathway with innovation-specific targets and explicit denominators, while correcting double counting across television, radio, social media, call centers, and roadshows.  </w:t>
      </w:r>
      <w:proofErr w:type="gramStart"/>
      <w:r>
        <w:t>Similarly</w:t>
      </w:r>
      <w:proofErr w:type="gramEnd"/>
      <w:r>
        <w:t xml:space="preserve"> it is less clear what types of innovations are most easily adopted versus </w:t>
      </w:r>
      <w:proofErr w:type="gramStart"/>
      <w:r>
        <w:t>have</w:t>
      </w:r>
      <w:proofErr w:type="gramEnd"/>
      <w:r>
        <w:t xml:space="preserve"> less traction.  Presumably those innovations that are affordable, accessible, and require minimal changes in behavior or investment are more likely to be adopted; what their impact is on key indicators like productivity, food security and resilience, income and climate change resilience needs further exploration. </w:t>
      </w:r>
    </w:p>
    <w:p w14:paraId="3A9A28C1" w14:textId="596608B6" w:rsidR="004F0A92" w:rsidRDefault="001A368E" w:rsidP="00EE0E11">
      <w:pPr>
        <w:pStyle w:val="ListBullet"/>
        <w:numPr>
          <w:ilvl w:val="0"/>
          <w:numId w:val="13"/>
        </w:numPr>
        <w:spacing w:after="120" w:line="240" w:lineRule="auto"/>
        <w:ind w:left="360"/>
      </w:pPr>
      <w:r>
        <w:t xml:space="preserve">In terms of scaling the platform itself, the challenge call also began to test whether CGIAR centers and commercial partners will co-invest and so </w:t>
      </w:r>
      <w:proofErr w:type="gramStart"/>
      <w:r>
        <w:t>far</w:t>
      </w:r>
      <w:proofErr w:type="gramEnd"/>
      <w:r>
        <w:t xml:space="preserve"> the results are at best mixed as only three finalists were secured rather than the six anticipated, signaling that demand for the platform cannot yet be assumed.</w:t>
      </w:r>
    </w:p>
    <w:p w14:paraId="1B8928ED" w14:textId="77777777" w:rsidR="004F0A92" w:rsidRDefault="003051DE" w:rsidP="00EE0E11">
      <w:pPr>
        <w:pStyle w:val="ListBullet"/>
        <w:numPr>
          <w:ilvl w:val="0"/>
          <w:numId w:val="13"/>
        </w:numPr>
        <w:spacing w:after="120" w:line="240" w:lineRule="auto"/>
        <w:ind w:left="360"/>
      </w:pPr>
      <w:proofErr w:type="spellStart"/>
      <w:r>
        <w:t>Mediae</w:t>
      </w:r>
      <w:proofErr w:type="spellEnd"/>
      <w:r>
        <w:t xml:space="preserve"> is the clearest operational scaling driver, but the pathway lacks a complete institutional owner. </w:t>
      </w:r>
      <w:proofErr w:type="spellStart"/>
      <w:r>
        <w:t>Mediae</w:t>
      </w:r>
      <w:proofErr w:type="spellEnd"/>
      <w:r>
        <w:t xml:space="preserve"> can produce content, build audiences, and sell sponsorship; CGIAR can assure </w:t>
      </w:r>
      <w:r>
        <w:lastRenderedPageBreak/>
        <w:t xml:space="preserve">scientific quality and broker innovations; governments can commission public-interest messages and align them with extension; private firms can sponsor commercially relevant content. None of these actors alone will pay for and govern the complete system. The likely sustainable end state is a </w:t>
      </w:r>
      <w:proofErr w:type="spellStart"/>
      <w:r>
        <w:t>Mediae</w:t>
      </w:r>
      <w:proofErr w:type="spellEnd"/>
      <w:r>
        <w:t>-operated regional service bus</w:t>
      </w:r>
      <w:r>
        <w:t>iness with diversified commercial, government, CGIAR, and donor commissions, governed by transparent scientific and editorial safeguards rather than an assumed transfer to government.</w:t>
      </w:r>
    </w:p>
    <w:p w14:paraId="77F3D12E" w14:textId="275D5A89" w:rsidR="004F0A92" w:rsidRDefault="003051DE" w:rsidP="00EE0E11">
      <w:pPr>
        <w:pStyle w:val="ListBullet"/>
        <w:numPr>
          <w:ilvl w:val="0"/>
          <w:numId w:val="13"/>
        </w:numPr>
        <w:spacing w:after="120" w:line="240" w:lineRule="auto"/>
        <w:ind w:left="360"/>
      </w:pPr>
      <w:r>
        <w:t xml:space="preserve">Financial sustainability is the binding system bottleneck. Kenya’s substantial private contribution is a major achievement, and some firms already use their own resources to demonstrate and promote products, but this has taken many years and reflects Kenya’s particular market. Zambia </w:t>
      </w:r>
      <w:r>
        <w:t xml:space="preserve">remains more donor-dependent, and Ethiopia is </w:t>
      </w:r>
      <w:r>
        <w:t>still a market-entry proposition. The project needs a country-by-country cost and revenue model that separates commercially sponsorable content from public-good extension, identifies the minimum continuing subsidy, and sets realistic revenue and donor-exit milestones.</w:t>
      </w:r>
    </w:p>
    <w:p w14:paraId="4CB33CB5" w14:textId="77777777" w:rsidR="00CA6387" w:rsidRDefault="00CA6387">
      <w:pPr>
        <w:pStyle w:val="SectionHeading"/>
      </w:pPr>
    </w:p>
    <w:p w14:paraId="6CD450FD" w14:textId="31E8D800" w:rsidR="004F0A92" w:rsidRDefault="003051DE">
      <w:pPr>
        <w:pStyle w:val="SectionHeading"/>
      </w:pPr>
      <w:r>
        <w:t>Intervention Summary and Components</w:t>
      </w:r>
    </w:p>
    <w:p w14:paraId="2833F851" w14:textId="77777777" w:rsidR="004F0A92" w:rsidRDefault="003051DE">
      <w:r>
        <w:rPr>
          <w:b/>
          <w:i/>
        </w:rPr>
        <w:t xml:space="preserve">A platform for translating science into action. </w:t>
      </w:r>
      <w:r>
        <w:t>Shamba Shape Up (SSU) is a long-running agricultural edutainment program that uses farmer-centered makeovers, demonstrations, expert advice, narrative storytelling, and recognizable presenters to translate technical agricultural knowledge into practical messages. Its distinguishing asset is not simply airtime. It is the ability to convert material that farmers often experience as abstract, inaccessible, or untrustworthy into content that is understandable, memorable, and socially validated by seeing other f</w:t>
      </w:r>
      <w:r>
        <w:t xml:space="preserve">armers try it. In Kenya the program has operated for roughly sixteen years and reportedly reaches nine to ten million farmers or household members. Munda Makeover has transferred the format to Zambia, where audience size has risen rapidly over its first seasons. These brands are supported by </w:t>
      </w:r>
      <w:proofErr w:type="spellStart"/>
      <w:r>
        <w:t>iShamba</w:t>
      </w:r>
      <w:proofErr w:type="spellEnd"/>
      <w:r>
        <w:t xml:space="preserve"> and </w:t>
      </w:r>
      <w:proofErr w:type="spellStart"/>
      <w:r>
        <w:t>iMunda</w:t>
      </w:r>
      <w:proofErr w:type="spellEnd"/>
      <w:r>
        <w:t xml:space="preserve"> call-center and digital services, social-media channels, surveys, and relationships with broadcasters, government experts, CGIAR centers, input firms, and other sponsors.</w:t>
      </w:r>
    </w:p>
    <w:p w14:paraId="6CCA0AEC" w14:textId="031678F1" w:rsidR="004F0A92" w:rsidRDefault="003051DE">
      <w:r>
        <w:rPr>
          <w:b/>
          <w:i/>
        </w:rPr>
        <w:t xml:space="preserve">The S4I proposition for 2026. </w:t>
      </w:r>
      <w:r>
        <w:t xml:space="preserve">The Scaling for Impact investment is intended to transform these successful programs into a broader Content Generation Platform for climate-smart </w:t>
      </w:r>
      <w:proofErr w:type="spellStart"/>
      <w:r>
        <w:t>agro</w:t>
      </w:r>
      <w:proofErr w:type="spellEnd"/>
      <w:r>
        <w:t>-</w:t>
      </w:r>
      <w:proofErr w:type="gramStart"/>
      <w:r>
        <w:t>advisories</w:t>
      </w:r>
      <w:proofErr w:type="gramEnd"/>
      <w:r>
        <w:t xml:space="preserve">. The proposed platform would allow CGIAR programs and other innovation owners to bring technical material to a professional production and dissemination system rather than building separate communication channels. The model combines a Content Generation Hub, a challenge or matching fund, multi-channel delivery, and monitoring and learning. The Hub </w:t>
      </w:r>
      <w:r>
        <w:t xml:space="preserve">would </w:t>
      </w:r>
      <w:proofErr w:type="gramStart"/>
      <w:r>
        <w:t>curate</w:t>
      </w:r>
      <w:proofErr w:type="gramEnd"/>
      <w:r>
        <w:t xml:space="preserve"> evidence, select and adapt messages, ensure technical quality, and turn innovations into television, radio, digital, and call-center content. The Challenge Fund would induce CGIAR centers and other partners to co-invest, ideally alongside private firms. Delivery would combine mass media with deeper engagement through YouTube, Facebook, short-form video, SMS, WhatsApp, interactive voice response, and call centers. In Zambia, roadshows and temporary input marketplaces add face-to-face screening, </w:t>
      </w:r>
      <w:r>
        <w:t>demonstration, and supplier access.</w:t>
      </w:r>
    </w:p>
    <w:p w14:paraId="1E11F539" w14:textId="22C0E21B" w:rsidR="004F0A92" w:rsidRDefault="003051DE">
      <w:r>
        <w:rPr>
          <w:b/>
          <w:i/>
        </w:rPr>
        <w:t xml:space="preserve">Progress during 2026. </w:t>
      </w:r>
      <w:r>
        <w:t xml:space="preserve">The team issued a challenge call aimed initially at the S4I scaling tracks and expected at least six finalists. It obtained three: IWMI and the Alliance for Kenya and WorldFish for Zambia. Nine broadcast segments were planned, with the scaling track subsidizing two segments for each innovation and the participating center contributing one; private-sector participation was also required. Kenya broadcasting was underway at the time of coaching, while Zambia broadcasting was </w:t>
      </w:r>
      <w:r>
        <w:t xml:space="preserve">scheduled for its normal seasonal window. The team was also coordinating production with private </w:t>
      </w:r>
      <w:r>
        <w:lastRenderedPageBreak/>
        <w:t xml:space="preserve">actors such as </w:t>
      </w:r>
      <w:proofErr w:type="spellStart"/>
      <w:r>
        <w:t>SunCulture</w:t>
      </w:r>
      <w:proofErr w:type="spellEnd"/>
      <w:r>
        <w:t xml:space="preserve"> and public or research organizations such as </w:t>
      </w:r>
      <w:proofErr w:type="gramStart"/>
      <w:r>
        <w:t>KALRO, and</w:t>
      </w:r>
      <w:proofErr w:type="gramEnd"/>
      <w:r>
        <w:t xml:space="preserve"> using related GEF financing to explore additional channels and climate advisories. </w:t>
      </w:r>
      <w:r>
        <w:rPr>
          <w:u w:val="single"/>
        </w:rPr>
        <w:t>This is useful operational progress, but the lower-than-expected challenge response is important.</w:t>
      </w:r>
      <w:r>
        <w:t xml:space="preserve"> It suggests that CGIAR programs do not yet automatically perceive paid content production as a priority scaling investment and that private co-financing may be easier to require on paper than to mobilize for every innovation.</w:t>
      </w:r>
    </w:p>
    <w:p w14:paraId="31F95E5B" w14:textId="7ADBC142" w:rsidR="004F0A92" w:rsidRDefault="003051DE">
      <w:r>
        <w:rPr>
          <w:b/>
          <w:i/>
        </w:rPr>
        <w:t xml:space="preserve">A bundle at different stages of maturity. </w:t>
      </w:r>
      <w:r>
        <w:t xml:space="preserve">The underlying television product is mature in Kenya and under development in Zambia. The content platform, shared content library, Challenge Fund, systematic CGIAR </w:t>
      </w:r>
      <w:proofErr w:type="gramStart"/>
      <w:r>
        <w:t>brokering</w:t>
      </w:r>
      <w:proofErr w:type="gramEnd"/>
      <w:r>
        <w:t xml:space="preserve"> process, integrated conversion pathway from broadcast to adoption, and long-term governance arrangement are not equally mature. Some are organizational prototypes and some remain design concepts. This creates a challenge in assessing scaling readiness: transferring the readiness of the strongest component to the entire bundle. The exis</w:t>
      </w:r>
      <w:r>
        <w:t xml:space="preserve">ting show proves that </w:t>
      </w:r>
      <w:proofErr w:type="spellStart"/>
      <w:r>
        <w:t>Mediae</w:t>
      </w:r>
      <w:proofErr w:type="spellEnd"/>
      <w:r>
        <w:t xml:space="preserve"> can produce trusted content and attract audiences. It does not yet prove that a standardized platform can efficiently absorb innovations from many CGIAR centers, identify those most likely to scale, mobilize durable co-financing, connect farmers to missing services and inputs needed to facilitate adoption, and generate adoption at lower cost than alternative extension channels.</w:t>
      </w:r>
    </w:p>
    <w:p w14:paraId="3AE3E484" w14:textId="77777777" w:rsidR="00CA6387" w:rsidRDefault="00CA6387">
      <w:pPr>
        <w:pStyle w:val="SectionHeading"/>
      </w:pPr>
    </w:p>
    <w:p w14:paraId="46A589F2" w14:textId="132CDB40" w:rsidR="004F0A92" w:rsidRDefault="003051DE">
      <w:pPr>
        <w:pStyle w:val="SectionHeading"/>
      </w:pPr>
      <w:r>
        <w:t>Implementation Experience, Evidence of Impact, and Business Cases</w:t>
      </w:r>
    </w:p>
    <w:p w14:paraId="57A9EE4A" w14:textId="77777777" w:rsidR="004F0A92" w:rsidRDefault="003051DE">
      <w:r>
        <w:rPr>
          <w:b/>
          <w:i/>
        </w:rPr>
        <w:t xml:space="preserve">Strong evidence at the top of the funnel. </w:t>
      </w:r>
      <w:r>
        <w:t xml:space="preserve">SSU has one of the stronger evidence bases in the S4I portfolio for reach, recognition, learning, and self-reported behavior change. </w:t>
      </w:r>
      <w:proofErr w:type="spellStart"/>
      <w:r>
        <w:t>Mediae</w:t>
      </w:r>
      <w:proofErr w:type="spellEnd"/>
      <w:r>
        <w:t xml:space="preserve"> conducts knowledge, attitudes, and practices studies, day-after recall surveys, social-media analytics, and call-center monitoring. The coaching discussion cited recent KAP results of roughly 45 percent reporting adoption of new practices in Kenya and approximately 65 percent in a Zambia season, with sizeable shares reporting higher yields and income. A more rigorous ea</w:t>
      </w:r>
      <w:r>
        <w:t>rlier University of Reading and Wageningen study followed dairy farmers, verified changes in practices, and linked adoption attributed to SSU to substantial aggregate gains in milk production and income. This history establishes that agricultural edutainment can influence decisions and economic outcomes, not merely entertain or inform.</w:t>
      </w:r>
    </w:p>
    <w:p w14:paraId="2D2783DF" w14:textId="357FD8CF" w:rsidR="004F0A92" w:rsidRPr="006B758C" w:rsidRDefault="003051DE">
      <w:pPr>
        <w:rPr>
          <w:u w:val="single"/>
        </w:rPr>
      </w:pPr>
      <w:r>
        <w:rPr>
          <w:b/>
          <w:i/>
        </w:rPr>
        <w:t xml:space="preserve">The evidence gap is conversion and persistence. </w:t>
      </w:r>
      <w:r>
        <w:t>The routine system nevertheless relies heavily on self-reported outcomes and aggregates many practices into headline adoption percentages. This obscures the variation that matters for scaling. A farmer can act immediately on planting date, spacing, feed preparation, or recordkeeping but may be unable to purchase irrigation equipment, insurance, mechanization services, improved housing, or a complete climate-smart package. The same reported “adoption” category can therefore contain a low-cost trial, a one-se</w:t>
      </w:r>
      <w:r>
        <w:t xml:space="preserve">ason response, a sustained change, or an aspirational answer. </w:t>
      </w:r>
      <w:proofErr w:type="spellStart"/>
      <w:r>
        <w:t>Mediae</w:t>
      </w:r>
      <w:proofErr w:type="spellEnd"/>
      <w:r>
        <w:t xml:space="preserve"> acknowledged during coaching that it does not routinely verify field adoption and persistence, because rigorous studies are expensive. The correct response is not to demand randomized trials for every episode. </w:t>
      </w:r>
      <w:r>
        <w:rPr>
          <w:u w:val="single"/>
        </w:rPr>
        <w:t>It is to restructure the existing data around a conversion ladder and use regular small samples of a longitudinal cohort</w:t>
      </w:r>
      <w:r>
        <w:t xml:space="preserve">: unique exposure, comprehension, intention, inquiry, trial, correct and repeated use, benefits, and discontinuation, by innovation and farmer segment. A modest panel of repeated viewers linked to call-center and supplier data would produce far more scaling insight than another aggregate KAP percentage.  </w:t>
      </w:r>
      <w:r>
        <w:rPr>
          <w:u w:val="single"/>
        </w:rPr>
        <w:t xml:space="preserve">It would also be helpful to collect data on what contextual factors affect initial and subsequent </w:t>
      </w:r>
      <w:r>
        <w:rPr>
          <w:u w:val="single"/>
        </w:rPr>
        <w:lastRenderedPageBreak/>
        <w:t>adoption</w:t>
      </w:r>
      <w:proofErr w:type="gramStart"/>
      <w:r>
        <w:rPr>
          <w:u w:val="single"/>
        </w:rPr>
        <w:t>:  availability</w:t>
      </w:r>
      <w:proofErr w:type="gramEnd"/>
      <w:r>
        <w:rPr>
          <w:u w:val="single"/>
        </w:rPr>
        <w:t>, access, affordability, extension support and characteristics of innovations themselves like the extent of behavior change and new investments required.</w:t>
      </w:r>
    </w:p>
    <w:p w14:paraId="5FFAC692" w14:textId="77777777" w:rsidR="004F0A92" w:rsidRDefault="003051DE">
      <w:r>
        <w:rPr>
          <w:b/>
          <w:i/>
        </w:rPr>
        <w:t xml:space="preserve">Farmer value propositions. </w:t>
      </w:r>
      <w:r>
        <w:t>The farmer value proposition is real but heterogeneous. For commercially oriented dairy, horticulture, poultry, aquaculture, or irrigated farmers, SSU may reduce search and information costs, help identify reliable suppliers, and accelerate adoption of investments that raise productivity or market access. For poorer rainfed households, the most useful value may be timely seasonal information, risk avoidance, soil and water management practices, and incremental management changes that require little cash. Wo</w:t>
      </w:r>
      <w:r>
        <w:t>men may gain private access to information within the home, but exposure does not ensure control over land, labor, income, or purchases. Youth may be easier to reach digitally but may not control farm decisions. The platform should therefore segment both the message and the expected action. An advisory should specify who can act, what it costs, the first feasible step, complementary inputs, expected payback or risk reduction, and what farmers should do when the full recommended package is not affordable.</w:t>
      </w:r>
    </w:p>
    <w:p w14:paraId="32A0B099" w14:textId="12352894" w:rsidR="004F0A92" w:rsidRDefault="003051DE">
      <w:r>
        <w:rPr>
          <w:b/>
          <w:i/>
        </w:rPr>
        <w:t xml:space="preserve">Commercial sponsors. </w:t>
      </w:r>
      <w:r>
        <w:t>Private-sector value propositions are clearest where the program creates trusted access to identifiable customers. Seed, fertilizer, animal-health, insurance, telecommunications, irrigation, mechanization, finance, and aggregation firms can use the platform to explain products, generate leads, demonstrate use, and build rural markets. Kenya’s ability to mobilize a large private contribution demonstrates that this value is not hypothetical. The coaching transcript also indicates that suppliers participate in</w:t>
      </w:r>
      <w:r>
        <w:t xml:space="preserve"> demonstrations and content with their own resources rather than only appearing at project-funded events. That is a positive sign of genuine commercial interest. It should be measured, however, as cash and at-risk investment, leads, sales, repeat sponsorship, and after-sales service rather than as general “partnership.” Sponsors should also be required to support the enabling steps needed for adoption, not merely brand visibility.  Whether private-sector value propositions are replicable in countries with w</w:t>
      </w:r>
      <w:r>
        <w:t xml:space="preserve">eaker market systems, lower population densities, lower value-added and commercially oriented agricultural remains to be proven. </w:t>
      </w:r>
    </w:p>
    <w:p w14:paraId="75DADD45" w14:textId="62855466" w:rsidR="004F0A92" w:rsidRDefault="003051DE">
      <w:r>
        <w:rPr>
          <w:b/>
          <w:i/>
        </w:rPr>
        <w:t xml:space="preserve">Government, CGIAR, and NGO propositions. </w:t>
      </w:r>
      <w:r>
        <w:t xml:space="preserve">Agricultural ministries can use SSU as a cost-effective complement to </w:t>
      </w:r>
      <w:proofErr w:type="gramStart"/>
      <w:r>
        <w:t>overstretched</w:t>
      </w:r>
      <w:proofErr w:type="gramEnd"/>
      <w:r>
        <w:t xml:space="preserve"> extension systems, especially for broad campaigns, seasonal advisories, disease alerts, and initial awareness. Their contribution may include experts, data, studios, broadcaster access, and legitimacy, but in-kind participation is not a sustainable financing model unless accompanied by recurrent commissioning budgets. The very strong Ethiopian agri-food public sectors represent a good test of whether the partnerships in Keny</w:t>
      </w:r>
      <w:r>
        <w:t xml:space="preserve">a e.g. KALRO are replicable  </w:t>
      </w:r>
      <w:r>
        <w:rPr>
          <w:u w:val="single"/>
        </w:rPr>
        <w:t>CGIAR centers gain a route to translate science and learn what farmers ask for, but the weak response to the challenge call suggests that many centers still regard dissemination as communications rather than part of an adoption pathway.</w:t>
      </w:r>
      <w:r>
        <w:t xml:space="preserve"> NGOs and local organizations can provide trust, group mobilization, inclusion, and follow-up, yet their costs cannot be treated as free. The Challenge Fund should require each participating actor to specify what decision or behavior the content is intended to change, what it will invest after broadcast, and what benefit justifies that investment.</w:t>
      </w:r>
    </w:p>
    <w:p w14:paraId="686794E1" w14:textId="77777777" w:rsidR="004F0A92" w:rsidRDefault="003051DE">
      <w:pPr>
        <w:pStyle w:val="SectionHeading"/>
      </w:pPr>
      <w:r>
        <w:t>Scaling Ambition and Stage of Development</w:t>
      </w:r>
    </w:p>
    <w:p w14:paraId="68C75C78" w14:textId="38D67B67" w:rsidR="004F0A92" w:rsidRDefault="003051DE">
      <w:r>
        <w:rPr>
          <w:b/>
          <w:i/>
        </w:rPr>
        <w:t xml:space="preserve">A media target presented as an impact target. </w:t>
      </w:r>
      <w:r>
        <w:t xml:space="preserve">The stated ambition is to reach approximately 20 million households across Kenya, Zambia, and Ethiopia by 2030, with intermediate targets around 10 million in 2026 and 16 million by 2028. The goals for 2026 seem to be on target, it is less clear </w:t>
      </w:r>
      <w:r>
        <w:lastRenderedPageBreak/>
        <w:t xml:space="preserve">whether </w:t>
      </w:r>
      <w:proofErr w:type="gramStart"/>
      <w:r>
        <w:t>the 2028</w:t>
      </w:r>
      <w:proofErr w:type="gramEnd"/>
      <w:r>
        <w:t xml:space="preserve"> is on track. This is achievable as a communications ambition. It is not yet a complete scaling ambition because the denominator and outcome are ambiguous. “Reach” may refer to household members, viewers, unique farmers, regular viewers, digital user</w:t>
      </w:r>
      <w:r>
        <w:t xml:space="preserve">s, or individuals </w:t>
      </w:r>
      <w:r>
        <w:t>exposed to one advisory. Multi-channel delivery creates double counting, while a household member who watches is not necessarily the person who controls the relevant farm decision. More importantly, an audience total does not indicate whether a defined CGIAR innovation has been tried correctly and sustained.</w:t>
      </w:r>
    </w:p>
    <w:p w14:paraId="07A4F393" w14:textId="77777777" w:rsidR="007C74E4" w:rsidRDefault="003051DE">
      <w:r>
        <w:rPr>
          <w:b/>
          <w:i/>
        </w:rPr>
        <w:t xml:space="preserve">Nested ambition and conversion targets. </w:t>
      </w:r>
      <w:r>
        <w:t>The ambition should be restated as a hierarchy beyond reach to adoption, leveraging the data on adoption from Kenya. The three key questions are: (</w:t>
      </w:r>
      <w:proofErr w:type="spellStart"/>
      <w:r>
        <w:t>i</w:t>
      </w:r>
      <w:proofErr w:type="spellEnd"/>
      <w:r>
        <w:t xml:space="preserve">) whether similar adoption levels can be attained in Zambia and Ethiopia; (ii) what the impact of adoption is in those two countries; and (iii) whether initial adoption is expanded and sustained in all three countries. </w:t>
      </w:r>
    </w:p>
    <w:p w14:paraId="4333548A" w14:textId="5E20FB48" w:rsidR="004F0A92" w:rsidRDefault="00E011D3">
      <w:r>
        <w:t>In terms of a hierarchy of adoption, this should be seen as having five phases. First, report deduplicated, repeated exposure by country, channel, farmer segment, and advisory. Second, set comprehension and relevance targets for priority messages. Third, establish trial and sustained-adoption targets for a limited portfolio of innovations selected because enabling conditions exist or can be created. Fourth, measure benefits and distributional outcomes in representative cohorts. The project should not promise that all 20 million households will adopt. It should state a plausible conversion rate for different innovation categories. Low-cost management messages may convert at high rates; capital-intensive technologies may convert at much lower rates unless content is linked to suppliers, finance, and services. This makes the ambition honest without diminishing it.</w:t>
      </w:r>
    </w:p>
    <w:p w14:paraId="233F1005" w14:textId="056E6841" w:rsidR="004F0A92" w:rsidRDefault="003051DE">
      <w:r>
        <w:rPr>
          <w:b/>
          <w:i/>
        </w:rPr>
        <w:t xml:space="preserve">Different country stages. </w:t>
      </w:r>
      <w:r>
        <w:t xml:space="preserve">Kenya is already scaling as a media product and is in transition toward a more diversified and less donor-dependent platform. The immediate task is consolidation, evidence synthesis, platform governance, and stronger conversion from information to adoption. Zambia is in early replication and transition to scale: the brand and audience are growing, but sponsor markets, roadshow economics, digital integration, and recurrent finance are not yet mature. An MOU with Ethiopia is not yet been agreed upon with the </w:t>
      </w:r>
      <w:r>
        <w:t xml:space="preserve">government, so this is at what might be called a pre-entry or proof-of-market proposition, not an active scaling </w:t>
      </w:r>
      <w:proofErr w:type="gramStart"/>
      <w:r>
        <w:t>pathways</w:t>
      </w:r>
      <w:proofErr w:type="gramEnd"/>
      <w:r>
        <w:t>. Expansion should be stage-gated on a formal partner agreement, regulatory and language feasibility, broadcaster economics, sponsor demand, government interest, and evidence that the minimum viable platform is functioning in Zambia and leading to adoption and impact. Geographic expansion before the operating model is stable would spread management attention and increase recurrent liabili</w:t>
      </w:r>
      <w:r>
        <w:t>ties.</w:t>
      </w:r>
    </w:p>
    <w:p w14:paraId="45565A25" w14:textId="77777777" w:rsidR="004F0A92" w:rsidRDefault="003051DE">
      <w:pPr>
        <w:pStyle w:val="SectionHeading"/>
      </w:pPr>
      <w:r>
        <w:t>Scaling Pathway and Actor Roles</w:t>
      </w:r>
    </w:p>
    <w:p w14:paraId="1CCD1E7A" w14:textId="77777777" w:rsidR="004F0A92" w:rsidRDefault="003051DE">
      <w:r>
        <w:rPr>
          <w:b/>
          <w:i/>
        </w:rPr>
        <w:t xml:space="preserve">The most plausible pathway. </w:t>
      </w:r>
      <w:r>
        <w:t xml:space="preserve">The practical pathway begins when CGIAR, government, or a commercial actor identifies a priority innovation and co-finances an adoption-oriented content package. </w:t>
      </w:r>
      <w:proofErr w:type="spellStart"/>
      <w:r>
        <w:t>Mediae</w:t>
      </w:r>
      <w:proofErr w:type="spellEnd"/>
      <w:r>
        <w:t xml:space="preserve"> converts the innovation into segmented messages and distributes them through the appropriate channels. Interested farmers are directed to </w:t>
      </w:r>
      <w:proofErr w:type="spellStart"/>
      <w:r>
        <w:t>iShamba</w:t>
      </w:r>
      <w:proofErr w:type="spellEnd"/>
      <w:r>
        <w:t xml:space="preserve"> or </w:t>
      </w:r>
      <w:proofErr w:type="spellStart"/>
      <w:r>
        <w:t>iMunda</w:t>
      </w:r>
      <w:proofErr w:type="spellEnd"/>
      <w:r>
        <w:t>, suppliers, finance, service providers, government extension, or local organizations depending on the innovation. Data on inquiries, transactions, trial, repeat use, and benefits feed bac</w:t>
      </w:r>
      <w:r>
        <w:t>k to the innovation owner and production team. Successful packages generate repeat commissions and can be adapted to additional regions or countries. This is a plausible service-platform pathway. It differs from the looser theory that more content and more viewers will, through general institutionalization, become a sustainable extension system.</w:t>
      </w:r>
    </w:p>
    <w:p w14:paraId="0416EA6B" w14:textId="77777777" w:rsidR="004F0A92" w:rsidRDefault="003051DE">
      <w:proofErr w:type="spellStart"/>
      <w:r>
        <w:rPr>
          <w:b/>
          <w:i/>
        </w:rPr>
        <w:lastRenderedPageBreak/>
        <w:t>Mediae</w:t>
      </w:r>
      <w:proofErr w:type="spellEnd"/>
      <w:r>
        <w:rPr>
          <w:b/>
          <w:i/>
        </w:rPr>
        <w:t xml:space="preserve"> as operational driver. </w:t>
      </w:r>
      <w:proofErr w:type="spellStart"/>
      <w:r>
        <w:t>Mediae</w:t>
      </w:r>
      <w:proofErr w:type="spellEnd"/>
      <w:r>
        <w:t xml:space="preserve"> has the strongest incentive and capability to drive audience growth, production quality, sponsor acquisition, and product development. Its brand, staff, </w:t>
      </w:r>
      <w:r>
        <w:t xml:space="preserve">broadcaster relationships, and accumulated practical knowledge are not readily transferable to a public agency or CGIAR center. </w:t>
      </w:r>
      <w:proofErr w:type="spellStart"/>
      <w:r>
        <w:t>Mediae</w:t>
      </w:r>
      <w:proofErr w:type="spellEnd"/>
      <w:r>
        <w:t xml:space="preserve"> should therefore be acknowledged as the operational scaling driver rather than described merely as an implementing partner. Its value proposition is revenue, market growth, and a defensible position as the region’s trusted agricultural content producer. The accompanying obligation is to provide transparent costs, invest its own resources in platform development and sponsor a</w:t>
      </w:r>
      <w:r>
        <w:t>cquisition, preserve editorial standards, and accept performance metrics that extend beyond audience size.</w:t>
      </w:r>
    </w:p>
    <w:p w14:paraId="7E2BB1E8" w14:textId="77777777" w:rsidR="004F0A92" w:rsidRDefault="003051DE">
      <w:r>
        <w:rPr>
          <w:b/>
          <w:i/>
        </w:rPr>
        <w:t xml:space="preserve">CGIAR as broker and guarantor, not permanent operator. </w:t>
      </w:r>
      <w:r>
        <w:t xml:space="preserve">CGIAR has comparative </w:t>
      </w:r>
      <w:proofErr w:type="gramStart"/>
      <w:r>
        <w:t>advantage</w:t>
      </w:r>
      <w:proofErr w:type="gramEnd"/>
      <w:r>
        <w:t xml:space="preserve"> in scientific curation, access to innovations, quality assurance, evaluation, and brokering across centers. It can help identify which technical packages are </w:t>
      </w:r>
      <w:proofErr w:type="gramStart"/>
      <w:r>
        <w:t>actually ready</w:t>
      </w:r>
      <w:proofErr w:type="gramEnd"/>
      <w:r>
        <w:t xml:space="preserve"> for farmer promotion and can push innovation teams to simplify or sequence complex bundles. It should not become the permanent owner of a media operation or the payer of last resort for all public-good content. The Content Generation Platform should make CGIAR participation easier through standard specific</w:t>
      </w:r>
      <w:r>
        <w:t>ations, costing, evidence requirements, and contracting. Each center should pay or mobilize funds when the platform is integral to its scaling strategy. S4I’s role is to establish the transaction system and demonstrate its value, not to replace demand from centers with indefinite matching grants.</w:t>
      </w:r>
    </w:p>
    <w:p w14:paraId="6D550378" w14:textId="75D5292D" w:rsidR="004F0A92" w:rsidRDefault="003051DE">
      <w:r>
        <w:rPr>
          <w:b/>
          <w:i/>
        </w:rPr>
        <w:t xml:space="preserve">Government as commissioner and integrator. </w:t>
      </w:r>
      <w:r>
        <w:t>Governments are potential scaling actors for public-interest content but are unlikely to manage the regional platform. Their credible role is to commission defined campaigns, provide authoritative data and experts, link messages to extension and input programs, and incorporate media costs into recurrent budgets. A memorandum of understanding without a budget and workplan is not a pathway. In Ethiopia, the key market-entry test should be whether a named ministry unit or public entity like ATI will commit air</w:t>
      </w:r>
      <w:r>
        <w:t>time, staff, data, follow-up capacity, or cash for a specific advisory. Political endorsement is useful but must be converted into operational commissioning and linkage to services.</w:t>
      </w:r>
    </w:p>
    <w:p w14:paraId="71730BE6" w14:textId="77777777" w:rsidR="004F0A92" w:rsidRDefault="003051DE">
      <w:r>
        <w:rPr>
          <w:b/>
          <w:i/>
        </w:rPr>
        <w:t xml:space="preserve">Private firms, broadcasters, and telecommunications companies. </w:t>
      </w:r>
      <w:r>
        <w:t>Private firms provide both content finance and complementary delivery. Their commitment is strongest when they invest cash, import or stock products, run demonstrations, train dealers, answer leads, provide finance, and maintain after-sales service. Broadcasters contribute distribution and may share revenue or airtime; telecommunications companies can reduce the cost of SMS, IVR, or data and facilitate response tracking. These actors should be judged by repeat investment and transactions rather than logos o</w:t>
      </w:r>
      <w:r>
        <w:t>n a partnership slide. The platform needs commercial agreements defining lead ownership, data privacy, response standards, geographic availability, and recourse when products are unsuitable or unavailable.</w:t>
      </w:r>
    </w:p>
    <w:p w14:paraId="659C79C1" w14:textId="3F9CF642" w:rsidR="004F0A92" w:rsidRDefault="003051DE">
      <w:r>
        <w:rPr>
          <w:b/>
          <w:i/>
        </w:rPr>
        <w:t xml:space="preserve">The orchestration and governance gap. </w:t>
      </w:r>
      <w:r>
        <w:t xml:space="preserve">No single actor presently has both the authority and incentive to guarantee scientific supply, production, public-good finance, commercial sponsorship, distribution, farmer services, and evaluation. The solution is not to search for a mythical all-purpose owner. It is to establish a governance compact around </w:t>
      </w:r>
      <w:proofErr w:type="spellStart"/>
      <w:r>
        <w:t>Mediae</w:t>
      </w:r>
      <w:proofErr w:type="spellEnd"/>
      <w:r>
        <w:t xml:space="preserve"> as operator. A small governing mechanism for the Challenge Fund and content library should set selection criteria, scientific review, editorial independence, intellectual property, data governanc</w:t>
      </w:r>
      <w:r>
        <w:t xml:space="preserve">e, conflict-of-interest, and co-financing rules. Each content package should have one accountable conversion owner responsible for what </w:t>
      </w:r>
      <w:r>
        <w:lastRenderedPageBreak/>
        <w:t>happens after broadcast. This converts a stakeholder network into a sequence of accountable transactions.</w:t>
      </w:r>
    </w:p>
    <w:p w14:paraId="3EF7BD0D" w14:textId="77777777" w:rsidR="004F0A92" w:rsidRDefault="003051DE">
      <w:pPr>
        <w:pStyle w:val="SectionHeading"/>
      </w:pPr>
      <w:r>
        <w:t>Scaling Strategies: Strengths and Weaknesses</w:t>
      </w:r>
    </w:p>
    <w:p w14:paraId="411C70B1" w14:textId="4C797F02" w:rsidR="004F0A92" w:rsidRDefault="003051DE">
      <w:r>
        <w:rPr>
          <w:b/>
          <w:i/>
        </w:rPr>
        <w:t xml:space="preserve">Mass communication and trusted demonstration. </w:t>
      </w:r>
      <w:r>
        <w:t>The dominant strategy is broad dissemination through trusted media. It is powerful for problems caused by awareness, comprehension, perceived complexity, or mistrust. The makeover format provides visible proof, relatable farmers, and narrative continuity that conventional extension messages rarely achieve. It can create social diffusion as viewers discuss episodes and copy neighbors. Its limitation is that it mainly reduces information and confidence barriers. It cannot by itself create water, credit, machi</w:t>
      </w:r>
      <w:r>
        <w:t>nery services, quality seed, veterinary supply, land rights, or markets; what it can do is do a better job of linkages to access, affordability and with actors who are addressing bottlenecks in those areas.</w:t>
      </w:r>
    </w:p>
    <w:p w14:paraId="7B1C0F63" w14:textId="77777777" w:rsidR="004F0A92" w:rsidRDefault="003051DE">
      <w:r>
        <w:rPr>
          <w:b/>
          <w:i/>
        </w:rPr>
        <w:t xml:space="preserve">Layered channels. </w:t>
      </w:r>
      <w:r>
        <w:t>The combination of television, radio, social media, call centers, and in-person roadshows is a thoughtful attempt to move from broad reach to deeper engagement. The strength is that different farmers and innovations require different channels. The weakness is the assumption that channel multiplication is automatically additive. Audiences overlap, transaction costs rise, and digital users may be more affluent than television or radio audiences. Each additional layer should have a testable conversion function</w:t>
      </w:r>
      <w:r>
        <w:t xml:space="preserve"> and incremental cost. For example, call centers may diagnose demand and provide advice; roadshows may solve trust and supplier-access problems; WhatsApp may support repeated reminders. Channels that do not improve conversion or inclusion at acceptable cost should not be treated as core components.</w:t>
      </w:r>
    </w:p>
    <w:p w14:paraId="7E87480A" w14:textId="04441B90" w:rsidR="004F0A92" w:rsidRDefault="003051DE">
      <w:r>
        <w:rPr>
          <w:b/>
          <w:i/>
        </w:rPr>
        <w:t xml:space="preserve">Challenge and matching finance. </w:t>
      </w:r>
      <w:r>
        <w:t xml:space="preserve">The Challenge Fund can change CGIAR behavior by requiring innovation teams to articulate target audiences and mobilize co-finance. It can also expose innovations to </w:t>
      </w:r>
      <w:proofErr w:type="spellStart"/>
      <w:r>
        <w:t>Mediae’s</w:t>
      </w:r>
      <w:proofErr w:type="spellEnd"/>
      <w:r>
        <w:t xml:space="preserve"> discipline of simplicity and farmer relevance. The lower-than-planned response and need for substantial subsidy indicate that the mechanism remains experimental. Requiring a private partner for every submission may exclude high-value public goods and create superficial sponsorship. Future calls should have separate windows for commercia</w:t>
      </w:r>
      <w:r>
        <w:t xml:space="preserve">l, public-sector, and public-good content, and selection should depend on readiness of the adoption pathway, not only scientific merit or willingness to contribute an episode.  </w:t>
      </w:r>
      <w:r>
        <w:rPr>
          <w:u w:val="single"/>
        </w:rPr>
        <w:t>They should particularly focus on solutions that are explicitly scaling such as those receiving funding or in-kind support from the Scaling for Impact program, S4I</w:t>
      </w:r>
      <w:r>
        <w:t>.</w:t>
      </w:r>
    </w:p>
    <w:p w14:paraId="4EBC3E2F" w14:textId="77777777" w:rsidR="00B40394" w:rsidRDefault="003051DE">
      <w:r>
        <w:rPr>
          <w:b/>
          <w:i/>
        </w:rPr>
        <w:t xml:space="preserve">Feedback to research and innovation design. </w:t>
      </w:r>
      <w:r>
        <w:t>The proposed platform could do more than disseminate CGIAR science. Call-center questions, audience responses, and conversion data can reveal which innovations farmers understand, want, can afford, and abandon. This could improve CGIAR research prioritization and force teams to confront the scalability of over-complex packages. In terms of coaching, the strongest practical recommendations are for SSU to present:</w:t>
      </w:r>
    </w:p>
    <w:p w14:paraId="40C55AC7" w14:textId="67791176" w:rsidR="00B40394" w:rsidRDefault="003051DE" w:rsidP="00B40394">
      <w:pPr>
        <w:pStyle w:val="ListParagraph"/>
        <w:numPr>
          <w:ilvl w:val="0"/>
          <w:numId w:val="11"/>
        </w:numPr>
      </w:pPr>
      <w:r>
        <w:t xml:space="preserve">low-, medium-, and high-cost options within an existing innovation package or bundle, with sequenced adoption pathways, </w:t>
      </w:r>
    </w:p>
    <w:p w14:paraId="51DBAF6F" w14:textId="6AFE6FA9" w:rsidR="000A3486" w:rsidRDefault="000A3486" w:rsidP="00B40394">
      <w:pPr>
        <w:pStyle w:val="ListParagraph"/>
        <w:numPr>
          <w:ilvl w:val="0"/>
          <w:numId w:val="11"/>
        </w:numPr>
      </w:pPr>
      <w:r>
        <w:t>track the conversion or hierarchy of adoption from initial trials to repeated adoption and expanded surface areas</w:t>
      </w:r>
    </w:p>
    <w:p w14:paraId="01104C17" w14:textId="6DF05093" w:rsidR="00B40394" w:rsidRDefault="005A15B1" w:rsidP="00B40394">
      <w:pPr>
        <w:pStyle w:val="ListParagraph"/>
        <w:numPr>
          <w:ilvl w:val="0"/>
          <w:numId w:val="11"/>
        </w:numPr>
      </w:pPr>
      <w:r>
        <w:t xml:space="preserve">linkages to actors addressing bottlenecks to adoption or providing supportive extension services. </w:t>
      </w:r>
    </w:p>
    <w:p w14:paraId="475D7D8B" w14:textId="276CFA16" w:rsidR="000A3486" w:rsidRDefault="000A3486" w:rsidP="00B40394">
      <w:pPr>
        <w:pStyle w:val="ListParagraph"/>
        <w:numPr>
          <w:ilvl w:val="0"/>
          <w:numId w:val="11"/>
        </w:numPr>
      </w:pPr>
      <w:r>
        <w:lastRenderedPageBreak/>
        <w:t xml:space="preserve">Applied research on longitudinal adoption using small sample surveys and not RCTS, what types of innovations are adopted (and which components within bundles) and why, the impact of adoption, and the role of individual demographics and contextual factors in affecting adoption. </w:t>
      </w:r>
    </w:p>
    <w:p w14:paraId="26E3AA3C" w14:textId="6E384DDF" w:rsidR="004F0A92" w:rsidRDefault="003051DE" w:rsidP="00B40394">
      <w:proofErr w:type="spellStart"/>
      <w:r>
        <w:t>Mediae</w:t>
      </w:r>
      <w:proofErr w:type="spellEnd"/>
      <w:r>
        <w:t xml:space="preserve"> can play a valuable scaling role by translating a technically ideal bundle into feasible first steps without compromising scientific accuracy. That feedback function should be formalized as a product for CGIAR, not left as anecdotal learning.</w:t>
      </w:r>
    </w:p>
    <w:p w14:paraId="4BBA59AE" w14:textId="77777777" w:rsidR="009E34C9" w:rsidRDefault="003051DE">
      <w:pPr>
        <w:pStyle w:val="SectionHeading"/>
      </w:pPr>
      <w:r>
        <w:t>Bottlenecks, Incentives, Capacity, and Weakest Links</w:t>
      </w:r>
    </w:p>
    <w:p w14:paraId="470F3337" w14:textId="218F2CDD" w:rsidR="009E34C9" w:rsidRDefault="003051DE">
      <w:r>
        <w:rPr>
          <w:b/>
          <w:i/>
        </w:rPr>
        <w:t xml:space="preserve">The weakest link is conversion, not financing. </w:t>
      </w:r>
      <w:r>
        <w:t xml:space="preserve">Shamba Shape Up is very good at reducing information, comprehension, and trust barriers. It is much less clear that it can consistently move farmers from understanding an innovation to trying it, using it correctly, repeating it, and expanding it. For many of the innovations that CGIAR most wants to scale, information is only one part of the problem. Farmers may still lack cash, credit, water, equipment, </w:t>
      </w:r>
      <w:proofErr w:type="gramStart"/>
      <w:r>
        <w:t>inputs</w:t>
      </w:r>
      <w:proofErr w:type="gramEnd"/>
      <w:r>
        <w:t>, labor, services, market access, or authority within the household to act. The most important bot</w:t>
      </w:r>
      <w:r>
        <w:t>tleneck is therefore the absence of a systematic way to identify what prevents adoption of each innovation and to connect the content to actors who can remove that constraint. More viewers and better explanations do not resolve this gap; they can simply create better-informed non-adopters.</w:t>
      </w:r>
    </w:p>
    <w:p w14:paraId="2D2C9801" w14:textId="77777777" w:rsidR="009E34C9" w:rsidRDefault="003051DE">
      <w:r>
        <w:rPr>
          <w:b/>
          <w:i/>
        </w:rPr>
        <w:t xml:space="preserve">Innovation selection is still too generic. </w:t>
      </w:r>
      <w:r>
        <w:t xml:space="preserve">The distinction </w:t>
      </w:r>
      <w:proofErr w:type="gramStart"/>
      <w:r>
        <w:t>among</w:t>
      </w:r>
      <w:proofErr w:type="gramEnd"/>
      <w:r>
        <w:t xml:space="preserve"> low-, medium-, and high-cost or complexity innovations is useful, but it does not go far enough. Cost and complexity are only two of the characteristics that determine whether an innovation will spread. The research and selection framework should also examine whether the innovation is divisible and can be tried on a small area; whether the decision is reversible; how quickly benefits become visible; whether returns arrive in the same season; whether adoption depends on a new supplier, </w:t>
      </w:r>
      <w:r>
        <w:t xml:space="preserve">service provider, loan, market relationship, or collective action; how much behavior must change; and whether the intended user controls the land, labor, cash, or equipment required. SSU should not simply translate whatever technical package is submitted. It should help S4I and the innovation owner decide whether the offer is </w:t>
      </w:r>
      <w:proofErr w:type="gramStart"/>
      <w:r>
        <w:t>actually ready</w:t>
      </w:r>
      <w:proofErr w:type="gramEnd"/>
      <w:r>
        <w:t xml:space="preserve"> for mass promotion, which component is the feasible entry point, and what conditions must exist for farmers to proceed beyond that first step.</w:t>
      </w:r>
    </w:p>
    <w:p w14:paraId="22D01BBB" w14:textId="77777777" w:rsidR="009E34C9" w:rsidRDefault="003051DE">
      <w:r>
        <w:rPr>
          <w:b/>
          <w:i/>
        </w:rPr>
        <w:t xml:space="preserve">Access and affordability require named actors, not generic partnerships. </w:t>
      </w:r>
      <w:r>
        <w:t xml:space="preserve">For every promoted innovation, the team should identify who is expected to do what after the broadcast. A supplier may need to stock inputs in the relevant districts; a machinery firm or contractor may need to provide a service; a financial institution or public program may need to offer credit or a subsidy; an extension agency or NGO may need to provide follow-up; an aggregator may need to purchase output. </w:t>
      </w:r>
      <w:proofErr w:type="spellStart"/>
      <w:r>
        <w:t>Mediae</w:t>
      </w:r>
      <w:proofErr w:type="spellEnd"/>
      <w:r>
        <w:t xml:space="preserve"> can identify and broker these linkages, but it cannot substitute for them. The relevant test i</w:t>
      </w:r>
      <w:r>
        <w:t>s not whether an actor appears in the episode or on a partner slide, but whether it has the motivation, coverage, capacity, and resources to respond to farmer demand. Where no credible actor can address the binding constraint, the innovation should either be redesigned and sequenced differently or not presented as ready to scale.</w:t>
      </w:r>
    </w:p>
    <w:p w14:paraId="24C4A5B5" w14:textId="4024C669" w:rsidR="009E34C9" w:rsidRDefault="003051DE">
      <w:r>
        <w:rPr>
          <w:b/>
          <w:i/>
        </w:rPr>
        <w:t xml:space="preserve">The weak CGIAR pipeline is itself a scaling bottleneck. </w:t>
      </w:r>
      <w:r>
        <w:t xml:space="preserve">The Challenge Fund expected six finalists and secured only three. That result matters. It suggests that CGIAR centers and innovation teams do not yet routinely see professional media, farmer feedback, and post-broadcast conversion as part of their scaling pathway or are unwilling to allocate budgets and staff to it. S4I should not solve this by </w:t>
      </w:r>
      <w:r>
        <w:lastRenderedPageBreak/>
        <w:t xml:space="preserve">continuing to subsidize an open-ended content platform and hoping that demand eventually appears. It should make the other CGIAR centers, or perhaps even S4I-funded </w:t>
      </w:r>
      <w:r>
        <w:t xml:space="preserve">Scaling Solutions, a major pipeline, select a small number whose pathways genuinely require mass communication and farmer response, and require those teams to remain responsible for technical quality, </w:t>
      </w:r>
      <w:r>
        <w:t xml:space="preserve">complementary services, and adoption outcomes. This would test whether SSU adds value to the S4I portfolio rather than merely whether </w:t>
      </w:r>
      <w:proofErr w:type="spellStart"/>
      <w:r>
        <w:t>Mediae</w:t>
      </w:r>
      <w:proofErr w:type="spellEnd"/>
      <w:r>
        <w:t xml:space="preserve"> can produce attractive content.</w:t>
      </w:r>
    </w:p>
    <w:p w14:paraId="2715E340" w14:textId="272FA8C6" w:rsidR="009E34C9" w:rsidRDefault="003051DE">
      <w:r>
        <w:rPr>
          <w:b/>
          <w:i/>
        </w:rPr>
        <w:t xml:space="preserve">The evidence is extensive but not sufficiently targeted. </w:t>
      </w:r>
      <w:proofErr w:type="spellStart"/>
      <w:r>
        <w:t>Mediae</w:t>
      </w:r>
      <w:proofErr w:type="spellEnd"/>
      <w:r>
        <w:t xml:space="preserve"> has unusually strong audience and KAP data, but the current evidence is better at showing reach, learning, and self-reported change than explaining why some innovations are adopted and others are not. The next research should be narrower and more practical. It should follow small, </w:t>
      </w:r>
      <w:proofErr w:type="spellStart"/>
      <w:r>
        <w:t>logitudinal</w:t>
      </w:r>
      <w:proofErr w:type="spellEnd"/>
      <w:r>
        <w:t xml:space="preserve"> samples for selected innovations from exposure through inquiry, trial, repeat use, expansion, correct use, </w:t>
      </w:r>
      <w:proofErr w:type="spellStart"/>
      <w:r>
        <w:t>disadoption</w:t>
      </w:r>
      <w:proofErr w:type="spellEnd"/>
      <w:r>
        <w:t>, and impact; compare adoption of individual components with adoption of the full bundle; and</w:t>
      </w:r>
      <w:r>
        <w:t xml:space="preserve"> test how outcomes vary with affordability, access, farmer characteristics, household decision authority, and the presence or absence of complementary actors. This does not require an RCT for every episode. It requires disciplined longitudinal and mixed-method research designed to improve innovation selection, content design, sequencing, and partner choice.</w:t>
      </w:r>
    </w:p>
    <w:p w14:paraId="0DBBE791" w14:textId="24BEA01B" w:rsidR="009E34C9" w:rsidRDefault="003051DE">
      <w:r>
        <w:rPr>
          <w:b/>
          <w:i/>
        </w:rPr>
        <w:t xml:space="preserve">Country transfer remains unproven. </w:t>
      </w:r>
      <w:r>
        <w:t>Kenya is a mature and unusually favorable case, with a strong brand, a relatively developed media and sponsor market, national suppliers, and years of relationship building. Zambia is valuable precisely because it tests the model in a poorer setting with weaker commercial and public-sector systems. Growing audience numbers are encouraging, but they do not yet establish that viewers adopt and sustain innovations, that roadshows and supplier linkages are affordable and effective, or that the model works witho</w:t>
      </w:r>
      <w:r>
        <w:t>ut the same strong market system conditions as Kenya. Ethiopia presents a different opportunity: a large farming population and a strong public agricultural system, but no signed operating agreement and no tested production, language, broadcaster, or extension-integration model. The bottleneck is not simply entering more countries; it is learning which national conditions are required and how the model must change when those conditions differ.</w:t>
      </w:r>
    </w:p>
    <w:p w14:paraId="7CAF6CEE" w14:textId="77777777" w:rsidR="009E34C9" w:rsidRDefault="003051DE">
      <w:r>
        <w:rPr>
          <w:b/>
          <w:i/>
        </w:rPr>
        <w:t xml:space="preserve">Capacity must be assessed beyond media production. </w:t>
      </w:r>
      <w:proofErr w:type="spellStart"/>
      <w:r>
        <w:t>Mediae</w:t>
      </w:r>
      <w:proofErr w:type="spellEnd"/>
      <w:r>
        <w:t xml:space="preserve"> clearly has the production and audience-development capability to run the shows. The less proven capacities are innovation screening, simplification of complex CGIAR bundles, brokerage with bottleneck-solving actors, management of farmer referrals, and analysis of adoption and impact by innovation. The Alliance and S4I also need to provide more than technical content and grant administration. They must help innovation teams define realistic adoption pathways, secure commitments from relevant public, </w:t>
      </w:r>
      <w:r>
        <w:t>private, or NGO actors, and use the findings to change the innovation package when farmers cannot act on the original offer. Without those functions, the Content Generation Platform remains a strong communications service, not a complete scaling mechanism.</w:t>
      </w:r>
    </w:p>
    <w:p w14:paraId="70F2DCB2" w14:textId="77777777" w:rsidR="009E34C9" w:rsidRDefault="003051DE">
      <w:pPr>
        <w:pStyle w:val="SectionHeading"/>
      </w:pPr>
      <w:r>
        <w:t>Sustainability, Funding Boundaries, and the Role of S4I</w:t>
      </w:r>
    </w:p>
    <w:p w14:paraId="30098AC8" w14:textId="4366FFAE" w:rsidR="009E34C9" w:rsidRDefault="003051DE">
      <w:r>
        <w:rPr>
          <w:b/>
          <w:i/>
        </w:rPr>
        <w:t>Financial self-sufficiency is not the right test.</w:t>
      </w:r>
      <w:r>
        <w:t xml:space="preserve"> Agricultural media and advisory content include both commercially sponsorable material and public goods that will continue to require </w:t>
      </w:r>
      <w:proofErr w:type="gramStart"/>
      <w:r>
        <w:t>donor</w:t>
      </w:r>
      <w:proofErr w:type="gramEnd"/>
      <w:r>
        <w:t xml:space="preserve">, government, CGIAR, or other public-purpose funding. There is no reason to assume that every country will converge toward Kenya's sponsorship mix, and no analytical value in treating continuing external finance as evidence of failure. The relevant question is whether funders and innovation </w:t>
      </w:r>
      <w:r>
        <w:lastRenderedPageBreak/>
        <w:t xml:space="preserve">owners judge the service valuable enough to commission it for defined purposes, </w:t>
      </w:r>
      <w:r>
        <w:t>not whether the platform becomes fully commercial.</w:t>
      </w:r>
    </w:p>
    <w:p w14:paraId="791DE6B5" w14:textId="77777777" w:rsidR="009E34C9" w:rsidRDefault="003051DE">
      <w:r>
        <w:rPr>
          <w:b/>
          <w:i/>
        </w:rPr>
        <w:t xml:space="preserve">Separate </w:t>
      </w:r>
      <w:proofErr w:type="spellStart"/>
      <w:r>
        <w:rPr>
          <w:b/>
          <w:i/>
        </w:rPr>
        <w:t>Mediae's</w:t>
      </w:r>
      <w:proofErr w:type="spellEnd"/>
      <w:r>
        <w:rPr>
          <w:b/>
          <w:i/>
        </w:rPr>
        <w:t xml:space="preserve"> long-term business from S4I's funding decision. </w:t>
      </w:r>
      <w:proofErr w:type="spellStart"/>
      <w:r>
        <w:t>Mediae</w:t>
      </w:r>
      <w:proofErr w:type="spellEnd"/>
      <w:r>
        <w:t xml:space="preserve"> may continue to operate SSU, Munda Makeover, and related services through whatever combination of sponsors, </w:t>
      </w:r>
      <w:r>
        <w:t xml:space="preserve">donors, governments, projects, broadcasters, and fee-for-service contracts proves workable. S4I does not need to design that entire financing model or close every recurring funding gap. Its responsibility is narrower: determine whether time-limited support can generate learning and adoption that the wider CGIAR portfolio would not otherwise obtain. S4I should therefore fund country-transfer tests, pilots with other S4I innovations, and targeted research. It should not fund routine Kenya production, general </w:t>
      </w:r>
      <w:proofErr w:type="spellStart"/>
      <w:r>
        <w:t>Mediae</w:t>
      </w:r>
      <w:proofErr w:type="spellEnd"/>
      <w:r>
        <w:t xml:space="preserve"> overhead, or an indefinite Content Generation Platform because other clients have not chosen to pay for it.</w:t>
      </w:r>
    </w:p>
    <w:p w14:paraId="2F002BDC" w14:textId="77777777" w:rsidR="009E34C9" w:rsidRDefault="003051DE">
      <w:r>
        <w:rPr>
          <w:b/>
          <w:i/>
        </w:rPr>
        <w:t xml:space="preserve">Sustainability of impact depends on the adoption pathway. </w:t>
      </w:r>
      <w:r>
        <w:t>Even a financially stable media platform does not create sustainable scaling if promoted innovations cannot be accessed, afforded, maintained, or marketed. The more important continuity question is whether the actors needed after the broadcast continue to perform their roles: suppliers respond to leads, service providers remain available, extension or NGO partners follow up, finance is accessible, and buyers or markets are functioning where required. These conditions will not be identical across innovations</w:t>
      </w:r>
      <w:r>
        <w:t xml:space="preserve"> and should not be folded into one generic exit strategy. S4I's final-year task is to demonstrate a few complete pathways and make clear which functions must be financed by the innovation owner or country program when SSU is commissioned in the future.</w:t>
      </w:r>
    </w:p>
    <w:p w14:paraId="349F5484" w14:textId="74251D31" w:rsidR="009E34C9" w:rsidRDefault="003051DE">
      <w:r>
        <w:rPr>
          <w:b/>
          <w:i/>
        </w:rPr>
        <w:t xml:space="preserve">Set a firm boundary rather than promise an artificial transition. </w:t>
      </w:r>
      <w:r>
        <w:t xml:space="preserve">S4I should be explicit that its funding is not an ongoing source of operating funding for the next few years. This boundary should not depend on </w:t>
      </w:r>
      <w:proofErr w:type="spellStart"/>
      <w:r>
        <w:t>Mediae</w:t>
      </w:r>
      <w:proofErr w:type="spellEnd"/>
      <w:r>
        <w:t xml:space="preserve"> reaching a particular private-finance percentage or proving that donors are no longer needed. It should depend on whether S4I has learned when the platform is an effective scaling instrument, what complementary conditions and actors it requires, and whether Zambia and Ethiopia provide credible evidence about transfer beyond Kenya. Thereafter, CGIAR programs,</w:t>
      </w:r>
      <w:r>
        <w:t xml:space="preserve"> governments, donors, NGOs, and firms can choose to purchase or support SSU when it fits their objectives. S4I should not remain the residual funder simply because the broader platform continues to depend on grants.</w:t>
      </w:r>
    </w:p>
    <w:p w14:paraId="6CE5F163" w14:textId="77777777" w:rsidR="009E34C9" w:rsidRDefault="003051DE">
      <w:pPr>
        <w:pStyle w:val="SectionHeading"/>
      </w:pPr>
      <w:r>
        <w:t>Recommendations for Action</w:t>
      </w:r>
    </w:p>
    <w:p w14:paraId="4C6A444C" w14:textId="77777777" w:rsidR="009E34C9" w:rsidRDefault="003051DE">
      <w:r>
        <w:rPr>
          <w:b/>
          <w:i/>
        </w:rPr>
        <w:t xml:space="preserve">Organize the strategy around two pathways. </w:t>
      </w:r>
      <w:r>
        <w:t>Every planning and reporting document should distinguish, at the outset, between scaling SSU/Munda Makeover into additional countries and using the platform to scale other CGIAR innovations. The first pathway should track country entry, audience development, local production capability, broadcaster and government relationships, and evidence that the model works in the new context. The second should track specific innovations from exposure through adoption and impact, including the contribution of complement</w:t>
      </w:r>
      <w:r>
        <w:t>ary actors. Shared activities can support both, but results should not be combined. This single change would make the scaling ambition, bottlenecks, and S4I additionality much clearer.</w:t>
      </w:r>
    </w:p>
    <w:p w14:paraId="3B589D8E" w14:textId="787B03CC" w:rsidR="009E34C9" w:rsidRDefault="003051DE">
      <w:r>
        <w:rPr>
          <w:b/>
          <w:i/>
        </w:rPr>
        <w:t xml:space="preserve">Select innovations for comparative learning. </w:t>
      </w:r>
      <w:r>
        <w:t xml:space="preserve">The pilot portfolio should include variation in cost and complexity, but selection should also reflect the other characteristics likely to determine adoption: whether the innovation can be tried on a small scale; whether results are visible quickly; whether farmers can reverse the decision; whether benefits arrive in the same season; whether new </w:t>
      </w:r>
      <w:r>
        <w:lastRenderedPageBreak/>
        <w:t>equipment, services, finance, or market relationships are required; and whether women, youth, tenants, or other intended users have authority over the relevant reso</w:t>
      </w:r>
      <w:r>
        <w:t xml:space="preserve">urces. The research design should compare both complete bundles and individual components. This is particularly important for CGIAR packages, where farmers may adopt one or two useful </w:t>
      </w:r>
      <w:proofErr w:type="gramStart"/>
      <w:r>
        <w:t>element</w:t>
      </w:r>
      <w:proofErr w:type="gramEnd"/>
      <w:r>
        <w:t xml:space="preserve"> before considering the whole innovation bundle. SSU should help identify a minimum feasible first step and a credible progression path, not simply divide an ideal bundle into three price categories.</w:t>
      </w:r>
    </w:p>
    <w:p w14:paraId="51A119CA" w14:textId="77777777" w:rsidR="009E34C9" w:rsidRDefault="003051DE">
      <w:r>
        <w:rPr>
          <w:b/>
          <w:i/>
        </w:rPr>
        <w:t xml:space="preserve">Build an adoption pathway, not just a content package. </w:t>
      </w:r>
      <w:r>
        <w:t xml:space="preserve">No S4I-supported segment should be produced without a clear statement of the adoption bottleneck and the actors required after the broadcast. When the main constraint is information, a clear and timely call to action may be enough. When the constraint is affordability, input availability, machinery, water, finance, extension, after-sales support, or market access, the content should be linked to actors that can address those constraints. Their role should be concrete: stocking products, offering a service, </w:t>
      </w:r>
      <w:r>
        <w:t>providing a loan or subsidy, responding to farmer inquiries, organizing demonstrations, supplying extension support, or purchasing output. The purpose is not to attach a costly roadshow or marketplace to every innovation. It is to use complementary mechanisms selectively, based on a diagnosis of why interested farmers otherwise cannot act.</w:t>
      </w:r>
    </w:p>
    <w:p w14:paraId="2C6745FB" w14:textId="77777777" w:rsidR="009E34C9" w:rsidRDefault="003051DE">
      <w:r>
        <w:rPr>
          <w:b/>
          <w:i/>
        </w:rPr>
        <w:t xml:space="preserve">Make the research agenda operational and targeted. </w:t>
      </w:r>
      <w:proofErr w:type="spellStart"/>
      <w:r>
        <w:t>Mediae</w:t>
      </w:r>
      <w:proofErr w:type="spellEnd"/>
      <w:r>
        <w:t xml:space="preserve"> and S4I should jointly develop a short research agenda around the selected pilots. At a minimum, it should track exposure, inquiry, trial, repeat adoption, expansion, correct use, </w:t>
      </w:r>
      <w:proofErr w:type="spellStart"/>
      <w:r>
        <w:t>disadoption</w:t>
      </w:r>
      <w:proofErr w:type="spellEnd"/>
      <w:r>
        <w:t xml:space="preserve">, and key livelihood or resilience outcomes by innovation and farmer segment. It should then test how those outcomes vary with affordability, access, behavior change, complementary services, gender and household decision authority, farm type, and country context. </w:t>
      </w:r>
      <w:proofErr w:type="gramStart"/>
      <w:r>
        <w:t>Small repeated</w:t>
      </w:r>
      <w:proofErr w:type="gramEnd"/>
      <w:r>
        <w:t xml:space="preserve"> samples and mixed methods are suffi</w:t>
      </w:r>
      <w:r>
        <w:t xml:space="preserve">cient; the study should not be delayed by a demand for an RCT. Existing KAP data should be reanalyzed by innovation and component rather than only by program or season. Findings should feed directly </w:t>
      </w:r>
      <w:r>
        <w:t>back into content selection, message design, sequencing, partner choice, and decisions about whether an innovation is ready for wider promotion.</w:t>
      </w:r>
    </w:p>
    <w:p w14:paraId="10F481BB" w14:textId="77777777" w:rsidR="009E34C9" w:rsidRDefault="003051DE">
      <w:r>
        <w:rPr>
          <w:b/>
          <w:i/>
        </w:rPr>
        <w:t xml:space="preserve">Treat Zambia as a proof of transfer, not as a completed success. </w:t>
      </w:r>
      <w:r>
        <w:t>Munda Makeover has shown that the format can attract an audience in Zambia, but the more important test is still underway. S4I should require evidence on which practices viewers adopt, whether adoption persists, how the roadshows and input linkages affect conversion, which farmers are excluded by affordability or access, and what the cost is relative to the Kenya model. Zambia is valuable precisely because it is harder. If the platform only works when there is a dense sponsor market, national supplier cover</w:t>
      </w:r>
      <w:r>
        <w:t>age, and relatively commercial farmers, that is an important boundary condition. If it works with a different mix of public, NGO, and private actors, that is equally important learning.</w:t>
      </w:r>
    </w:p>
    <w:p w14:paraId="0F21AAB8" w14:textId="77777777" w:rsidR="009E34C9" w:rsidRDefault="003051DE">
      <w:r>
        <w:rPr>
          <w:b/>
          <w:i/>
        </w:rPr>
        <w:t xml:space="preserve">Move Ethiopia from opportunity to a defined experiment. </w:t>
      </w:r>
      <w:r>
        <w:t>The immediate Ethiopia objective should be a formal agreement with a credible national counterpart and a small first implementation with an explicit learning agenda. The team should decide which language and production model will be used, which broadcaster and public institutions will participate, how the content will connect to Ethiopia's extension system, and which initial innovations are suitable for testing. Ethiopia should not be judged against Kenya's sponsorship model; it may rely more heavily on pub</w:t>
      </w:r>
      <w:r>
        <w:t>lic-sector partnership and commissioned content. What matters is whether the national actors see sufficient value to co-design and use the platform and whether farmers act on the advice. Uganda should not appear in the forward workplan because the team explicitly dropped it.</w:t>
      </w:r>
    </w:p>
    <w:p w14:paraId="199F08C6" w14:textId="77777777" w:rsidR="009E34C9" w:rsidRDefault="003051DE">
      <w:r>
        <w:rPr>
          <w:b/>
          <w:i/>
        </w:rPr>
        <w:lastRenderedPageBreak/>
        <w:t xml:space="preserve">Set a firm boundary around S4I funding. </w:t>
      </w:r>
      <w:r>
        <w:t xml:space="preserve">S4I should finance only three categories of activity: time-limited expansion tests in Zambia and Ethiopia; content and conversion pilots for other S4I innovations; and targeted research that improves scaling decisions. It should not finance routine Kenya production, general </w:t>
      </w:r>
      <w:proofErr w:type="spellStart"/>
      <w:r>
        <w:t>Mediae</w:t>
      </w:r>
      <w:proofErr w:type="spellEnd"/>
      <w:r>
        <w:t xml:space="preserve"> overhead, an open-ended Content Generation Platform, or the recurring gap between total costs and whatever other funders choose to pay. Nor should </w:t>
      </w:r>
      <w:proofErr w:type="spellStart"/>
      <w:r>
        <w:t>continued</w:t>
      </w:r>
      <w:proofErr w:type="spellEnd"/>
      <w:r>
        <w:t xml:space="preserve"> funding be conditioned on a largely artificial promise that private and g</w:t>
      </w:r>
      <w:r>
        <w:t>overnment financing will steadily replace donors. At the end of 2027, S4I should either conclude that the platform is a useful instrument to be purchased selectively by innovation owners and country programs, or that it does not add enough value beyond existing media and extension channels. In either case, S4I's role as a core funder should end.</w:t>
      </w:r>
    </w:p>
    <w:p w14:paraId="052042B0" w14:textId="77777777" w:rsidR="009E34C9" w:rsidRDefault="003051DE">
      <w:r>
        <w:rPr>
          <w:b/>
          <w:i/>
        </w:rPr>
        <w:t xml:space="preserve">Use decision gates that reflect the real purpose. </w:t>
      </w:r>
      <w:r>
        <w:t>The 2027 decision should turn on adoption and learning, not on audience growth alone and not on a generic financing score. The key gates are whether the platform has produced measurable additional adoption for selected S4I innovations; whether it has identified which innovation types and enabling conditions are most suitable; whether linkages to bottleneck-solving actors have improved conversion; whether Zambia has demonstrated transfer beyond the Kenyan context; and whether Ethiopia has a credible local pa</w:t>
      </w:r>
      <w:r>
        <w:t>rtnership and operational pilot. If these conditions are not met, S4I should not continue funding on the grounds that another season may eventually produce them.</w:t>
      </w:r>
    </w:p>
    <w:sectPr w:rsidR="009E34C9" w:rsidSect="00034616">
      <w:footerReference w:type="default" r:id="rId8"/>
      <w:pgSz w:w="11905" w:h="16838"/>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8C137" w14:textId="77777777" w:rsidR="003051DE" w:rsidRDefault="003051DE">
      <w:pPr>
        <w:spacing w:after="0" w:line="240" w:lineRule="auto"/>
      </w:pPr>
      <w:r>
        <w:separator/>
      </w:r>
    </w:p>
  </w:endnote>
  <w:endnote w:type="continuationSeparator" w:id="0">
    <w:p w14:paraId="6919C637" w14:textId="77777777" w:rsidR="003051DE" w:rsidRDefault="00305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aunPenh">
    <w:panose1 w:val="02000500000000020004"/>
    <w:charset w:val="00"/>
    <w:family w:val="auto"/>
    <w:pitch w:val="variable"/>
    <w:sig w:usb0="A0000007" w:usb1="00000000" w:usb2="00010000" w:usb3="00000000" w:csb0="0000011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8E573" w14:textId="77777777" w:rsidR="004F0A92" w:rsidRDefault="004F0A92">
    <w:pPr>
      <w:pStyle w:val="Footer"/>
    </w:pPr>
  </w:p>
  <w:tbl>
    <w:tblPr>
      <w:tblW w:w="0" w:type="auto"/>
      <w:jc w:val="center"/>
      <w:tblLayout w:type="fixed"/>
      <w:tblLook w:val="04A0" w:firstRow="1" w:lastRow="0" w:firstColumn="1" w:lastColumn="0" w:noHBand="0" w:noVBand="1"/>
    </w:tblPr>
    <w:tblGrid>
      <w:gridCol w:w="3024"/>
      <w:gridCol w:w="2952"/>
      <w:gridCol w:w="3024"/>
    </w:tblGrid>
    <w:tr w:rsidR="004F0A92" w14:paraId="7E78981D" w14:textId="77777777">
      <w:trPr>
        <w:jc w:val="center"/>
      </w:trPr>
      <w:tc>
        <w:tcPr>
          <w:tcW w:w="3024" w:type="dxa"/>
          <w:tcMar>
            <w:top w:w="0" w:type="dxa"/>
            <w:left w:w="0" w:type="dxa"/>
            <w:bottom w:w="0" w:type="dxa"/>
            <w:right w:w="0" w:type="dxa"/>
          </w:tcMar>
          <w:vAlign w:val="center"/>
        </w:tcPr>
        <w:p w14:paraId="20D74AD1" w14:textId="77777777" w:rsidR="004F0A92" w:rsidRDefault="003051DE">
          <w:pPr>
            <w:spacing w:after="0"/>
          </w:pPr>
          <w:r>
            <w:rPr>
              <w:sz w:val="20"/>
            </w:rPr>
            <w:t>Author: Richard Kohl</w:t>
          </w:r>
        </w:p>
      </w:tc>
      <w:tc>
        <w:tcPr>
          <w:tcW w:w="2952" w:type="dxa"/>
          <w:tcMar>
            <w:top w:w="0" w:type="dxa"/>
            <w:left w:w="0" w:type="dxa"/>
            <w:bottom w:w="0" w:type="dxa"/>
            <w:right w:w="0" w:type="dxa"/>
          </w:tcMar>
          <w:vAlign w:val="center"/>
        </w:tcPr>
        <w:p w14:paraId="7E5DE5D3" w14:textId="77777777" w:rsidR="004F0A92" w:rsidRDefault="003051DE">
          <w:pPr>
            <w:spacing w:after="0"/>
            <w:jc w:val="center"/>
          </w:pPr>
          <w:r>
            <w:rPr>
              <w:sz w:val="20"/>
            </w:rPr>
            <w:t xml:space="preserve">Page </w:t>
          </w:r>
          <w:r>
            <w:fldChar w:fldCharType="begin"/>
          </w:r>
          <w:r>
            <w:instrText>PAGE</w:instrText>
          </w:r>
          <w:r>
            <w:fldChar w:fldCharType="separate"/>
          </w:r>
          <w:r>
            <w:t>1</w:t>
          </w:r>
          <w:r>
            <w:fldChar w:fldCharType="end"/>
          </w:r>
          <w:r>
            <w:rPr>
              <w:sz w:val="20"/>
            </w:rPr>
            <w:t xml:space="preserve"> of </w:t>
          </w:r>
          <w:r>
            <w:fldChar w:fldCharType="begin"/>
          </w:r>
          <w:r>
            <w:instrText>NUMPAGES</w:instrText>
          </w:r>
          <w:r>
            <w:fldChar w:fldCharType="separate"/>
          </w:r>
          <w:r>
            <w:t>1</w:t>
          </w:r>
          <w:r>
            <w:fldChar w:fldCharType="end"/>
          </w:r>
        </w:p>
      </w:tc>
      <w:tc>
        <w:tcPr>
          <w:tcW w:w="3024" w:type="dxa"/>
          <w:tcMar>
            <w:top w:w="0" w:type="dxa"/>
            <w:left w:w="0" w:type="dxa"/>
            <w:bottom w:w="0" w:type="dxa"/>
            <w:right w:w="0" w:type="dxa"/>
          </w:tcMar>
          <w:vAlign w:val="center"/>
        </w:tcPr>
        <w:p w14:paraId="7346CECE" w14:textId="433E5B98" w:rsidR="004F0A92" w:rsidRDefault="006F3E8F">
          <w:pPr>
            <w:spacing w:after="0"/>
            <w:jc w:val="right"/>
          </w:pPr>
          <w:r>
            <w:rPr>
              <w:sz w:val="20"/>
            </w:rPr>
            <w:t>26 July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3109E" w14:textId="77777777" w:rsidR="003051DE" w:rsidRDefault="003051DE">
      <w:pPr>
        <w:spacing w:after="0" w:line="240" w:lineRule="auto"/>
      </w:pPr>
      <w:r>
        <w:separator/>
      </w:r>
    </w:p>
  </w:footnote>
  <w:footnote w:type="continuationSeparator" w:id="0">
    <w:p w14:paraId="484037CD" w14:textId="77777777" w:rsidR="003051DE" w:rsidRDefault="00305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409001B"/>
    <w:lvl w:ilvl="0">
      <w:start w:val="1"/>
      <w:numFmt w:val="lowerRoman"/>
      <w:lvlText w:val="%1."/>
      <w:lvlJc w:val="right"/>
      <w:pPr>
        <w:ind w:left="360" w:hanging="360"/>
      </w:pPr>
      <w:rPr>
        <w:rFonts w:hint="default"/>
      </w:rPr>
    </w:lvl>
  </w:abstractNum>
  <w:abstractNum w:abstractNumId="9" w15:restartNumberingAfterBreak="0">
    <w:nsid w:val="1CD2667F"/>
    <w:multiLevelType w:val="hybridMultilevel"/>
    <w:tmpl w:val="E55A4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781AE0"/>
    <w:multiLevelType w:val="hybridMultilevel"/>
    <w:tmpl w:val="8ACAEC44"/>
    <w:lvl w:ilvl="0" w:tplc="0409001B">
      <w:start w:val="1"/>
      <w:numFmt w:val="lowerRoman"/>
      <w:lvlText w:val="%1."/>
      <w:lvlJc w:val="righ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1" w15:restartNumberingAfterBreak="0">
    <w:nsid w:val="5BB90623"/>
    <w:multiLevelType w:val="hybridMultilevel"/>
    <w:tmpl w:val="3A1CA014"/>
    <w:lvl w:ilvl="0" w:tplc="04090001">
      <w:start w:val="1"/>
      <w:numFmt w:val="bullet"/>
      <w:lvlText w:val=""/>
      <w:lvlJc w:val="left"/>
      <w:pPr>
        <w:ind w:left="461" w:hanging="360"/>
      </w:pPr>
      <w:rPr>
        <w:rFonts w:ascii="Symbol" w:hAnsi="Symbol" w:hint="default"/>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12" w15:restartNumberingAfterBreak="0">
    <w:nsid w:val="68CD420F"/>
    <w:multiLevelType w:val="hybridMultilevel"/>
    <w:tmpl w:val="FA94B8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09424332">
    <w:abstractNumId w:val="8"/>
  </w:num>
  <w:num w:numId="2" w16cid:durableId="237861888">
    <w:abstractNumId w:val="6"/>
  </w:num>
  <w:num w:numId="3" w16cid:durableId="225996419">
    <w:abstractNumId w:val="5"/>
  </w:num>
  <w:num w:numId="4" w16cid:durableId="1260872126">
    <w:abstractNumId w:val="4"/>
  </w:num>
  <w:num w:numId="5" w16cid:durableId="1182741500">
    <w:abstractNumId w:val="7"/>
  </w:num>
  <w:num w:numId="6" w16cid:durableId="2133210449">
    <w:abstractNumId w:val="3"/>
  </w:num>
  <w:num w:numId="7" w16cid:durableId="1814251678">
    <w:abstractNumId w:val="2"/>
  </w:num>
  <w:num w:numId="8" w16cid:durableId="251622662">
    <w:abstractNumId w:val="1"/>
  </w:num>
  <w:num w:numId="9" w16cid:durableId="1825969940">
    <w:abstractNumId w:val="0"/>
  </w:num>
  <w:num w:numId="10" w16cid:durableId="1117334629">
    <w:abstractNumId w:val="12"/>
  </w:num>
  <w:num w:numId="11" w16cid:durableId="1265379317">
    <w:abstractNumId w:val="10"/>
  </w:num>
  <w:num w:numId="12" w16cid:durableId="181632257">
    <w:abstractNumId w:val="11"/>
  </w:num>
  <w:num w:numId="13" w16cid:durableId="17749821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9A8"/>
    <w:rsid w:val="000A3486"/>
    <w:rsid w:val="00103020"/>
    <w:rsid w:val="001140E1"/>
    <w:rsid w:val="0015074B"/>
    <w:rsid w:val="00155DF5"/>
    <w:rsid w:val="00193C70"/>
    <w:rsid w:val="001A368E"/>
    <w:rsid w:val="001A611E"/>
    <w:rsid w:val="0029639D"/>
    <w:rsid w:val="002E2672"/>
    <w:rsid w:val="003051DE"/>
    <w:rsid w:val="00311105"/>
    <w:rsid w:val="00326F90"/>
    <w:rsid w:val="003C5516"/>
    <w:rsid w:val="003E0D7D"/>
    <w:rsid w:val="003E11B4"/>
    <w:rsid w:val="003F368B"/>
    <w:rsid w:val="00406A70"/>
    <w:rsid w:val="00445E8C"/>
    <w:rsid w:val="00473815"/>
    <w:rsid w:val="004D39CF"/>
    <w:rsid w:val="004F0A92"/>
    <w:rsid w:val="004F3624"/>
    <w:rsid w:val="005724FA"/>
    <w:rsid w:val="005A15B1"/>
    <w:rsid w:val="005D6846"/>
    <w:rsid w:val="005F1E13"/>
    <w:rsid w:val="00627E54"/>
    <w:rsid w:val="006611B9"/>
    <w:rsid w:val="00663879"/>
    <w:rsid w:val="006B758C"/>
    <w:rsid w:val="006F3E8F"/>
    <w:rsid w:val="00711D2E"/>
    <w:rsid w:val="00750AD4"/>
    <w:rsid w:val="007C74E4"/>
    <w:rsid w:val="008244B8"/>
    <w:rsid w:val="008728E5"/>
    <w:rsid w:val="008D15E1"/>
    <w:rsid w:val="008D18E4"/>
    <w:rsid w:val="00920CBF"/>
    <w:rsid w:val="00982BCF"/>
    <w:rsid w:val="009E34C9"/>
    <w:rsid w:val="00A11D59"/>
    <w:rsid w:val="00A47A6C"/>
    <w:rsid w:val="00A926C6"/>
    <w:rsid w:val="00AA0333"/>
    <w:rsid w:val="00AA1D8D"/>
    <w:rsid w:val="00AB3186"/>
    <w:rsid w:val="00AB5EFC"/>
    <w:rsid w:val="00AD1E2B"/>
    <w:rsid w:val="00AE0242"/>
    <w:rsid w:val="00AF542B"/>
    <w:rsid w:val="00B35AF7"/>
    <w:rsid w:val="00B40394"/>
    <w:rsid w:val="00B47730"/>
    <w:rsid w:val="00B80824"/>
    <w:rsid w:val="00BB114E"/>
    <w:rsid w:val="00BB1D7F"/>
    <w:rsid w:val="00C1236D"/>
    <w:rsid w:val="00C30C5F"/>
    <w:rsid w:val="00CA6387"/>
    <w:rsid w:val="00CB0664"/>
    <w:rsid w:val="00D6647B"/>
    <w:rsid w:val="00D74448"/>
    <w:rsid w:val="00D86615"/>
    <w:rsid w:val="00E011D3"/>
    <w:rsid w:val="00E81125"/>
    <w:rsid w:val="00EB6CBA"/>
    <w:rsid w:val="00EC3117"/>
    <w:rsid w:val="00EC7193"/>
    <w:rsid w:val="00EE0E11"/>
    <w:rsid w:val="00F254B7"/>
    <w:rsid w:val="00F542E7"/>
    <w:rsid w:val="00F9502F"/>
    <w:rsid w:val="00FB72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84BAE7C-9B06-41B0-85AD-5AFAA38AE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120" w:after="120"/>
    </w:pPr>
    <w:rPr>
      <w:rFonts w:ascii="Calibri" w:hAnsi="Calibri"/>
      <w:b/>
      <w:color w:val="000000"/>
      <w:sz w:val="28"/>
      <w:u w:val="single"/>
    </w:rPr>
  </w:style>
  <w:style w:type="paragraph" w:customStyle="1" w:styleId="SubsectionHeading">
    <w:name w:val="Subsection Heading"/>
    <w:pPr>
      <w:keepNext/>
      <w:spacing w:before="120" w:after="120"/>
    </w:pPr>
    <w:rPr>
      <w:rFonts w:ascii="Calibri" w:hAnsi="Calibri"/>
      <w:b/>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6468</Words>
  <Characters>36871</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Scaling Assessment Analysis and Coaching Recommendations: Shamba Shape Up / Munda Makeover</vt:lpstr>
    </vt:vector>
  </TitlesOfParts>
  <Manager/>
  <Company/>
  <LinksUpToDate>false</LinksUpToDate>
  <CharactersWithSpaces>43253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Assessment Analysis and Coaching Recommendations: Shamba Shape Up / Munda Makeover</dc:title>
  <dc:subject>CGIAR Scaling for Impact assessment and coaching recommendations</dc:subject>
  <dc:creator>Dr. Richard Kohl, Strategy and Scale LLC</dc:creator>
  <cp:keywords>CGIAR, S4I, Shamba Shape Up, Munda Makeover, scaling, coaching</cp:keywords>
  <dc:description>generated by python-docx</dc:description>
  <cp:lastModifiedBy>Flor, Rica Joy (IRRI-KH)</cp:lastModifiedBy>
  <cp:revision>2</cp:revision>
  <dcterms:created xsi:type="dcterms:W3CDTF">2026-07-30T06:31:00Z</dcterms:created>
  <dcterms:modified xsi:type="dcterms:W3CDTF">2026-07-30T06:31:00Z</dcterms:modified>
  <cp:category/>
</cp:coreProperties>
</file>