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6875E" w14:textId="77777777" w:rsidR="0001119B" w:rsidRDefault="0001119B" w:rsidP="0001119B">
      <w:pPr>
        <w:spacing w:after="520" w:line="240" w:lineRule="auto"/>
        <w:jc w:val="center"/>
        <w:rPr>
          <w:b/>
          <w:sz w:val="36"/>
        </w:rPr>
      </w:pPr>
    </w:p>
    <w:p w14:paraId="29A4033B" w14:textId="77777777" w:rsidR="0001119B" w:rsidRDefault="0001119B" w:rsidP="0001119B">
      <w:pPr>
        <w:spacing w:after="520" w:line="240" w:lineRule="auto"/>
        <w:jc w:val="center"/>
      </w:pPr>
      <w:r>
        <w:rPr>
          <w:b/>
          <w:sz w:val="36"/>
        </w:rPr>
        <w:t>CGIAR Scaling for Impact</w:t>
      </w:r>
    </w:p>
    <w:p w14:paraId="141CBF5C" w14:textId="77777777" w:rsidR="0001119B" w:rsidRPr="00A32588" w:rsidRDefault="0001119B" w:rsidP="0001119B">
      <w:pPr>
        <w:spacing w:after="440" w:line="240" w:lineRule="auto"/>
        <w:jc w:val="center"/>
        <w:rPr>
          <w:u w:val="single"/>
        </w:rPr>
      </w:pPr>
      <w:r w:rsidRPr="00A32588">
        <w:rPr>
          <w:b/>
          <w:sz w:val="32"/>
          <w:u w:val="single"/>
        </w:rPr>
        <w:t>Scaling Assessment Analysis and Coaching Recommendations</w:t>
      </w:r>
    </w:p>
    <w:p w14:paraId="370309BD" w14:textId="77777777" w:rsidR="00A32588" w:rsidRDefault="00A32588" w:rsidP="0001119B">
      <w:pPr>
        <w:spacing w:after="480" w:line="240" w:lineRule="auto"/>
        <w:jc w:val="center"/>
        <w:rPr>
          <w:b/>
          <w:i/>
          <w:sz w:val="28"/>
        </w:rPr>
      </w:pPr>
    </w:p>
    <w:p w14:paraId="2DE5E67E" w14:textId="5A5982FD" w:rsidR="0001119B" w:rsidRDefault="0001119B" w:rsidP="0001119B">
      <w:pPr>
        <w:spacing w:after="480" w:line="240" w:lineRule="auto"/>
        <w:jc w:val="center"/>
      </w:pPr>
      <w:r>
        <w:rPr>
          <w:b/>
          <w:i/>
          <w:sz w:val="28"/>
        </w:rPr>
        <w:t>Closing the Adaptation Gap: Scaling Agvisely Climate Services for Resilient Farming in Bangladesh</w:t>
      </w:r>
    </w:p>
    <w:p w14:paraId="67C840D8" w14:textId="77777777" w:rsidR="0001119B" w:rsidRDefault="0001119B" w:rsidP="0001119B">
      <w:pPr>
        <w:spacing w:after="560" w:line="240" w:lineRule="auto"/>
        <w:jc w:val="center"/>
      </w:pPr>
      <w:r>
        <w:rPr>
          <w:b/>
          <w:i/>
        </w:rPr>
        <w:t>Submitted to the CGIAR Scaling for Impact Team</w:t>
      </w:r>
    </w:p>
    <w:p w14:paraId="3AC6B721" w14:textId="77777777" w:rsidR="00A32588" w:rsidRDefault="00A32588" w:rsidP="0001119B">
      <w:pPr>
        <w:spacing w:after="160" w:line="240" w:lineRule="auto"/>
        <w:jc w:val="center"/>
      </w:pPr>
    </w:p>
    <w:p w14:paraId="086C8CD8" w14:textId="0A996BBC" w:rsidR="0001119B" w:rsidRDefault="0001119B" w:rsidP="0001119B">
      <w:pPr>
        <w:spacing w:after="160" w:line="240" w:lineRule="auto"/>
        <w:jc w:val="center"/>
      </w:pPr>
      <w:proofErr w:type="gramStart"/>
      <w:r>
        <w:t>By</w:t>
      </w:r>
      <w:proofErr w:type="gramEnd"/>
    </w:p>
    <w:p w14:paraId="7A64537C" w14:textId="77777777" w:rsidR="00A32588" w:rsidRDefault="00A32588" w:rsidP="0001119B">
      <w:pPr>
        <w:spacing w:after="600" w:line="240" w:lineRule="auto"/>
        <w:jc w:val="center"/>
        <w:rPr>
          <w:b/>
          <w:sz w:val="28"/>
        </w:rPr>
      </w:pPr>
    </w:p>
    <w:p w14:paraId="4763DCF0" w14:textId="75E3B0DB" w:rsidR="0001119B" w:rsidRDefault="0001119B" w:rsidP="0001119B">
      <w:pPr>
        <w:spacing w:after="600" w:line="240" w:lineRule="auto"/>
        <w:jc w:val="center"/>
      </w:pPr>
      <w:r>
        <w:rPr>
          <w:b/>
          <w:sz w:val="28"/>
        </w:rPr>
        <w:t>Dr. Richard Kohl, Strategy and Scale LLC</w:t>
      </w:r>
    </w:p>
    <w:p w14:paraId="5D1FABF1" w14:textId="77777777" w:rsidR="0001119B" w:rsidRDefault="0001119B" w:rsidP="0001119B">
      <w:pPr>
        <w:spacing w:after="0" w:line="240" w:lineRule="auto"/>
        <w:jc w:val="center"/>
      </w:pPr>
      <w:r>
        <w:rPr>
          <w:b/>
          <w:i/>
        </w:rPr>
        <w:t>4 August 2026</w:t>
      </w:r>
    </w:p>
    <w:p w14:paraId="231424B4" w14:textId="77777777" w:rsidR="00893825" w:rsidRDefault="00893825"/>
    <w:p w14:paraId="56D0D34C" w14:textId="77777777" w:rsidR="00C642E4" w:rsidRDefault="00C642E4">
      <w:pPr>
        <w:sectPr w:rsidR="00C642E4">
          <w:footerReference w:type="default" r:id="rId7"/>
          <w:pgSz w:w="11906" w:h="16838"/>
          <w:pgMar w:top="1440" w:right="1440" w:bottom="1440" w:left="1440" w:header="720" w:footer="720" w:gutter="0"/>
          <w:cols w:space="720"/>
          <w:docGrid w:linePitch="360"/>
        </w:sectPr>
      </w:pPr>
    </w:p>
    <w:p w14:paraId="2446F682" w14:textId="77777777" w:rsidR="00C642E4" w:rsidRDefault="00000000">
      <w:pPr>
        <w:pStyle w:val="RKHeading1"/>
      </w:pPr>
      <w:r>
        <w:lastRenderedPageBreak/>
        <w:t>Executive Summary</w:t>
      </w:r>
    </w:p>
    <w:p w14:paraId="516BA248" w14:textId="77777777" w:rsidR="00C642E4" w:rsidRDefault="00000000">
      <w:pPr>
        <w:pStyle w:val="RKHeading2"/>
      </w:pPr>
      <w:r>
        <w:t>Strengths</w:t>
      </w:r>
    </w:p>
    <w:p w14:paraId="293D81D1" w14:textId="77777777" w:rsidR="00C642E4" w:rsidRDefault="00000000">
      <w:r>
        <w:t>Agvisely has a genuinely valuable core innovation and a plausible route to national influence. Its most important asset is not the website or mobile application; it is the decision logic that converts localized weather forecasts into crop-, livestock-, and aquaculture-specific operational advice. Bangladesh has a clear need for this function, and the public extension system has an equally clear need for a faster, more localized alternative to periodic, manually prepared advisories. Agvisely also benefits from an unusually strong set of relationships. DAE and RIMES have expressed interest in harmonizing Agvisely’s decision trees with BAMIS; CIMMYT has relationships with BMD and the national research and extension system; and private and NGO actors such as iFarmer, Green Delta and its insurtech partners, Dr. Chashi/Genius Farms, BRAC, Shushilan, PKSF and WorldFish offer real farmer networks, field presence, software capabilities, finance, insurance, input and service channels. The team correctly recognizes that a digital-only strategy will not work for many Bangladeshi smallholders and is considering extension officers, call centers, SMS, voice, NGOs and commercial field agents as complementary delivery channels.</w:t>
      </w:r>
    </w:p>
    <w:p w14:paraId="37AA0AB7" w14:textId="77777777" w:rsidR="00C642E4" w:rsidRDefault="00000000">
      <w:pPr>
        <w:pStyle w:val="RKHeading2"/>
      </w:pPr>
      <w:r>
        <w:t>Weaknesses</w:t>
      </w:r>
    </w:p>
    <w:p w14:paraId="70FA52FA" w14:textId="77777777" w:rsidR="00A32588" w:rsidRDefault="00000000" w:rsidP="00A32588">
      <w:r>
        <w:t>The central problem is that the proposed scaling system is much more advanced in theory than in operation. The Agvisely service has been unavailable for roughly eight months because of the data and back-end transition. A system intended to serve millions of farmers and feed multiple public and private platforms cannot be considered scaling-ready when its core service is not reliably operational. The emerging RIMES arrangement is promising, but during the coaching visit the contract was still under process, the DAE technical committee had not been appointed, the MOU was not complete, and responsibilities for hosting, code maintenance, data management, content updating, validation, user support, incident response and liability remained insufficiently specified. The project also continues to describe reach through registered extension officers and farmers notionally associated with them</w:t>
      </w:r>
      <w:r w:rsidR="00A32588">
        <w:t xml:space="preserve">.  </w:t>
      </w:r>
      <w:proofErr w:type="gramStart"/>
      <w:r w:rsidR="00A32588">
        <w:t>However</w:t>
      </w:r>
      <w:proofErr w:type="gramEnd"/>
      <w:r w:rsidR="00A32588">
        <w:t xml:space="preserve"> while there is year-old </w:t>
      </w:r>
      <w:r>
        <w:t xml:space="preserve">evidence on active officer use, timely farmer receipt, comprehension, action, repeat use and avoided losses </w:t>
      </w:r>
      <w:r w:rsidR="00A32588">
        <w:t xml:space="preserve">given the long downtime of service that </w:t>
      </w:r>
      <w:r>
        <w:t>remains thin</w:t>
      </w:r>
      <w:r w:rsidR="00A32588">
        <w:t xml:space="preserve"> and will need to be updated</w:t>
      </w:r>
      <w:r>
        <w:t xml:space="preserve">. </w:t>
      </w:r>
    </w:p>
    <w:p w14:paraId="1169D584" w14:textId="747BCD7A" w:rsidR="00C642E4" w:rsidRDefault="00000000">
      <w:r>
        <w:t>The private-sector value propositions are plausible, but no partner ha</w:t>
      </w:r>
      <w:r w:rsidR="00A32588">
        <w:t xml:space="preserve">s </w:t>
      </w:r>
      <w:r>
        <w:t xml:space="preserve">yet translated interest into a defined paid service, price, performance standard, cost contribution or measurable business result. </w:t>
      </w:r>
      <w:r w:rsidR="00A32588">
        <w:t xml:space="preserve">The </w:t>
      </w:r>
      <w:proofErr w:type="spellStart"/>
      <w:r w:rsidR="00A32588">
        <w:t>Agivesly</w:t>
      </w:r>
      <w:proofErr w:type="spellEnd"/>
      <w:r w:rsidR="00A32588">
        <w:t xml:space="preserve"> team claims that several partners stand ready to sign an MOU or contract immediately. However, to the best of our knowledge no such draft of either exists and it seems likely that this could take considerable time to negotiate and finalize with potential delays coming from both the private sector side and CIMMYT’s own legal and administrative teams. </w:t>
      </w:r>
      <w:r>
        <w:t xml:space="preserve">Finally, the strategy is overextended across public integration, new crops, livestock, aquaculture, finance, insurance, NGOs, AI voice, commercial applications and multiple partnerships. The project has a capable idea generator and relationship </w:t>
      </w:r>
      <w:proofErr w:type="gramStart"/>
      <w:r>
        <w:t>builder, but</w:t>
      </w:r>
      <w:proofErr w:type="gramEnd"/>
      <w:r>
        <w:t xml:space="preserve"> </w:t>
      </w:r>
      <w:r w:rsidR="00A32588">
        <w:t xml:space="preserve">has </w:t>
      </w:r>
      <w:r>
        <w:t xml:space="preserve">yet </w:t>
      </w:r>
      <w:r w:rsidR="00A32588">
        <w:t xml:space="preserve">to credibly demonstrate that it can </w:t>
      </w:r>
      <w:r>
        <w:t>focus</w:t>
      </w:r>
      <w:r w:rsidR="00A32588">
        <w:t xml:space="preserve"> and prioritize on</w:t>
      </w:r>
      <w:r>
        <w:t xml:space="preserve"> delivery management required to complete a few critical actions in sequence.</w:t>
      </w:r>
    </w:p>
    <w:p w14:paraId="4635BBD6" w14:textId="27578BB1" w:rsidR="00A32588" w:rsidRDefault="00A32588">
      <w:r>
        <w:lastRenderedPageBreak/>
        <w:t xml:space="preserve">Finally, its claims </w:t>
      </w:r>
      <w:proofErr w:type="gramStart"/>
      <w:r>
        <w:t>to</w:t>
      </w:r>
      <w:proofErr w:type="gramEnd"/>
      <w:r>
        <w:t xml:space="preserve"> the number of farmers reached are confusing.  CIMMTY claims </w:t>
      </w:r>
      <w:proofErr w:type="gramStart"/>
      <w:r>
        <w:t>that,</w:t>
      </w:r>
      <w:proofErr w:type="gramEnd"/>
      <w:r>
        <w:t xml:space="preserve"> </w:t>
      </w:r>
      <w:proofErr w:type="spellStart"/>
      <w:r>
        <w:t>Agvisely</w:t>
      </w:r>
      <w:proofErr w:type="spellEnd"/>
      <w:r>
        <w:t xml:space="preserve"> </w:t>
      </w:r>
      <w:proofErr w:type="gramStart"/>
      <w:r>
        <w:t>if and when</w:t>
      </w:r>
      <w:proofErr w:type="gramEnd"/>
      <w:r>
        <w:t xml:space="preserve"> up and running, reaches all 14,000 DAE extension officers and SAAOs and that each of those reaches approximately 1,000 farmers annually total.  If so, it isn’t clear why the actual scale of 14 million </w:t>
      </w:r>
      <w:proofErr w:type="gramStart"/>
      <w:r>
        <w:t>farmers, which</w:t>
      </w:r>
      <w:proofErr w:type="gramEnd"/>
      <w:r>
        <w:t xml:space="preserve"> is enormous.  Moreover, if each farmer represents a unique farmer household of roughly five people, then the real impact is </w:t>
      </w:r>
      <w:proofErr w:type="gramStart"/>
      <w:r>
        <w:t>actually on</w:t>
      </w:r>
      <w:proofErr w:type="gramEnd"/>
      <w:r>
        <w:t xml:space="preserve"> 70 million. Yet the CIMMYT team claims much less than that, around 1.3 million.  CIMMYT needs to do more work to clarify what are the basis for its estimated claims of coverage, </w:t>
      </w:r>
      <w:r w:rsidR="00670C14">
        <w:t xml:space="preserve">and why they aren’t larger; if necessary, </w:t>
      </w:r>
      <w:r w:rsidR="00D85E62">
        <w:t>rigorous evidence</w:t>
      </w:r>
      <w:r w:rsidR="00670C14">
        <w:t xml:space="preserve"> of scale study is recommended, though NOT </w:t>
      </w:r>
      <w:r w:rsidR="00D85E62">
        <w:t xml:space="preserve">this does not imply </w:t>
      </w:r>
      <w:r w:rsidR="00670C14">
        <w:t>an RCT</w:t>
      </w:r>
      <w:r w:rsidR="00D85E62">
        <w:t xml:space="preserve"> but sampling of the conversion ratio from share of extension officers and SAAOs using </w:t>
      </w:r>
      <w:proofErr w:type="spellStart"/>
      <w:r w:rsidR="00D85E62">
        <w:t>Agvisely</w:t>
      </w:r>
      <w:proofErr w:type="spellEnd"/>
      <w:r w:rsidR="00D85E62">
        <w:t xml:space="preserve"> to number of farmers reached to those following the advice to the number of household members and neighbors benefitting</w:t>
      </w:r>
      <w:r w:rsidR="00670C14">
        <w:t>.</w:t>
      </w:r>
    </w:p>
    <w:p w14:paraId="2430E3EC" w14:textId="77777777" w:rsidR="00C642E4" w:rsidRDefault="00000000">
      <w:pPr>
        <w:pStyle w:val="RKHeading2"/>
      </w:pPr>
      <w:r>
        <w:t>Overall judgment and coaching advice</w:t>
      </w:r>
    </w:p>
    <w:p w14:paraId="2C6E8E99" w14:textId="77777777" w:rsidR="00670C14" w:rsidRDefault="00000000">
      <w:r>
        <w:t>Agvisely should be classified as a promising transition-to-scale investment, not as an active-scaling success. It is potentially a “jewel in the crown” of S4I</w:t>
      </w:r>
      <w:r w:rsidR="00A32588">
        <w:t xml:space="preserve"> given that it can reach large numbers</w:t>
      </w:r>
      <w:r>
        <w:t xml:space="preserve">, but only if it works reliably and becomes embedded in institutions that can operate it after CGIAR funding. The appropriate 2027 strategy is therefore not broader expansion. It is a disciplined proof year organized around five linked results: </w:t>
      </w:r>
    </w:p>
    <w:p w14:paraId="34F5606D" w14:textId="77777777" w:rsidR="00670C14" w:rsidRDefault="00000000" w:rsidP="00670C14">
      <w:pPr>
        <w:pStyle w:val="ListParagraph"/>
        <w:numPr>
          <w:ilvl w:val="0"/>
          <w:numId w:val="14"/>
        </w:numPr>
      </w:pPr>
      <w:r>
        <w:t xml:space="preserve">restore and demonstrate technical reliability; </w:t>
      </w:r>
    </w:p>
    <w:p w14:paraId="26344D9F" w14:textId="677F4973" w:rsidR="00670C14" w:rsidRDefault="00000000" w:rsidP="00670C14">
      <w:pPr>
        <w:pStyle w:val="ListParagraph"/>
        <w:numPr>
          <w:ilvl w:val="0"/>
          <w:numId w:val="14"/>
        </w:numPr>
      </w:pPr>
      <w:r>
        <w:t>agree</w:t>
      </w:r>
      <w:r w:rsidR="00670C14">
        <w:t xml:space="preserve"> on an MOU with</w:t>
      </w:r>
      <w:r>
        <w:t xml:space="preserve"> the DAE/BAMIS/RIMES </w:t>
      </w:r>
      <w:r w:rsidR="00670C14">
        <w:t xml:space="preserve">to </w:t>
      </w:r>
      <w:r w:rsidR="00670C14">
        <w:t xml:space="preserve">execute </w:t>
      </w:r>
      <w:r w:rsidR="00670C14">
        <w:t xml:space="preserve">the changes in </w:t>
      </w:r>
      <w:r>
        <w:t>institutional architecture</w:t>
      </w:r>
      <w:r w:rsidR="00670C14">
        <w:t>, transferring the backend to RIMES and integrating the algorithm logic into BAMIS</w:t>
      </w:r>
      <w:r>
        <w:t xml:space="preserve">; </w:t>
      </w:r>
    </w:p>
    <w:p w14:paraId="2C2D1C56" w14:textId="5B600598" w:rsidR="00670C14" w:rsidRDefault="00000000" w:rsidP="00670C14">
      <w:pPr>
        <w:pStyle w:val="ListParagraph"/>
        <w:numPr>
          <w:ilvl w:val="0"/>
          <w:numId w:val="14"/>
        </w:numPr>
      </w:pPr>
      <w:r>
        <w:t>reactivate the extension network and measure real use;</w:t>
      </w:r>
      <w:r w:rsidR="00670C14">
        <w:t xml:space="preserve"> this may require retraining of all extension officers and not just the 4-5,000 currently targeted.</w:t>
      </w:r>
      <w:r>
        <w:t xml:space="preserve"> </w:t>
      </w:r>
    </w:p>
    <w:p w14:paraId="1E68B636" w14:textId="77777777" w:rsidR="00670C14" w:rsidRDefault="00000000" w:rsidP="00670C14">
      <w:pPr>
        <w:pStyle w:val="ListParagraph"/>
        <w:numPr>
          <w:ilvl w:val="0"/>
          <w:numId w:val="14"/>
        </w:numPr>
      </w:pPr>
      <w:r>
        <w:t xml:space="preserve">convert one or two commercial relationships into costed pilots with partner contributions; and </w:t>
      </w:r>
    </w:p>
    <w:p w14:paraId="7FCB1598" w14:textId="4E103662" w:rsidR="00670C14" w:rsidRDefault="00670C14" w:rsidP="00670C14">
      <w:pPr>
        <w:pStyle w:val="ListParagraph"/>
        <w:numPr>
          <w:ilvl w:val="0"/>
          <w:numId w:val="14"/>
        </w:numPr>
      </w:pPr>
      <w:r>
        <w:t xml:space="preserve">articulate a clear </w:t>
      </w:r>
      <w:proofErr w:type="gramStart"/>
      <w:r>
        <w:t xml:space="preserve">3-5 </w:t>
      </w:r>
      <w:r w:rsidR="00000000">
        <w:t>year</w:t>
      </w:r>
      <w:proofErr w:type="gramEnd"/>
      <w:r w:rsidR="00000000">
        <w:t xml:space="preserve"> </w:t>
      </w:r>
      <w:r>
        <w:t xml:space="preserve">vision of what the ultimate, sustainable </w:t>
      </w:r>
      <w:r w:rsidR="00000000">
        <w:t>operating, governance and financing model</w:t>
      </w:r>
      <w:r>
        <w:t xml:space="preserve"> looks like for both public and private sectors (and any relationship between them and create a clear pathway on how to get there.  This should include specific annual milestones, identification of which partners and stakeholders will </w:t>
      </w:r>
      <w:proofErr w:type="gramStart"/>
      <w:r>
        <w:t>have</w:t>
      </w:r>
      <w:proofErr w:type="gramEnd"/>
      <w:r>
        <w:t xml:space="preserve"> what roles and responsibilities, and what high-level actions and outputs are to be achieved each year.</w:t>
      </w:r>
    </w:p>
    <w:p w14:paraId="02A4ACB4" w14:textId="3222E57F" w:rsidR="00C642E4" w:rsidRDefault="00000000" w:rsidP="00670C14">
      <w:r>
        <w:t>All other bundles should remain exploratory until these foundations are proven.</w:t>
      </w:r>
    </w:p>
    <w:p w14:paraId="02823250" w14:textId="77777777" w:rsidR="00C642E4" w:rsidRDefault="00000000">
      <w:pPr>
        <w:pStyle w:val="RKHeading2"/>
      </w:pPr>
      <w:r>
        <w:t>Funding recommendation</w:t>
      </w:r>
    </w:p>
    <w:p w14:paraId="57D0CE07" w14:textId="36C29BFA" w:rsidR="00C642E4" w:rsidRDefault="00000000">
      <w:r>
        <w:t xml:space="preserve">S4I should fund Agvisely for another year, but conditionally and at a materially lower initial level than </w:t>
      </w:r>
      <w:r w:rsidR="00670C14">
        <w:t xml:space="preserve">was funded in </w:t>
      </w:r>
      <w:r>
        <w:t xml:space="preserve">2026. </w:t>
      </w:r>
      <w:r w:rsidR="00670C14">
        <w:t>If the final funding decision can wait until October or later, any future funding should be contingent on at least the first two of the above linked results being achieved. A</w:t>
      </w:r>
      <w:r>
        <w:t xml:space="preserve">n initial allocation of </w:t>
      </w:r>
      <w:r w:rsidR="00670C14">
        <w:t xml:space="preserve">half </w:t>
      </w:r>
      <w:r>
        <w:t>of the 2026 level, restricted to the core recovery and institutionalization workstream</w:t>
      </w:r>
      <w:r w:rsidR="00670C14">
        <w:t xml:space="preserve"> seems appropriate</w:t>
      </w:r>
      <w:r>
        <w:t xml:space="preserve">, with a possible second tranche from the proposed innovation fund after a March or April </w:t>
      </w:r>
      <w:r w:rsidR="00670C14">
        <w:t>reassessment</w:t>
      </w:r>
      <w:r>
        <w:t xml:space="preserve">. The second tranche should be released only if the platform has met defined uptime and recovery standards; the RIMES and DAE arrangements assign functions, budgets and accountability; BAMIS harmonization is visibly progressing; extension officers are demonstrably active again; and selected private </w:t>
      </w:r>
      <w:r>
        <w:lastRenderedPageBreak/>
        <w:t>pilots have written contributions and measurable business hypotheses. S4I should not pay for a proliferation of additional crops, integrations, meetings or nominal reach while these conditions remain unresolved.</w:t>
      </w:r>
    </w:p>
    <w:p w14:paraId="007CBE68" w14:textId="77777777" w:rsidR="00C642E4" w:rsidRDefault="00000000">
      <w:pPr>
        <w:pStyle w:val="RKHeading2"/>
      </w:pPr>
      <w:r>
        <w:t>Management recommendation</w:t>
      </w:r>
    </w:p>
    <w:p w14:paraId="6B1E9F90" w14:textId="31E1B143" w:rsidR="00D85E62" w:rsidRDefault="00D85E62">
      <w:r>
        <w:t xml:space="preserve">Project leadership matters; in several other AoW2 Scaling Solutions we have found that either the project team lacked effectiveness leadership, had the wrong skills, an insufficient share of team time was devoted to the project (e.g. 15%), or key personnel were not located in country and therefore not capable of the necessary involvement in actual operations. </w:t>
      </w:r>
    </w:p>
    <w:p w14:paraId="00E24F10" w14:textId="77777777" w:rsidR="00D85E62" w:rsidRDefault="00D85E62">
      <w:r>
        <w:t xml:space="preserve">Some of these problems are present with </w:t>
      </w:r>
      <w:proofErr w:type="spellStart"/>
      <w:r>
        <w:t>Agvisely</w:t>
      </w:r>
      <w:proofErr w:type="spellEnd"/>
      <w:r>
        <w:t xml:space="preserve">. </w:t>
      </w:r>
      <w:r w:rsidR="00000000">
        <w:t xml:space="preserve">The project’s leadership structure should also change. Dr. Amjath Babu’s technical knowledge, relationships and strategic creativity are major assets. However, </w:t>
      </w:r>
      <w:r w:rsidR="00670C14">
        <w:t xml:space="preserve">his failure to get </w:t>
      </w:r>
      <w:proofErr w:type="spellStart"/>
      <w:r w:rsidR="00670C14">
        <w:t>Agvisely</w:t>
      </w:r>
      <w:proofErr w:type="spellEnd"/>
      <w:r w:rsidR="00670C14">
        <w:t xml:space="preserve"> up and running after eight months of delays calls into question </w:t>
      </w:r>
      <w:r>
        <w:t>his</w:t>
      </w:r>
      <w:r w:rsidR="00670C14">
        <w:t xml:space="preserve"> ability to combine </w:t>
      </w:r>
      <w:r>
        <w:t>strong strategy</w:t>
      </w:r>
      <w:r w:rsidR="00670C14">
        <w:t xml:space="preserve"> vision</w:t>
      </w:r>
      <w:r>
        <w:t>, partnership mobilization</w:t>
      </w:r>
      <w:r w:rsidR="00670C14">
        <w:t xml:space="preserve"> and </w:t>
      </w:r>
      <w:r>
        <w:t xml:space="preserve">technical </w:t>
      </w:r>
      <w:r w:rsidR="00670C14">
        <w:t>knowledge with the more mundane task of program management</w:t>
      </w:r>
      <w:r>
        <w:t>, closure on activities,</w:t>
      </w:r>
      <w:r w:rsidR="00670C14">
        <w:t xml:space="preserve"> and achieving actual results and deliverables.  </w:t>
      </w:r>
    </w:p>
    <w:p w14:paraId="2C49543A" w14:textId="48D7B12F" w:rsidR="00D85E62" w:rsidRDefault="00670C14">
      <w:r>
        <w:t>CIMMYT Bangladesh should negotiate a clear timeline on the above deliverable</w:t>
      </w:r>
      <w:r w:rsidR="00D85E62">
        <w:t xml:space="preserve">s; in our meetings on 4 August Dr. Babu claimed that </w:t>
      </w:r>
      <w:proofErr w:type="spellStart"/>
      <w:r w:rsidR="00D85E62">
        <w:t>Agvisely</w:t>
      </w:r>
      <w:proofErr w:type="spellEnd"/>
      <w:r w:rsidR="00D85E62">
        <w:t xml:space="preserve"> would be up and running again by 18</w:t>
      </w:r>
      <w:r w:rsidR="00D85E62" w:rsidRPr="00D85E62">
        <w:rPr>
          <w:vertAlign w:val="superscript"/>
        </w:rPr>
        <w:t>th</w:t>
      </w:r>
      <w:r w:rsidR="00D85E62">
        <w:t xml:space="preserve"> August. He and the team should be held to that commitment.  If it is not achieved, CIMMYT should</w:t>
      </w:r>
      <w:r>
        <w:t xml:space="preserve"> consider </w:t>
      </w:r>
      <w:r w:rsidR="00B132C7">
        <w:t>replacing</w:t>
      </w:r>
      <w:r>
        <w:t xml:space="preserve"> </w:t>
      </w:r>
      <w:r w:rsidR="00D85E62">
        <w:t xml:space="preserve">him if they are not met regardless of the reasons; eight months plus is a long enough time to reactivate </w:t>
      </w:r>
      <w:proofErr w:type="spellStart"/>
      <w:r w:rsidR="00D85E62">
        <w:t>AgVisely</w:t>
      </w:r>
      <w:proofErr w:type="spellEnd"/>
      <w:r w:rsidR="00D85E62">
        <w:t xml:space="preserve"> no matter what the obstacles. That said, such a decision should only be taken if CIMMYT is reasonably confident that a quality replacement could be found, and expeditiously.  </w:t>
      </w:r>
    </w:p>
    <w:p w14:paraId="4CA13BC6" w14:textId="1C69FB49" w:rsidR="00C642E4" w:rsidRDefault="00D85E62">
      <w:proofErr w:type="gramStart"/>
      <w:r>
        <w:t>Regardless</w:t>
      </w:r>
      <w:proofErr w:type="gramEnd"/>
      <w:r>
        <w:t xml:space="preserve"> who is leading the </w:t>
      </w:r>
      <w:proofErr w:type="spellStart"/>
      <w:r>
        <w:t>Agiv</w:t>
      </w:r>
      <w:r w:rsidR="00B132C7">
        <w:t>i</w:t>
      </w:r>
      <w:r>
        <w:t>sely</w:t>
      </w:r>
      <w:proofErr w:type="spellEnd"/>
      <w:r>
        <w:t xml:space="preserve"> team, </w:t>
      </w:r>
      <w:r w:rsidR="00000000">
        <w:t xml:space="preserve">a 25 percent allocation is not credible for managing the number of institutions, contracts, technical transitions, deliverables and escalation decisions now required. </w:t>
      </w:r>
      <w:r>
        <w:t xml:space="preserve">CIMMYT chose to reallocate </w:t>
      </w:r>
      <w:r w:rsidR="00B132C7">
        <w:t xml:space="preserve">on the order of $100,000 to IRRI and IFPRI while at the same time complaining as to how expensive private backend contractors were and not getting the job done.  Whomever is the leadership </w:t>
      </w:r>
      <w:proofErr w:type="gramStart"/>
      <w:r w:rsidR="00B132C7">
        <w:t xml:space="preserve">position </w:t>
      </w:r>
      <w:r w:rsidR="00000000">
        <w:t xml:space="preserve"> should</w:t>
      </w:r>
      <w:proofErr w:type="gramEnd"/>
      <w:r w:rsidR="00000000">
        <w:t xml:space="preserve"> serve as scientific and partnership lead</w:t>
      </w:r>
      <w:r w:rsidR="00B132C7">
        <w:t xml:space="preserve"> with at least 50% time allocated</w:t>
      </w:r>
      <w:r w:rsidR="00000000">
        <w:t>, while a named operational delivery manager with substantially more time, authority and accountability owns the workplan, dashboard, follow-up and escalation process. If CIMMYT cannot provide that management structure, S4I should not fund the full package. This is not primarily a judgment about an individual; it is a judgment that the current role design does not match the implementation task.</w:t>
      </w:r>
    </w:p>
    <w:p w14:paraId="607F0A46" w14:textId="3C0C6029" w:rsidR="00C642E4" w:rsidRDefault="00000000">
      <w:pPr>
        <w:pStyle w:val="RKHeading1"/>
      </w:pPr>
      <w:r>
        <w:t>1. The Intervention and Its Components</w:t>
      </w:r>
    </w:p>
    <w:p w14:paraId="04BA0197" w14:textId="77777777" w:rsidR="00C642E4" w:rsidRDefault="00000000">
      <w:pPr>
        <w:pStyle w:val="RKHeading2"/>
      </w:pPr>
      <w:r>
        <w:t>The intervention and its components</w:t>
      </w:r>
    </w:p>
    <w:p w14:paraId="6EDBAF61" w14:textId="77777777" w:rsidR="00C642E4" w:rsidRDefault="00000000">
      <w:r>
        <w:t xml:space="preserve">Agvisely is an automated climate-risk advisory service designed for Bangladesh’s mixed farming systems. Its technical core links localized weather forecasts to biological thresholds, crop calendars and stage-specific decision rules, producing short-term recommendations for crops, livestock and aquaculture. The current materials describe coverage of rice, wheat, maize, lentils, mungbean, mustard and potato; cattle and poultry; and major aquaculture species and production systems. Advice can include management of rainfall, irrigation, drainage, planting, fertilizer, harvest timing, heat stress, disease and pest risk, livestock protection and pond conditions. The relative advantage is not that Agvisely gives farmers </w:t>
      </w:r>
      <w:r>
        <w:lastRenderedPageBreak/>
        <w:t>another source of general agricultural information. It is that forecast data can be translated automatically and repeatedly into location- and enterprise-specific actions faster than a committee can prepare generalized advisories.</w:t>
      </w:r>
    </w:p>
    <w:p w14:paraId="7CE41EE9" w14:textId="77777777" w:rsidR="00C642E4" w:rsidRDefault="00000000">
      <w:pPr>
        <w:pStyle w:val="RKHeading2"/>
      </w:pPr>
      <w:r>
        <w:t>A four-part innovation package</w:t>
      </w:r>
    </w:p>
    <w:p w14:paraId="5682C874" w14:textId="13D5653B" w:rsidR="00C642E4" w:rsidRDefault="00000000">
      <w:r>
        <w:t xml:space="preserve">The innovation package has four interdependent components. First is the technical engine: forecast feeds, downscaling, thresholds, decision trees, content and software. Second is the delivery architecture: Agvisely’s own mobile and web interfaces, the proposed integration of its decision logic into BAMIS and Khamari, AIS call centers and SMS, OneFish, private applications and NGO channels. Third is the institutional system: BMD and RIMES for weather data and processing; DAE, AIS, DLS and DoF for public delivery; research institutes for scientific validation; and CGIAR centers for transitional integration and technical support. Fourth is </w:t>
      </w:r>
      <w:proofErr w:type="gramStart"/>
      <w:r>
        <w:t xml:space="preserve">the </w:t>
      </w:r>
      <w:r w:rsidR="00B132C7">
        <w:t xml:space="preserve"> transmission</w:t>
      </w:r>
      <w:proofErr w:type="gramEnd"/>
      <w:r w:rsidR="00B132C7">
        <w:t xml:space="preserve"> and </w:t>
      </w:r>
      <w:r>
        <w:t xml:space="preserve">adoption pathway: extension officers, call-center staff, lead farmers, private field agents and NGOs must receive the advice, select the relevant farmers, communicate it in time, and help users act. The innovation succeeds only when all four components function. A technically correct decision tree sitting behind an unavailable platform, an unused government application or an intermediary who does not contact farmers has no </w:t>
      </w:r>
      <w:r w:rsidR="00B132C7">
        <w:t xml:space="preserve">impact or </w:t>
      </w:r>
      <w:r>
        <w:t>value.</w:t>
      </w:r>
    </w:p>
    <w:p w14:paraId="7250F510" w14:textId="77777777" w:rsidR="00C642E4" w:rsidRDefault="00000000">
      <w:pPr>
        <w:pStyle w:val="RKHeading2"/>
      </w:pPr>
      <w:r>
        <w:t>The intended shift</w:t>
      </w:r>
    </w:p>
    <w:p w14:paraId="26D6485F" w14:textId="5C12A0A4" w:rsidR="00C642E4" w:rsidRDefault="00000000">
      <w:r>
        <w:t>The intended system change is important</w:t>
      </w:r>
      <w:r w:rsidR="00B132C7">
        <w:t xml:space="preserve">, though the lack of a clear long-term vision calls this into question. We heard both that CIMMYT intends to eventually spin off separate public and private </w:t>
      </w:r>
      <w:proofErr w:type="gramStart"/>
      <w:r w:rsidR="00B132C7">
        <w:t>versions</w:t>
      </w:r>
      <w:proofErr w:type="gramEnd"/>
      <w:r w:rsidR="00B132C7">
        <w:t xml:space="preserve"> limiting itself to updating the agronomic advice, and to retaining </w:t>
      </w:r>
      <w:proofErr w:type="spellStart"/>
      <w:r w:rsidR="00B132C7">
        <w:t>Agvisely</w:t>
      </w:r>
      <w:proofErr w:type="spellEnd"/>
      <w:r w:rsidR="00B132C7">
        <w:t xml:space="preserve"> as an income earner. </w:t>
      </w:r>
      <w:proofErr w:type="gramStart"/>
      <w:r w:rsidR="00B132C7">
        <w:t>Assuming that</w:t>
      </w:r>
      <w:proofErr w:type="gramEnd"/>
      <w:r w:rsidR="00B132C7">
        <w:t xml:space="preserve"> </w:t>
      </w:r>
      <w:r>
        <w:t>CGIAR should not continue operating a standalone application indefinitely</w:t>
      </w:r>
      <w:r w:rsidR="00B132C7">
        <w:t xml:space="preserve">, </w:t>
      </w:r>
      <w:proofErr w:type="spellStart"/>
      <w:r>
        <w:t>Agvisely</w:t>
      </w:r>
      <w:proofErr w:type="spellEnd"/>
      <w:r>
        <w:t>-derived decision logic should become part of Bangladesh’s routine public advisory infrastructure, while private and NGO actors use the same or compatible logic for customer-specific services. That is the right strategic direction. The unresolved question is whether the project is actually transferring functions and ownership or merely adding integrations around a CGIAR-managed core.</w:t>
      </w:r>
    </w:p>
    <w:p w14:paraId="05A32B2C" w14:textId="77777777" w:rsidR="00C642E4" w:rsidRDefault="00000000">
      <w:pPr>
        <w:pStyle w:val="RKHeading1"/>
      </w:pPr>
      <w:r>
        <w:t>2. Implementation, Evidence and Value Propositions</w:t>
      </w:r>
    </w:p>
    <w:p w14:paraId="5FBBF579" w14:textId="77777777" w:rsidR="00C642E4" w:rsidRDefault="00000000">
      <w:pPr>
        <w:pStyle w:val="RKHeading2"/>
      </w:pPr>
      <w:r>
        <w:t>Implementation and claimed reach</w:t>
      </w:r>
    </w:p>
    <w:p w14:paraId="48C50F87" w14:textId="37FAC22A" w:rsidR="00C642E4" w:rsidRDefault="00000000">
      <w:r>
        <w:t>Agvisely is presented as technically capable of generating forecasts and advisories for all 495 upazilas. Earlier project documents reported approximately 587,000 farmers reached through roughly 8,000 registered extension officers; the April profile increased the figure to about 1.45 million farmers through 8,368 officers and identified a longer-term goal of 3.5 million active or reached farmers, while other documents use a five-million target for 2028–2030. The profile also refers to more than 14,000 DAE officers as a potential scaling network. These differences are not necessarily contradictory, but they expose the weakness of the current measurement system. “Reach” appears to mix registered officers, their potential farmer coverage, actual advisory delivery and direct users. The extended outage makes legacy reach even less meaningful because officers who used the system previously cannot automatically be treated as current users.</w:t>
      </w:r>
      <w:r w:rsidR="00B132C7">
        <w:t xml:space="preserve">  As noted in the Executive Summary above, it is not clear how the number of extension officers </w:t>
      </w:r>
      <w:proofErr w:type="gramStart"/>
      <w:r w:rsidR="00B132C7">
        <w:t>actually using</w:t>
      </w:r>
      <w:proofErr w:type="gramEnd"/>
      <w:r w:rsidR="00B132C7">
        <w:t xml:space="preserve"> </w:t>
      </w:r>
      <w:proofErr w:type="spellStart"/>
      <w:r w:rsidR="00B132C7">
        <w:t>Agvisely</w:t>
      </w:r>
      <w:proofErr w:type="spellEnd"/>
      <w:r w:rsidR="00B132C7">
        <w:t xml:space="preserve"> is being estimated, </w:t>
      </w:r>
      <w:proofErr w:type="gramStart"/>
      <w:r w:rsidR="00B132C7">
        <w:t>nor</w:t>
      </w:r>
      <w:proofErr w:type="gramEnd"/>
      <w:r w:rsidR="00B132C7">
        <w:t xml:space="preserve"> the number of farmers reached from whatever that number is. The former seems to be on the number of </w:t>
      </w:r>
      <w:r w:rsidR="00B132C7">
        <w:lastRenderedPageBreak/>
        <w:t xml:space="preserve">officers trained, which is a very weak proxy, and even more concerning given that many of those trained last year are likely to not resume use </w:t>
      </w:r>
      <w:proofErr w:type="gramStart"/>
      <w:r w:rsidR="00B132C7">
        <w:t>if and when</w:t>
      </w:r>
      <w:proofErr w:type="gramEnd"/>
      <w:r w:rsidR="00B132C7">
        <w:t xml:space="preserve"> the app is up and running again. If possible, </w:t>
      </w:r>
      <w:proofErr w:type="spellStart"/>
      <w:r w:rsidR="00B132C7">
        <w:t>Agvisely</w:t>
      </w:r>
      <w:proofErr w:type="spellEnd"/>
      <w:r w:rsidR="00B132C7">
        <w:t xml:space="preserve"> should negotiate an agreement with DAE to </w:t>
      </w:r>
      <w:proofErr w:type="gramStart"/>
      <w:r w:rsidR="00B132C7">
        <w:t>actually measure</w:t>
      </w:r>
      <w:proofErr w:type="gramEnd"/>
      <w:r w:rsidR="00B132C7">
        <w:t xml:space="preserve"> the daily number of unique users, or at least on a sample basis.</w:t>
      </w:r>
    </w:p>
    <w:p w14:paraId="4AF18F73" w14:textId="77777777" w:rsidR="00C642E4" w:rsidRDefault="00000000">
      <w:pPr>
        <w:pStyle w:val="RKHeading2"/>
      </w:pPr>
      <w:r>
        <w:t>Evidence of agronomic and behavioral value</w:t>
      </w:r>
    </w:p>
    <w:p w14:paraId="30190DB6" w14:textId="73795DAB" w:rsidR="00C642E4" w:rsidRDefault="00000000">
      <w:r>
        <w:t xml:space="preserve">The agronomic logic is credible and does not require lengthy restatement. Timely warnings can help farmers adjust irrigation, drainage, fertilizer and spray timing, harvest before damaging rain, protect livestock during heat events, or manage ponds before oxygen or temperature stress. The project states that MELIA evidence shows users adapt management more effectively than non-users. However, the documents reviewed do not provide enough detail on effect size, comparison groups, attribution, persistence, heterogeneity or economic value to support a strong impact claim. The evidence chain should therefore be separated into </w:t>
      </w:r>
      <w:r w:rsidR="00B132C7">
        <w:t>three</w:t>
      </w:r>
      <w:r>
        <w:t xml:space="preserve"> tests:</w:t>
      </w:r>
      <w:r w:rsidR="00B132C7">
        <w:t xml:space="preserve"> </w:t>
      </w:r>
      <w:r>
        <w:t>whether intermediaries deliver the right advice in time; whether farmers can and do act in ways that reduce losses or protect income</w:t>
      </w:r>
      <w:r w:rsidR="00B132C7">
        <w:t>; and whether they share this advice with family, friends and neighbors who act similarly</w:t>
      </w:r>
      <w:r>
        <w:t>. Agvisely appears strong in conceptual agronomic relevance, less proven in intermediary delivery, and still under-evidenced in sustained farmer action and impact.</w:t>
      </w:r>
    </w:p>
    <w:p w14:paraId="4C2FDE47" w14:textId="77777777" w:rsidR="00C642E4" w:rsidRDefault="00000000">
      <w:pPr>
        <w:pStyle w:val="RKHeading2"/>
      </w:pPr>
      <w:r>
        <w:t>Farmer value proposition</w:t>
      </w:r>
    </w:p>
    <w:p w14:paraId="636F177E" w14:textId="77777777" w:rsidR="00C642E4" w:rsidRDefault="00000000">
      <w:r>
        <w:t xml:space="preserve">For farmers, the value proposition is avoided loss and improved timing rather than information itself. That proposition is potentially substantial, particularly for weather-sensitive decisions made within hours or days. It is also conditional. Advice to irrigate, drain, spray, harvest, purchase veterinary products or move livestock is only useful when farmers have the cash, labor, input, machinery, transport and household authority required to respond. This matters for both impact and inclusion. Women, tenant farmers and poorer households may receive the same advisory but have less capacity to act. </w:t>
      </w:r>
      <w:r w:rsidRPr="00AE3F88">
        <w:rPr>
          <w:u w:val="single"/>
        </w:rPr>
        <w:t>The project should therefore measure the proportion of advice that is actionable for different groups and treat finance, service and input partnerships as possible solutions to specific action constraints, not as generic additions to the innovation bundle.</w:t>
      </w:r>
    </w:p>
    <w:p w14:paraId="37E5247A" w14:textId="77777777" w:rsidR="00C642E4" w:rsidRDefault="00000000">
      <w:pPr>
        <w:pStyle w:val="RKHeading2"/>
      </w:pPr>
      <w:r>
        <w:t>Public-sector value proposition</w:t>
      </w:r>
    </w:p>
    <w:p w14:paraId="6CB51EC8" w14:textId="6F29F413" w:rsidR="00C642E4" w:rsidRDefault="00000000">
      <w:r>
        <w:t xml:space="preserve">The strongest scaling case is public. DAE and related agencies must serve very large farming populations with limited staff, budgets and technical specialization. Agvisely can improve extension productivity by supplying localized, ready-to-use recommendations and by creating a reason for officers to contact farmers before predictable risk events. Government also gains a climate adaptation, disaster-risk reduction, food-security and digital-modernization asset. But this value proposition becomes operational only when the service is embedded in official systems, annual workplans, supervision, reporting, staffing and budgets. </w:t>
      </w:r>
      <w:r w:rsidR="00AE3F88">
        <w:t xml:space="preserve">Training, a mandate from HQ to use the app, supplemented by a </w:t>
      </w:r>
      <w:proofErr w:type="gramStart"/>
      <w:r w:rsidR="00AE3F88">
        <w:t xml:space="preserve">written </w:t>
      </w:r>
      <w:r>
        <w:t xml:space="preserve"> circular</w:t>
      </w:r>
      <w:proofErr w:type="gramEnd"/>
      <w:r>
        <w:t xml:space="preserve"> or </w:t>
      </w:r>
      <w:proofErr w:type="gramStart"/>
      <w:r>
        <w:t>endorsement</w:t>
      </w:r>
      <w:proofErr w:type="gramEnd"/>
      <w:r>
        <w:t xml:space="preserve"> is useful political authorization; it is not evidence of routine use. The current proposal to harmonize Agvisely and BAMIS decision trees is therefore more important than maintaining two competing applications, provided the merged system preserves upazila-level specificity and credible content governance.</w:t>
      </w:r>
    </w:p>
    <w:p w14:paraId="7B6ABCEA" w14:textId="77777777" w:rsidR="00C642E4" w:rsidRDefault="00000000">
      <w:pPr>
        <w:pStyle w:val="RKHeading2"/>
      </w:pPr>
      <w:r>
        <w:lastRenderedPageBreak/>
        <w:t>Private and NGO value propositions</w:t>
      </w:r>
    </w:p>
    <w:p w14:paraId="48DE4A54" w14:textId="7C5F37DA" w:rsidR="00C642E4" w:rsidRDefault="00000000">
      <w:r>
        <w:t xml:space="preserve">The partner meetings revealed more substantive opportunities than ordinary letters of interest. iFarmer combines a large farmer database with finance, off-take, warehouses, input retailers and hundreds of field staff; advisory services could improve production quality, reduce financing risk and deepen customer relationships. Green Delta and insurtech partners see advice as a way to reduce losses, maintain contact between enrollment and claims, and improve the attractiveness of insurance. Adorsho Pranisheba already bundles paid veterinary advice with livestock services, suggesting that farmers may pay when advice is linked to an urgent, high-value problem. Dr. Chashi brings software, diagnostic and retailer data, a reported base of about 60,000 organic users and experience with white-label platforms. NGOs offer trusted field channels for women and marginal farmers. These are real assets, but none yet constitutes an Agvisely business model. The </w:t>
      </w:r>
      <w:proofErr w:type="gramStart"/>
      <w:r>
        <w:t>required next step</w:t>
      </w:r>
      <w:proofErr w:type="gramEnd"/>
      <w:r>
        <w:t xml:space="preserve"> is</w:t>
      </w:r>
      <w:r w:rsidR="00AE3F88">
        <w:t xml:space="preserve"> not just an MOU but a real</w:t>
      </w:r>
      <w:r>
        <w:t xml:space="preserve"> transaction: a defined service, customer segment, integration cost, partner contribution, service level, performance measure and decision about future payment.</w:t>
      </w:r>
    </w:p>
    <w:p w14:paraId="12D652F5" w14:textId="77777777" w:rsidR="00C642E4" w:rsidRDefault="00000000">
      <w:pPr>
        <w:pStyle w:val="RKHeading1"/>
      </w:pPr>
      <w:r>
        <w:t>3. Scaling Ambition</w:t>
      </w:r>
    </w:p>
    <w:p w14:paraId="43393DB2" w14:textId="77777777" w:rsidR="00C642E4" w:rsidRDefault="00000000">
      <w:pPr>
        <w:pStyle w:val="RKHeading2"/>
      </w:pPr>
      <w:r>
        <w:t>Scaling ambition: plausible reach, unclear conversion</w:t>
      </w:r>
    </w:p>
    <w:p w14:paraId="0600B474" w14:textId="450C40F9" w:rsidR="00C642E4" w:rsidRDefault="00000000">
      <w:r>
        <w:t xml:space="preserve">The ambition to reach several million farmers is </w:t>
      </w:r>
      <w:r w:rsidR="00AE3F88">
        <w:t xml:space="preserve">highly </w:t>
      </w:r>
      <w:r>
        <w:t>realistic. Bangladesh has a dense extension system, multiple public digital platforms, commercial networks and large donor-supported agriculture programs. If Agvisely-derived logic is embedded in systems already used by DAE, AIS and major partners, potential exposure can grow quickly. The problem is that the ambition is still expressed mainly as a top-line reach number. Five</w:t>
      </w:r>
      <w:r w:rsidR="00AE3F88">
        <w:t xml:space="preserve">, </w:t>
      </w:r>
      <w:proofErr w:type="spellStart"/>
      <w:r w:rsidR="00AE3F88">
        <w:t>ten or</w:t>
      </w:r>
      <w:proofErr w:type="spellEnd"/>
      <w:r w:rsidR="00AE3F88">
        <w:t xml:space="preserve"> even fifteen</w:t>
      </w:r>
      <w:r>
        <w:t xml:space="preserve"> million potential recipients </w:t>
      </w:r>
      <w:proofErr w:type="gramStart"/>
      <w:r>
        <w:t>is</w:t>
      </w:r>
      <w:proofErr w:type="gramEnd"/>
      <w:r>
        <w:t xml:space="preserve"> easy to imagine; five million farmers receiving relevant advice at the correct time, understanding it, acting, </w:t>
      </w:r>
      <w:proofErr w:type="gramStart"/>
      <w:r>
        <w:t>repeating use</w:t>
      </w:r>
      <w:proofErr w:type="gramEnd"/>
      <w:r>
        <w:t xml:space="preserve"> and experiencing reduced losses is a very different proposition.</w:t>
      </w:r>
    </w:p>
    <w:p w14:paraId="0A4D1E82" w14:textId="77777777" w:rsidR="00C642E4" w:rsidRDefault="00000000">
      <w:pPr>
        <w:pStyle w:val="RKHeading2"/>
      </w:pPr>
      <w:r>
        <w:t>The minimum viable ambition</w:t>
      </w:r>
    </w:p>
    <w:p w14:paraId="4B980484" w14:textId="5F65D4CE" w:rsidR="00C642E4" w:rsidRDefault="00000000">
      <w:r>
        <w:t xml:space="preserve">For 2027, the ambition should </w:t>
      </w:r>
      <w:r w:rsidR="00AE3F88">
        <w:t xml:space="preserve">be restoring use by at least 5,000 DAE officers and </w:t>
      </w:r>
      <w:r>
        <w:t>establish</w:t>
      </w:r>
      <w:r w:rsidR="00AE3F88">
        <w:t>ing</w:t>
      </w:r>
      <w:r>
        <w:t xml:space="preserve"> a minimum viable national advisory system: reliable technical operation; one agreed public architecture; verified routine use by a substantial extension cohort; at least one inclusive low-literacy delivery route; one or two commercial pilots with measurable value; and an institutional and financial model that can survive declining CGIAR support. Achieving those conditions would be a more consequential scaling result than adding another million estimated beneficiaries.</w:t>
      </w:r>
    </w:p>
    <w:p w14:paraId="21F22B00" w14:textId="77777777" w:rsidR="00C642E4" w:rsidRDefault="00000000">
      <w:pPr>
        <w:pStyle w:val="RKHeading1"/>
      </w:pPr>
      <w:r>
        <w:t>4. Key Stakeholders, Roles and Incentives</w:t>
      </w:r>
    </w:p>
    <w:p w14:paraId="626859D1" w14:textId="77777777" w:rsidR="00C642E4" w:rsidRDefault="00000000">
      <w:pPr>
        <w:pStyle w:val="RKHeading2"/>
      </w:pPr>
      <w:r>
        <w:t>Stakeholders and actor roles</w:t>
      </w:r>
    </w:p>
    <w:p w14:paraId="584A9751" w14:textId="77777777" w:rsidR="00C642E4" w:rsidRDefault="00000000">
      <w:r>
        <w:t xml:space="preserve">The emerging pathway is a hybrid public-institutional model with private and NGO amplification. DAE is the most plausible primary driver for crop advisories because it has the mandate, field force, legitimacy and official systems. RIMES is a potential technical operator and integrator, particularly because it already supports BAMIS and the BMD pipeline. BMD supplies the authoritative weather data on which the service depends. BARC/Khamari and AIS provide additional public digital, call-center, SMS and voice channels. DLS, DoF, BLRI and BFRI are required for livestock and aquaculture content, validation and delivery, although these pathways appear less institutionally mature than the crop pathway. CIMMYT, IRRI and </w:t>
      </w:r>
      <w:r>
        <w:lastRenderedPageBreak/>
        <w:t>WorldFish should play transitional roles in technical stewardship, scientific validation, partner brokering and system integration rather than permanent operation.</w:t>
      </w:r>
    </w:p>
    <w:p w14:paraId="409BE9F3" w14:textId="77777777" w:rsidR="00C642E4" w:rsidRDefault="00000000">
      <w:pPr>
        <w:pStyle w:val="RKHeading2"/>
      </w:pPr>
      <w:r>
        <w:t>No single driver yet</w:t>
      </w:r>
    </w:p>
    <w:p w14:paraId="386ADBDB" w14:textId="77777777" w:rsidR="00C642E4" w:rsidRDefault="00000000">
      <w:r>
        <w:t xml:space="preserve">In theory, DAE should drive the public pathway. In reality, no actor yet controls and is accountable for the entire chain. RIMES may operate the back end but cannot by itself ensure that content is current, extension officers use it or farmers act. DAE may authorize use but does not necessarily control BMD data, software contracting or research validation. CIMMYT has been the </w:t>
      </w:r>
      <w:r w:rsidRPr="00AE3F88">
        <w:rPr>
          <w:i/>
          <w:iCs/>
        </w:rPr>
        <w:t>de facto</w:t>
      </w:r>
      <w:r>
        <w:t xml:space="preserve"> system integrator, but it does not have a durable mandate to operate Bangladesh’s national advisory infrastructure and has struggled to complete the technical and institutional transition. Private partners can drive particular customer bundles, but they are not substitutes for the public-good core. The scaling pathway therefore needs a function map rather than a partner map: who forecasts, processes, hosts, maintains, validates, approves, disseminates, supports, monitors, pays and responds when the service fails.</w:t>
      </w:r>
    </w:p>
    <w:p w14:paraId="76812C75" w14:textId="77777777" w:rsidR="00C642E4" w:rsidRDefault="00000000">
      <w:pPr>
        <w:pStyle w:val="RKHeading2"/>
      </w:pPr>
      <w:r>
        <w:t>Incentives and business models</w:t>
      </w:r>
    </w:p>
    <w:p w14:paraId="549384C8" w14:textId="77777777" w:rsidR="00C642E4" w:rsidRDefault="00000000">
      <w:r>
        <w:t>The actors’ incentives are uneven. DAE gains officer productivity and institutional visibility, but individual officers may face competing duties, weak supervision, poor connectivity and little reward for proactive outreach. RIMES can earn a service contract and deepen its government role, but performance obligations must be explicit. Research institutes gain relevance but may not have budgets or incentives for continuous content maintenance. Private companies gain customer retention, lower risk, product differentiation or sales, but will pay only if Agvisely changes a business outcome. NGOs gain a useful service for program beneficiaries but are unlikely to finance it outside funded programs. Farmers may pay for urgent, bundled or high-value advice, but general climate information is likely to remain partly a public good. A sustainable model will therefore be blended: public finance for the common forecast, decision and quality-assurance infrastructure; partner finance for customer-specific integration and delivery; and selective farmer payment where advice is embedded in a valued commercial service.</w:t>
      </w:r>
    </w:p>
    <w:p w14:paraId="3A59C54C" w14:textId="77777777" w:rsidR="00C642E4" w:rsidRDefault="00000000">
      <w:pPr>
        <w:pStyle w:val="RKHeading1"/>
      </w:pPr>
      <w:r>
        <w:t>5. Scaling Strengths, Weaknesses and Binding Bottlenecks</w:t>
      </w:r>
    </w:p>
    <w:p w14:paraId="20F2C9E1" w14:textId="77777777" w:rsidR="00C642E4" w:rsidRDefault="00000000">
      <w:pPr>
        <w:pStyle w:val="RKHeading2"/>
      </w:pPr>
      <w:r>
        <w:t>Strong core, weak operating system</w:t>
      </w:r>
    </w:p>
    <w:p w14:paraId="1D378B57" w14:textId="77777777" w:rsidR="00C642E4" w:rsidRDefault="00000000">
      <w:r>
        <w:t>The project’s main strength and its main weakness are closely connected. Agvisely has accumulated a sophisticated technical concept, wide commodity coverage and many interested partners. That breadth demonstrates creativity and relevance. It also masks the absence of a stable operating system. The 2026 outage is not simply a technical inconvenience; it is a scaling diagnosis. It shows that the innovation depended on a fragile combination of forecast feeds, contractors, CGIAR procurement, software ownership and informal problem solving. An API strategy that connects many downstream applications to an unreliable core multiplies rather than diversifies risk. The immediate priority is therefore architectural resilience: redundant data sources where legally and technically possible, monitoring, service-level agreements, incident response, version control, documentation and tested recovery. The platform should demonstrate sustained performance before becoming a dependency for multiple partners.</w:t>
      </w:r>
    </w:p>
    <w:p w14:paraId="76E950D5" w14:textId="77777777" w:rsidR="00C642E4" w:rsidRDefault="00000000">
      <w:pPr>
        <w:pStyle w:val="RKHeading2"/>
      </w:pPr>
      <w:r>
        <w:lastRenderedPageBreak/>
        <w:t>MOUs are not institutionalization</w:t>
      </w:r>
    </w:p>
    <w:p w14:paraId="6FCEFF7A" w14:textId="60A1D5B3" w:rsidR="00C642E4" w:rsidRDefault="00000000">
      <w:r>
        <w:t xml:space="preserve">The project materials repeatedly treat government endorsement, circulars, letters of demand and proposed MOUs as evidence that the pathway exists. </w:t>
      </w:r>
      <w:r w:rsidRPr="00AE3F88">
        <w:rPr>
          <w:u w:val="single"/>
        </w:rPr>
        <w:t>They are evidence of legitimacy and interest, but not of execution.</w:t>
      </w:r>
      <w:r>
        <w:t xml:space="preserve"> During the coaching session, the RIMES contract remained in process, the DAE technical committee had not been appointed, and the detailed MOU was not available for review. The project should stop reporting agreements as completed outcomes unless they contain operational obligations, budgets, timelines and escalation procedures.</w:t>
      </w:r>
    </w:p>
    <w:p w14:paraId="732BCE26" w14:textId="77777777" w:rsidR="00C642E4" w:rsidRDefault="00000000">
      <w:pPr>
        <w:pStyle w:val="RKHeading2"/>
      </w:pPr>
      <w:r>
        <w:t>Implementation capacity is a binding constraint</w:t>
      </w:r>
    </w:p>
    <w:p w14:paraId="7290781F" w14:textId="2162E0A0" w:rsidR="00C642E4" w:rsidRDefault="00000000">
      <w:r>
        <w:t>The evidence points to implementation management</w:t>
      </w:r>
      <w:r w:rsidR="00AE3F88">
        <w:t xml:space="preserve"> and execution</w:t>
      </w:r>
      <w:r>
        <w:t xml:space="preserve">—not scientific quality—as one of the weakest links. The project lead is highly knowledgeable, entrepreneurial and effective at generating relationships and ideas. Those are valuable scaling capabilities. Yet the role is allocated at approximately 25 percent, while the project requires simultaneous management of software recovery, CGIAR contracting, government negotiations, content harmonization, three CGIAR centers, training, MELIA, and multiple commercial and NGO partnerships. The result has been repeated optimism about two-week timelines, insufficient follow-through, an unclear priority sequence and visible tension over accountability. S4I should not assume that stronger commitment alone will solve this. </w:t>
      </w:r>
      <w:r w:rsidR="00AE3F88">
        <w:t xml:space="preserve">The current team lead, Dr. Babu, needs to be held accountable for deliverables or replaced, and that decision is urgent.  Eight plus months of </w:t>
      </w:r>
      <w:proofErr w:type="spellStart"/>
      <w:r w:rsidR="00AE3F88">
        <w:t>Agvisely</w:t>
      </w:r>
      <w:proofErr w:type="spellEnd"/>
      <w:r w:rsidR="00AE3F88">
        <w:t xml:space="preserve"> </w:t>
      </w:r>
      <w:proofErr w:type="spellStart"/>
      <w:r w:rsidR="00AE3F88">
        <w:t>unoperational</w:t>
      </w:r>
      <w:proofErr w:type="spellEnd"/>
      <w:r w:rsidR="00AE3F88">
        <w:t xml:space="preserve"> is inexcusable; if the app is not fully operational in the next few weeks, action is needed.  </w:t>
      </w:r>
      <w:proofErr w:type="spellStart"/>
      <w:r w:rsidR="00AE3F88">
        <w:t>Regardelss</w:t>
      </w:r>
      <w:proofErr w:type="spellEnd"/>
      <w:r w:rsidR="00AE3F88">
        <w:t xml:space="preserve"> of who is leading the </w:t>
      </w:r>
      <w:proofErr w:type="spellStart"/>
      <w:r w:rsidR="00AE3F88">
        <w:t>Agvisely</w:t>
      </w:r>
      <w:proofErr w:type="spellEnd"/>
      <w:r w:rsidR="00AE3F88">
        <w:t xml:space="preserve"> team, t</w:t>
      </w:r>
      <w:r>
        <w:t>he job must be redesigned</w:t>
      </w:r>
      <w:r w:rsidR="00AE3F88">
        <w:t xml:space="preserve"> and additional human resources committed</w:t>
      </w:r>
      <w:r>
        <w:t xml:space="preserve">. A full-time or near-full-time delivery manager should own milestones, dependencies, documentation, escalation and partner follow-up, while the </w:t>
      </w:r>
      <w:r w:rsidR="00AE3F88">
        <w:t>team</w:t>
      </w:r>
      <w:r>
        <w:t xml:space="preserve"> </w:t>
      </w:r>
      <w:proofErr w:type="gramStart"/>
      <w:r>
        <w:t>lead</w:t>
      </w:r>
      <w:proofErr w:type="gramEnd"/>
      <w:r>
        <w:t xml:space="preserve"> concentrates on technical strategy and high-level relationships.</w:t>
      </w:r>
    </w:p>
    <w:p w14:paraId="2B5D21E4" w14:textId="77777777" w:rsidR="00C642E4" w:rsidRDefault="00000000">
      <w:pPr>
        <w:pStyle w:val="RKHeading2"/>
      </w:pPr>
      <w:r>
        <w:t>Strategic dilution</w:t>
      </w:r>
    </w:p>
    <w:p w14:paraId="2EE9FF92" w14:textId="0D3FD22A" w:rsidR="00C642E4" w:rsidRDefault="00000000">
      <w:r>
        <w:t xml:space="preserve">Agvisely’s portfolio logic—public extension, crops, livestock, aquaculture, insurance, finance, mechanization, disease forecasting, food safety, AI voice and multiple apps—resembles a menu of opportunities rather than a scaling strategy. Each bundle may be individually reasonable, but each adds validation requirements, contracts, integration work, training, support and governance. </w:t>
      </w:r>
      <w:r w:rsidRPr="00AE3F88">
        <w:rPr>
          <w:u w:val="single"/>
        </w:rPr>
        <w:t>The constraint is not the number of good ideas; it is the capacity to complete the few activities on which all others depend</w:t>
      </w:r>
      <w:r w:rsidR="00AE3F88">
        <w:t>; this seems likely to be a leadership failure of someone who is strong on ideation and weak on execution and delivery</w:t>
      </w:r>
      <w:r>
        <w:t>. The correct sequence is clear: restore service; complete the public architecture and BAMIS harmonization; reactivate and measure users; then test a small number of partner bundles. Additional crops and services should be admitted only when they use the stable common architecture and have a named owner and payer.</w:t>
      </w:r>
    </w:p>
    <w:p w14:paraId="61FE526A" w14:textId="77777777" w:rsidR="00C642E4" w:rsidRDefault="00000000">
      <w:pPr>
        <w:pStyle w:val="RKHeading2"/>
      </w:pPr>
      <w:r>
        <w:t>Reach without use</w:t>
      </w:r>
    </w:p>
    <w:p w14:paraId="74AC8632" w14:textId="77777777" w:rsidR="00C642E4" w:rsidRDefault="00000000">
      <w:r>
        <w:t xml:space="preserve">The current reporting system rewards broad reach claims and obscures conversion. A registered officer may not log in. An officer who receives an advisory may not pass it to farmers. A farmer who hears it may not understand or trust it. A farmer who understands may lack the resources to act. The outage means that even previously active users must be </w:t>
      </w:r>
      <w:r>
        <w:lastRenderedPageBreak/>
        <w:t>reactivated. The 4,000-person training target should therefore be reframed. Training completion is not the result; verified routine use is. The project needs product analytics, officer and supervisor workflows, periodic user sampling and channel-specific conversion data. It should be able to say how many officers were active in the last month, how many relevant advisories they delivered, how many farmers acted and what happened—not merely how many officers once registered.</w:t>
      </w:r>
    </w:p>
    <w:p w14:paraId="4743C2EF" w14:textId="77777777" w:rsidR="00C642E4" w:rsidRDefault="00000000">
      <w:pPr>
        <w:pStyle w:val="RKHeading2"/>
      </w:pPr>
      <w:r>
        <w:t>Financial sustainability</w:t>
      </w:r>
    </w:p>
    <w:p w14:paraId="0D9A1DC6" w14:textId="77777777" w:rsidR="00C642E4" w:rsidRDefault="00000000">
      <w:r>
        <w:t>The current sustainability argument is incomplete. The project assumes that government will absorb recurring costs and private partners will pay for API access or bundled services. Those outcomes are possible, but neither is yet evidenced. The team should map the full annual cost structure under several scale scenarios: weather and data arrangements, RIMES or other service contracts, hosting, security, software maintenance, decision-tree updates, content validation, user support, voice and SMS, analytics, training refreshers and incident management. It should then assign a likely payer and decision maker to each cost. The operating model should not rely on farmer subscriptions to finance the public core. Farmer payment may work for a veterinary, insurance, finance or market bundle; it is less plausible for general extension information that government and donors already provide free. Private revenue should be treated as supplementary until pilots demonstrate willingness to pay and retained value.</w:t>
      </w:r>
    </w:p>
    <w:p w14:paraId="6C74EB53" w14:textId="77777777" w:rsidR="00C642E4" w:rsidRDefault="00000000">
      <w:pPr>
        <w:pStyle w:val="RKHeading2"/>
      </w:pPr>
      <w:r>
        <w:t>Theoretical pathway versus operational reality</w:t>
      </w:r>
    </w:p>
    <w:p w14:paraId="5C74CA68" w14:textId="453298CF" w:rsidR="00C642E4" w:rsidRDefault="00000000">
      <w:r>
        <w:t xml:space="preserve">The theory of change is coherent: localized forecasts plus decision rules, delivered through public, private and NGO channels, lead to timely action and greater resilience. Reality currently breaks at nearly every transition. The core system has not been reliably available. The public integration pathway is negotiated but incomplete. Extension use is assumed from registration rather than demonstrated. Private partners are interested but not contracted around measurable value. The operating and financing model is still a set of possibilities. None of these weaknesses invalidates the innovation; they establish its true stage. Agvisely is beyond proof of concept because the technical approach and demand are credible. </w:t>
      </w:r>
      <w:r w:rsidR="00EB10DA">
        <w:t xml:space="preserve">While it is operating, when operating, at significant scale, it is simultaneously at </w:t>
      </w:r>
      <w:r>
        <w:t>transition to scale because the surrounding system is not yet sufficiently reliable, owned, financed or managed for active scaling.</w:t>
      </w:r>
      <w:r w:rsidR="00EB10DA">
        <w:t xml:space="preserve">  In that sense it has “gotten out ahead of its skis”.</w:t>
      </w:r>
    </w:p>
    <w:p w14:paraId="6708F0D8" w14:textId="10B41F45" w:rsidR="00C642E4" w:rsidRDefault="00EB10DA">
      <w:pPr>
        <w:pStyle w:val="RKHeading1"/>
      </w:pPr>
      <w:r>
        <w:t>6</w:t>
      </w:r>
      <w:r w:rsidR="00000000">
        <w:t>. Recommendations and 2027 Funding</w:t>
      </w:r>
    </w:p>
    <w:p w14:paraId="5D0C7019" w14:textId="77777777" w:rsidR="00C642E4" w:rsidRDefault="00000000">
      <w:pPr>
        <w:pStyle w:val="RKHeading2"/>
      </w:pPr>
      <w:r>
        <w:t>A focused 2027 work program</w:t>
      </w:r>
    </w:p>
    <w:p w14:paraId="17A4BB29" w14:textId="77777777" w:rsidR="00EB10DA" w:rsidRDefault="00000000">
      <w:r>
        <w:t xml:space="preserve">The project team should organize 2027 around a small number of non-negotiable work packages. The first is technical stabilization. The BMD/RIMES pipeline and the Agvisely back end should be restored, documented and operated through a stabilization period with explicit uptime, latency, backup, security, recovery and incident-response standards. The RIMES contract should specify deliverables and penalties or remedies, not merely collaboration. </w:t>
      </w:r>
    </w:p>
    <w:p w14:paraId="413562EC" w14:textId="6E959A74" w:rsidR="00C642E4" w:rsidRDefault="00000000">
      <w:r>
        <w:t>The second is public-system harmonization. CIMMYT, DAE, RIMES and relevant research bodies should agree a single architecture for BAMIS and Agvisely decision logic, identify what remains common or separate, and complete a version-controlled integration</w:t>
      </w:r>
      <w:r w:rsidR="00EB10DA">
        <w:t xml:space="preserve"> of the </w:t>
      </w:r>
      <w:proofErr w:type="spellStart"/>
      <w:r w:rsidR="00EB10DA">
        <w:t>Agvisely</w:t>
      </w:r>
      <w:proofErr w:type="spellEnd"/>
      <w:r w:rsidR="00EB10DA">
        <w:t xml:space="preserve"> algorithm</w:t>
      </w:r>
      <w:r>
        <w:t xml:space="preserve"> with a clear institutional owner.</w:t>
      </w:r>
    </w:p>
    <w:p w14:paraId="3820CA88" w14:textId="77777777" w:rsidR="00C642E4" w:rsidRDefault="00000000">
      <w:pPr>
        <w:pStyle w:val="RKHeading2"/>
      </w:pPr>
      <w:r>
        <w:lastRenderedPageBreak/>
        <w:t>Reactivate use, do not merely retrain</w:t>
      </w:r>
    </w:p>
    <w:p w14:paraId="5D06923B" w14:textId="260E5699" w:rsidR="00C642E4" w:rsidRDefault="00000000">
      <w:r>
        <w:t xml:space="preserve">The third work package is user reactivation and adoption evidence. All previously registered extension officers should be treated as inactive until current use is verified. The team should develop a concise reactivation package, embed expectations in DAE supervision and reporting, and track monthly active users. The </w:t>
      </w:r>
      <w:proofErr w:type="gramStart"/>
      <w:r>
        <w:t>4,000 training</w:t>
      </w:r>
      <w:proofErr w:type="gramEnd"/>
      <w:r>
        <w:t xml:space="preserve"> commitment should</w:t>
      </w:r>
      <w:r w:rsidR="00EB10DA">
        <w:t xml:space="preserve"> likely be increased significantly given the eight-month </w:t>
      </w:r>
      <w:proofErr w:type="gramStart"/>
      <w:r w:rsidR="00EB10DA">
        <w:t>downtime;  regardless</w:t>
      </w:r>
      <w:proofErr w:type="gramEnd"/>
      <w:r w:rsidR="00EB10DA">
        <w:t xml:space="preserve"> of the numbers the training target</w:t>
      </w:r>
      <w:r>
        <w:t xml:space="preserve"> be converted into a verified-use target and a plan for the broader legacy network. </w:t>
      </w:r>
      <w:r w:rsidRPr="00EB10DA">
        <w:rPr>
          <w:u w:val="single"/>
        </w:rPr>
        <w:t>A scaling dashboard should follow the entire funnel from system uptime to advisory generation, officer use, farmer receipt, action and repeat use, with disaggregation by gender, channel and geography</w:t>
      </w:r>
      <w:r>
        <w:t>. A representative outcome study should estimate whether actions reduced losses or protected income.</w:t>
      </w:r>
    </w:p>
    <w:p w14:paraId="6024BE91" w14:textId="6629A021" w:rsidR="00C642E4" w:rsidRDefault="00000000">
      <w:pPr>
        <w:pStyle w:val="RKHeading2"/>
      </w:pPr>
      <w:r>
        <w:t>Select</w:t>
      </w:r>
      <w:r w:rsidR="00EB10DA">
        <w:t>ed</w:t>
      </w:r>
      <w:r>
        <w:t xml:space="preserve"> commercial pilots</w:t>
      </w:r>
    </w:p>
    <w:p w14:paraId="7CAFB868" w14:textId="77777777" w:rsidR="00C642E4" w:rsidRDefault="00000000">
      <w:r>
        <w:t>The fourth work package is one or two serious partner pilots, not a partnership portfolio. iFarmer is attractive because advice can be linked to finance, production protocols, off-take and a large field network. An insurance or livestock partner is attractive because reduced loss and continued customer contact create a measurable business case. Each pilot should state the business problem, service, users, integration, partner contribution, data-sharing arrangement, operating cost, performance standard and decision rule for continuation. Partner commitment should include cash, staff, technical integration, customer access or data; an MOU without such contributions should not count as progress.</w:t>
      </w:r>
    </w:p>
    <w:p w14:paraId="7C427805" w14:textId="77777777" w:rsidR="00C642E4" w:rsidRDefault="00000000">
      <w:pPr>
        <w:pStyle w:val="RKHeading2"/>
      </w:pPr>
      <w:r>
        <w:t>Build the end-state institution</w:t>
      </w:r>
    </w:p>
    <w:p w14:paraId="1D035CF7" w14:textId="712E99DC" w:rsidR="00C642E4" w:rsidRDefault="00000000">
      <w:r>
        <w:t xml:space="preserve">The fifth work package is a five-year operating and governance </w:t>
      </w:r>
      <w:r w:rsidR="00EB10DA">
        <w:t>vision and pathway</w:t>
      </w:r>
      <w:r>
        <w:t>. The team should specify the end state: which institution hosts the canonical service; whether CIMMYT retains any role; how public and private versions remain consistent; who validates content; who funds common infrastructure; how private partners pay for custom services; and how the system is governed after S4I. The compact should include annual cost scenarios, payer and doer assignments, named staff, budget lines, service standards and a transition schedule. The end vision should be common across CIMMYT, DAE and RIMES. Without that shared vision, the project will continue accumulating integrations without transferring the system.</w:t>
      </w:r>
    </w:p>
    <w:p w14:paraId="25124108" w14:textId="77777777" w:rsidR="00C642E4" w:rsidRDefault="00000000">
      <w:pPr>
        <w:pStyle w:val="RKHeading2"/>
      </w:pPr>
      <w:r>
        <w:t>Project management and accountability</w:t>
      </w:r>
    </w:p>
    <w:p w14:paraId="48558674" w14:textId="5AC000DE" w:rsidR="00C642E4" w:rsidRDefault="00000000">
      <w:r>
        <w:t>A dedicated operation</w:t>
      </w:r>
      <w:r w:rsidR="00EB10DA">
        <w:t>a</w:t>
      </w:r>
      <w:r>
        <w:t>l lead should be appointed before the 2027 contract begins. The project should maintain a weekly dashboard with milestones, dependencies, responsible persons, evidence of completion and predetermined escalation steps. Delays outside the team’s direct control are inevitable, especially in government and CGIAR procurement, but waiting is not a strategy</w:t>
      </w:r>
      <w:r w:rsidR="00EB10DA">
        <w:t xml:space="preserve"> and when those delays </w:t>
      </w:r>
      <w:proofErr w:type="gramStart"/>
      <w:r w:rsidR="00EB10DA">
        <w:t>persist</w:t>
      </w:r>
      <w:proofErr w:type="gramEnd"/>
      <w:r w:rsidR="00EB10DA">
        <w:t xml:space="preserve"> they </w:t>
      </w:r>
      <w:proofErr w:type="gramStart"/>
      <w:r w:rsidR="00EB10DA">
        <w:t>likely reflect</w:t>
      </w:r>
      <w:proofErr w:type="gramEnd"/>
      <w:r w:rsidR="00EB10DA">
        <w:t xml:space="preserve"> a leadership challenge </w:t>
      </w:r>
      <w:proofErr w:type="gramStart"/>
      <w:r w:rsidR="00EB10DA">
        <w:t>in regards to</w:t>
      </w:r>
      <w:proofErr w:type="gramEnd"/>
      <w:r w:rsidR="00EB10DA">
        <w:t xml:space="preserve"> problem solving, management, execution and escalation</w:t>
      </w:r>
      <w:r>
        <w:t>. For every critical approval or contract, the team should specify what it will do after one week, two weeks and one month of delay and</w:t>
      </w:r>
      <w:r w:rsidR="00EB10DA">
        <w:t xml:space="preserve">, if appropriate, </w:t>
      </w:r>
      <w:r>
        <w:t>which CIMMYT or government authority will be engaged. Senior center leadership should actively remove administrative bottlenecks rather than leaving a scientist to negotiate them alone.</w:t>
      </w:r>
    </w:p>
    <w:p w14:paraId="1413F2F9" w14:textId="77777777" w:rsidR="00C642E4" w:rsidRDefault="00000000">
      <w:pPr>
        <w:pStyle w:val="RKHeading2"/>
      </w:pPr>
      <w:r>
        <w:lastRenderedPageBreak/>
        <w:t>Funding structure and stage gates</w:t>
      </w:r>
    </w:p>
    <w:p w14:paraId="5C5D0456" w14:textId="5E30BB61" w:rsidR="00C642E4" w:rsidRDefault="00000000">
      <w:r>
        <w:t xml:space="preserve">S4I should offer a conditional first tranche equal to approximately </w:t>
      </w:r>
      <w:r w:rsidR="00EB10DA">
        <w:t xml:space="preserve">half </w:t>
      </w:r>
      <w:r>
        <w:t>of the 2026 allocation, focused only on technical stabilization, BAMIS/RIMES/DAE integration, reactivation analytics, governance and two partner pilots. A second tranche should be reserved for a March–April innovation-fund decision. Release should require: at least three months of demonstrated reliable operation; signed and operational technical and institutional agreements; a functioning canonical content-governance process; measurable monthly use by extension officers; a credible adoption funnel; at least one commercial pilot with partner contribution; and a costed operating model with identified public and private payers. Failure to meet the reliability and ownership gates should trigger redesign or closure rather than another year of generalized activity.</w:t>
      </w:r>
    </w:p>
    <w:p w14:paraId="777C34D3" w14:textId="77777777" w:rsidR="00C642E4" w:rsidRDefault="00000000">
      <w:pPr>
        <w:pStyle w:val="RKHeading2"/>
      </w:pPr>
      <w:r>
        <w:t>Expected 2027 results</w:t>
      </w:r>
    </w:p>
    <w:p w14:paraId="73037DD5" w14:textId="77777777" w:rsidR="00C642E4" w:rsidRDefault="00000000">
      <w:r>
        <w:t>By the end of 2027, success should mean that the Agvisely logic is operating reliably within an agreed public architecture; DAE officers are using it routinely and that use is visible in data; at least one low-literacy channel has demonstrated affordable delivery and action; one or two private partners have evidence that advice improves a business outcome and have made a continuing contribution; and CIMMYT is no longer the indispensable operator of every function. It should not be defined by the number of crops added, meetings held, MOUs drafted or farmers theoretically covered.</w:t>
      </w:r>
    </w:p>
    <w:p w14:paraId="67FF45E5" w14:textId="77777777" w:rsidR="00C642E4" w:rsidRDefault="00000000">
      <w:pPr>
        <w:pStyle w:val="RKHeading1"/>
      </w:pPr>
      <w:r>
        <w:t>8. Lessons for S4I and CGIAR</w:t>
      </w:r>
    </w:p>
    <w:p w14:paraId="47294339" w14:textId="77777777" w:rsidR="00C642E4" w:rsidRDefault="00000000">
      <w:pPr>
        <w:pStyle w:val="RKHeading2"/>
      </w:pPr>
      <w:r>
        <w:t>Lessons for S4I</w:t>
      </w:r>
    </w:p>
    <w:p w14:paraId="1504C42A" w14:textId="77777777" w:rsidR="00C642E4" w:rsidRDefault="00000000">
      <w:r>
        <w:t>Agvisely illustrates why S4I should fund transition functions rather than expansion labels. The highest-value use of S4I money is not another application feature, crop module or awareness campaign. It is the work ordinary research projects often avoid: service architecture, institutional agreements with budgets, content governance, adoption analytics, commercial testing, reliability engineering, exit planning and implementation management. These activities may produce fewer immediate beneficiary numbers, but they determine whether impact continues after the grant.</w:t>
      </w:r>
    </w:p>
    <w:p w14:paraId="72E64CA8" w14:textId="128CAFFF" w:rsidR="00C642E4" w:rsidRDefault="00000000">
      <w:pPr>
        <w:pStyle w:val="RKHeading2"/>
      </w:pPr>
      <w:r>
        <w:t>Assess implementation capacity</w:t>
      </w:r>
    </w:p>
    <w:p w14:paraId="0817BB3A" w14:textId="0DCC4FB6" w:rsidR="00C642E4" w:rsidRDefault="00000000">
      <w:r w:rsidRPr="00EB10DA">
        <w:rPr>
          <w:u w:val="single"/>
        </w:rPr>
        <w:t>S4I should explicitly assess whether each track has the</w:t>
      </w:r>
      <w:r w:rsidR="00EB10DA" w:rsidRPr="00EB10DA">
        <w:rPr>
          <w:u w:val="single"/>
        </w:rPr>
        <w:t xml:space="preserve"> quantity and quality of</w:t>
      </w:r>
      <w:r w:rsidRPr="00EB10DA">
        <w:rPr>
          <w:u w:val="single"/>
        </w:rPr>
        <w:t xml:space="preserve"> management capacity </w:t>
      </w:r>
      <w:r w:rsidR="00EB10DA" w:rsidRPr="00EB10DA">
        <w:rPr>
          <w:u w:val="single"/>
        </w:rPr>
        <w:t xml:space="preserve">and staff </w:t>
      </w:r>
      <w:r w:rsidRPr="00EB10DA">
        <w:rPr>
          <w:u w:val="single"/>
        </w:rPr>
        <w:t>to execute its scaling strategy</w:t>
      </w:r>
      <w:r>
        <w:t>. Scientific excellence and partnership entrepreneurship are not substitutes for operational leadership. A project with ten institutional dependencies and a part-time lead should be required to add delivery management or narrow the scope. Performance-based funding should evaluate completion of critical functions and resolution of bottlenecks, not only activity totals.</w:t>
      </w:r>
    </w:p>
    <w:p w14:paraId="11764CA8" w14:textId="77777777" w:rsidR="00C642E4" w:rsidRDefault="00000000">
      <w:pPr>
        <w:pStyle w:val="RKHeading2"/>
      </w:pPr>
      <w:r>
        <w:t>Fix the funding calendar</w:t>
      </w:r>
    </w:p>
    <w:p w14:paraId="02677F6F" w14:textId="49958B3F" w:rsidR="00C642E4" w:rsidRDefault="00000000">
      <w:r>
        <w:t xml:space="preserve">The coaching discussion also exposed a program-level problem. Centers received effective </w:t>
      </w:r>
      <w:proofErr w:type="gramStart"/>
      <w:r>
        <w:t>spending authority</w:t>
      </w:r>
      <w:proofErr w:type="gramEnd"/>
      <w:r>
        <w:t xml:space="preserve"> </w:t>
      </w:r>
      <w:r w:rsidR="00EB10DA">
        <w:t xml:space="preserve">in March of </w:t>
      </w:r>
      <w:r>
        <w:t xml:space="preserve">the year while S4I needed to decide the next year’s funding by September. That compresses the learning period, encourages optimistic promises and penalizes projects for delays partly created by CGIAR systems. S4I cannot remove accountability, but it should align calls, contracting and stage gates with a realistic </w:t>
      </w:r>
      <w:r>
        <w:lastRenderedPageBreak/>
        <w:t>implementation calendar and create rapid escalation channels for center-level procurement and contracting barriers that threaten flagship results.</w:t>
      </w:r>
    </w:p>
    <w:p w14:paraId="579073DB" w14:textId="77777777" w:rsidR="00C642E4" w:rsidRDefault="00000000">
      <w:pPr>
        <w:pStyle w:val="RKHeading2"/>
      </w:pPr>
      <w:r>
        <w:t>Do not confuse digital enthusiasm with sustainability</w:t>
      </w:r>
    </w:p>
    <w:p w14:paraId="5BB96AAE" w14:textId="77777777" w:rsidR="00C642E4" w:rsidRDefault="00000000">
      <w:r>
        <w:t>Digital advisory services currently attract government, donor and private interest, which creates an abundance of partnerships and funding opportunities. That can delay hard decisions about ownership and payment. S4I should require every digital solution to distinguish the public-good core from commercial add-ons, identify the canonical owner and operating budget, and demonstrate active use rather than potential reach. The broader CGIAR lesson is that scaling capability remains uneven: many teams can build strong innovations and mobilize partners, but fewer can simplify the pathway, align incentives, transfer recurrent functions and stop activities that do not resolve a binding constraint. S4I’s comparative advantage should be to impose that discipline.</w:t>
      </w:r>
    </w:p>
    <w:sectPr w:rsidR="00C642E4">
      <w:headerReference w:type="default" r:id="rId8"/>
      <w:footerReference w:type="default" r:id="rId9"/>
      <w:pgSz w:w="11906" w:h="16838"/>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485FB" w14:textId="77777777" w:rsidR="00745D6E" w:rsidRDefault="00745D6E">
      <w:pPr>
        <w:spacing w:after="0" w:line="240" w:lineRule="auto"/>
      </w:pPr>
      <w:r>
        <w:separator/>
      </w:r>
    </w:p>
  </w:endnote>
  <w:endnote w:type="continuationSeparator" w:id="0">
    <w:p w14:paraId="16544918" w14:textId="77777777" w:rsidR="00745D6E" w:rsidRDefault="00745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iberation Sans Narrow">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7F348" w14:textId="77777777" w:rsidR="00C642E4" w:rsidRDefault="00C642E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D289C" w14:textId="77777777" w:rsidR="00C642E4" w:rsidRDefault="00C642E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92"/>
      <w:gridCol w:w="3845"/>
      <w:gridCol w:w="2592"/>
    </w:tblGrid>
    <w:tr w:rsidR="00C642E4" w14:paraId="655A7ADE" w14:textId="77777777">
      <w:trPr>
        <w:jc w:val="center"/>
      </w:trPr>
      <w:tc>
        <w:tcPr>
          <w:tcW w:w="2592" w:type="dxa"/>
          <w:vAlign w:val="center"/>
        </w:tcPr>
        <w:p w14:paraId="271BBAA5" w14:textId="77777777" w:rsidR="00C642E4" w:rsidRDefault="00C642E4"/>
      </w:tc>
      <w:tc>
        <w:tcPr>
          <w:tcW w:w="3845" w:type="dxa"/>
          <w:vAlign w:val="center"/>
        </w:tcPr>
        <w:p w14:paraId="6DD41AD7" w14:textId="3E4A7BA1" w:rsidR="00C642E4" w:rsidRDefault="00000000">
          <w:pPr>
            <w:jc w:val="center"/>
          </w:pPr>
          <w:r>
            <w:rPr>
              <w:sz w:val="18"/>
            </w:rPr>
            <w:t xml:space="preserve">Page </w:t>
          </w:r>
          <w:r>
            <w:rPr>
              <w:sz w:val="18"/>
            </w:rPr>
            <w:fldChar w:fldCharType="begin"/>
          </w:r>
          <w:r>
            <w:rPr>
              <w:sz w:val="18"/>
            </w:rPr>
            <w:instrText>PAGE</w:instrText>
          </w:r>
          <w:r>
            <w:rPr>
              <w:sz w:val="18"/>
            </w:rPr>
            <w:fldChar w:fldCharType="separate"/>
          </w:r>
          <w:r w:rsidR="00B60C93">
            <w:rPr>
              <w:noProof/>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sidR="00B60C93">
            <w:rPr>
              <w:noProof/>
              <w:sz w:val="18"/>
            </w:rPr>
            <w:t>3</w:t>
          </w:r>
          <w:r>
            <w:rPr>
              <w:sz w:val="18"/>
            </w:rPr>
            <w:fldChar w:fldCharType="end"/>
          </w:r>
        </w:p>
      </w:tc>
      <w:tc>
        <w:tcPr>
          <w:tcW w:w="2592" w:type="dxa"/>
          <w:vAlign w:val="center"/>
        </w:tcPr>
        <w:p w14:paraId="7D168E35" w14:textId="77777777" w:rsidR="00C642E4" w:rsidRDefault="00000000">
          <w:pPr>
            <w:jc w:val="right"/>
          </w:pPr>
          <w:r>
            <w:rPr>
              <w:sz w:val="18"/>
            </w:rPr>
            <w:t>4 August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3A611" w14:textId="77777777" w:rsidR="00745D6E" w:rsidRDefault="00745D6E">
      <w:pPr>
        <w:spacing w:after="0" w:line="240" w:lineRule="auto"/>
      </w:pPr>
      <w:r>
        <w:separator/>
      </w:r>
    </w:p>
  </w:footnote>
  <w:footnote w:type="continuationSeparator" w:id="0">
    <w:p w14:paraId="1D5789A4" w14:textId="77777777" w:rsidR="00745D6E" w:rsidRDefault="00745D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C8CF4" w14:textId="77777777" w:rsidR="00C642E4" w:rsidRDefault="00C642E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C05EC"/>
    <w:multiLevelType w:val="hybridMultilevel"/>
    <w:tmpl w:val="1B26F99C"/>
    <w:lvl w:ilvl="0" w:tplc="DCA08C5C">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FB93472"/>
    <w:multiLevelType w:val="hybridMultilevel"/>
    <w:tmpl w:val="78A4AE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2977AA"/>
    <w:multiLevelType w:val="multilevel"/>
    <w:tmpl w:val="0C7EA4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0A32295"/>
    <w:multiLevelType w:val="hybridMultilevel"/>
    <w:tmpl w:val="FEDCF1B0"/>
    <w:lvl w:ilvl="0" w:tplc="B172DFE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593149"/>
    <w:multiLevelType w:val="hybridMultilevel"/>
    <w:tmpl w:val="53BE376A"/>
    <w:lvl w:ilvl="0" w:tplc="E29650CA">
      <w:start w:val="1"/>
      <w:numFmt w:val="upperRoman"/>
      <w:pStyle w:val="Heading1"/>
      <w:lvlText w:val="%1."/>
      <w:lvlJc w:val="right"/>
      <w:pPr>
        <w:ind w:left="720" w:hanging="360"/>
      </w:pPr>
    </w:lvl>
    <w:lvl w:ilvl="1" w:tplc="9E8280D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9407AC"/>
    <w:multiLevelType w:val="multilevel"/>
    <w:tmpl w:val="D2C6B5E4"/>
    <w:lvl w:ilvl="0">
      <w:start w:val="1"/>
      <w:numFmt w:val="upperLetter"/>
      <w:pStyle w:val="Heading2"/>
      <w:lvlText w:val="%1."/>
      <w:lvlJc w:val="left"/>
      <w:pPr>
        <w:ind w:left="36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1EA646F"/>
    <w:multiLevelType w:val="hybridMultilevel"/>
    <w:tmpl w:val="9A8A0D32"/>
    <w:lvl w:ilvl="0" w:tplc="31749DE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6149766">
    <w:abstractNumId w:val="3"/>
  </w:num>
  <w:num w:numId="2" w16cid:durableId="1114864947">
    <w:abstractNumId w:val="4"/>
  </w:num>
  <w:num w:numId="3" w16cid:durableId="715201231">
    <w:abstractNumId w:val="2"/>
  </w:num>
  <w:num w:numId="4" w16cid:durableId="2092390018">
    <w:abstractNumId w:val="0"/>
  </w:num>
  <w:num w:numId="5" w16cid:durableId="1097167924">
    <w:abstractNumId w:val="4"/>
  </w:num>
  <w:num w:numId="6" w16cid:durableId="762340547">
    <w:abstractNumId w:val="6"/>
  </w:num>
  <w:num w:numId="7" w16cid:durableId="550771691">
    <w:abstractNumId w:val="6"/>
  </w:num>
  <w:num w:numId="8" w16cid:durableId="545946371">
    <w:abstractNumId w:val="6"/>
  </w:num>
  <w:num w:numId="9" w16cid:durableId="2074694757">
    <w:abstractNumId w:val="5"/>
  </w:num>
  <w:num w:numId="10" w16cid:durableId="782070565">
    <w:abstractNumId w:val="5"/>
  </w:num>
  <w:num w:numId="11" w16cid:durableId="1648511129">
    <w:abstractNumId w:val="5"/>
  </w:num>
  <w:num w:numId="12" w16cid:durableId="704410757">
    <w:abstractNumId w:val="5"/>
  </w:num>
  <w:num w:numId="13" w16cid:durableId="675038787">
    <w:abstractNumId w:val="4"/>
  </w:num>
  <w:num w:numId="14" w16cid:durableId="374306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19B"/>
    <w:rsid w:val="0001119B"/>
    <w:rsid w:val="00043B09"/>
    <w:rsid w:val="000A3C9D"/>
    <w:rsid w:val="00233605"/>
    <w:rsid w:val="00670C14"/>
    <w:rsid w:val="00697AB1"/>
    <w:rsid w:val="006D01B5"/>
    <w:rsid w:val="00745D6E"/>
    <w:rsid w:val="00893825"/>
    <w:rsid w:val="0092774E"/>
    <w:rsid w:val="0093609F"/>
    <w:rsid w:val="009B729C"/>
    <w:rsid w:val="00A32588"/>
    <w:rsid w:val="00A573E5"/>
    <w:rsid w:val="00A731AE"/>
    <w:rsid w:val="00AD50FD"/>
    <w:rsid w:val="00AD6A33"/>
    <w:rsid w:val="00AE3F88"/>
    <w:rsid w:val="00B132C7"/>
    <w:rsid w:val="00B60C93"/>
    <w:rsid w:val="00C440B3"/>
    <w:rsid w:val="00C642E4"/>
    <w:rsid w:val="00CA70CE"/>
    <w:rsid w:val="00D419CE"/>
    <w:rsid w:val="00D85E62"/>
    <w:rsid w:val="00DB010E"/>
    <w:rsid w:val="00EA6E5F"/>
    <w:rsid w:val="00EB1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BF26F"/>
  <w15:chartTrackingRefBased/>
  <w15:docId w15:val="{B4F855CB-3693-4ABA-A432-41B1E40CC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Liberation Sans Narrow"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19B"/>
    <w:pPr>
      <w:spacing w:after="80" w:line="264" w:lineRule="auto"/>
      <w:jc w:val="both"/>
    </w:pPr>
    <w:rPr>
      <w:rFonts w:ascii="Calibri" w:eastAsia="Calibri" w:hAnsi="Calibri"/>
      <w:color w:val="000000"/>
      <w:kern w:val="0"/>
      <w:szCs w:val="22"/>
      <w14:ligatures w14:val="none"/>
    </w:rPr>
  </w:style>
  <w:style w:type="paragraph" w:styleId="Heading1">
    <w:name w:val="heading 1"/>
    <w:basedOn w:val="Normal"/>
    <w:next w:val="Normal"/>
    <w:link w:val="Heading1Char"/>
    <w:uiPriority w:val="9"/>
    <w:qFormat/>
    <w:rsid w:val="006D01B5"/>
    <w:pPr>
      <w:keepNext/>
      <w:keepLines/>
      <w:numPr>
        <w:numId w:val="5"/>
      </w:numPr>
      <w:spacing w:before="120" w:after="120"/>
      <w:ind w:left="446"/>
      <w:outlineLvl w:val="0"/>
    </w:pPr>
    <w:rPr>
      <w:rFonts w:ascii="Arial" w:eastAsiaTheme="majorEastAsia" w:hAnsi="Arial" w:cstheme="majorBidi"/>
      <w:b/>
      <w:i/>
      <w:color w:val="000000" w:themeColor="text1"/>
      <w:sz w:val="28"/>
      <w:szCs w:val="40"/>
    </w:rPr>
  </w:style>
  <w:style w:type="paragraph" w:styleId="Heading2">
    <w:name w:val="heading 2"/>
    <w:basedOn w:val="Normal"/>
    <w:next w:val="Normal"/>
    <w:link w:val="Heading2Char"/>
    <w:uiPriority w:val="9"/>
    <w:unhideWhenUsed/>
    <w:qFormat/>
    <w:rsid w:val="006D01B5"/>
    <w:pPr>
      <w:keepNext/>
      <w:keepLines/>
      <w:numPr>
        <w:numId w:val="9"/>
      </w:numPr>
      <w:spacing w:before="120" w:after="120"/>
      <w:outlineLvl w:val="1"/>
    </w:pPr>
    <w:rPr>
      <w:rFonts w:ascii="Arial" w:eastAsiaTheme="majorEastAsia" w:hAnsi="Arial" w:cstheme="majorBidi"/>
      <w:b/>
      <w:bCs/>
      <w:i/>
      <w:color w:val="000000" w:themeColor="text1"/>
      <w:kern w:val="2"/>
      <w:szCs w:val="26"/>
      <w14:ligatures w14:val="standardContextual"/>
    </w:rPr>
  </w:style>
  <w:style w:type="paragraph" w:styleId="Heading3">
    <w:name w:val="heading 3"/>
    <w:basedOn w:val="Normal"/>
    <w:next w:val="Normal"/>
    <w:link w:val="Heading3Char"/>
    <w:uiPriority w:val="9"/>
    <w:semiHidden/>
    <w:unhideWhenUsed/>
    <w:qFormat/>
    <w:rsid w:val="0001119B"/>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1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1119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1119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1119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1119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1119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B729C"/>
    <w:pPr>
      <w:spacing w:line="240" w:lineRule="auto"/>
      <w:contextualSpacing/>
      <w:jc w:val="center"/>
    </w:pPr>
    <w:rPr>
      <w:rFonts w:asciiTheme="majorHAnsi" w:eastAsiaTheme="majorEastAsia" w:hAnsiTheme="majorHAnsi" w:cstheme="majorBidi"/>
      <w:b/>
      <w:bCs/>
      <w:color w:val="000000" w:themeColor="text1"/>
      <w:spacing w:val="-10"/>
      <w:kern w:val="28"/>
      <w:sz w:val="36"/>
      <w:szCs w:val="36"/>
      <w:u w:val="single"/>
    </w:rPr>
  </w:style>
  <w:style w:type="character" w:customStyle="1" w:styleId="TitleChar">
    <w:name w:val="Title Char"/>
    <w:basedOn w:val="DefaultParagraphFont"/>
    <w:link w:val="Title"/>
    <w:uiPriority w:val="10"/>
    <w:rsid w:val="009B729C"/>
    <w:rPr>
      <w:rFonts w:asciiTheme="majorHAnsi" w:eastAsiaTheme="majorEastAsia" w:hAnsiTheme="majorHAnsi" w:cstheme="majorBidi"/>
      <w:b/>
      <w:bCs/>
      <w:color w:val="000000" w:themeColor="text1"/>
      <w:spacing w:val="-10"/>
      <w:kern w:val="28"/>
      <w:sz w:val="36"/>
      <w:szCs w:val="36"/>
      <w:u w:val="single"/>
    </w:rPr>
  </w:style>
  <w:style w:type="character" w:customStyle="1" w:styleId="Heading2Char">
    <w:name w:val="Heading 2 Char"/>
    <w:basedOn w:val="DefaultParagraphFont"/>
    <w:link w:val="Heading2"/>
    <w:uiPriority w:val="9"/>
    <w:rsid w:val="006D01B5"/>
    <w:rPr>
      <w:rFonts w:ascii="Arial" w:eastAsiaTheme="majorEastAsia" w:hAnsi="Arial" w:cstheme="majorBidi"/>
      <w:b/>
      <w:bCs/>
      <w:i/>
      <w:color w:val="000000" w:themeColor="text1"/>
      <w:szCs w:val="26"/>
    </w:rPr>
  </w:style>
  <w:style w:type="character" w:customStyle="1" w:styleId="Heading1Char">
    <w:name w:val="Heading 1 Char"/>
    <w:basedOn w:val="DefaultParagraphFont"/>
    <w:link w:val="Heading1"/>
    <w:uiPriority w:val="9"/>
    <w:rsid w:val="006D01B5"/>
    <w:rPr>
      <w:rFonts w:ascii="Arial" w:eastAsiaTheme="majorEastAsia" w:hAnsi="Arial" w:cstheme="majorBidi"/>
      <w:b/>
      <w:i/>
      <w:color w:val="000000" w:themeColor="text1"/>
      <w:kern w:val="0"/>
      <w:sz w:val="28"/>
      <w:szCs w:val="40"/>
      <w14:ligatures w14:val="none"/>
    </w:rPr>
  </w:style>
  <w:style w:type="character" w:customStyle="1" w:styleId="Heading3Char">
    <w:name w:val="Heading 3 Char"/>
    <w:basedOn w:val="DefaultParagraphFont"/>
    <w:link w:val="Heading3"/>
    <w:uiPriority w:val="9"/>
    <w:semiHidden/>
    <w:rsid w:val="0001119B"/>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1119B"/>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01119B"/>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01119B"/>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01119B"/>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01119B"/>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01119B"/>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0111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19B"/>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1119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119B"/>
    <w:rPr>
      <w:rFonts w:ascii="Liberation Sans Narrow" w:hAnsi="Liberation Sans Narrow"/>
      <w:i/>
      <w:iCs/>
      <w:color w:val="404040" w:themeColor="text1" w:themeTint="BF"/>
      <w:kern w:val="0"/>
      <w:szCs w:val="22"/>
      <w14:ligatures w14:val="none"/>
    </w:rPr>
  </w:style>
  <w:style w:type="paragraph" w:styleId="ListParagraph">
    <w:name w:val="List Paragraph"/>
    <w:basedOn w:val="Normal"/>
    <w:uiPriority w:val="34"/>
    <w:qFormat/>
    <w:rsid w:val="0001119B"/>
    <w:pPr>
      <w:ind w:left="720"/>
      <w:contextualSpacing/>
    </w:pPr>
  </w:style>
  <w:style w:type="character" w:styleId="IntenseEmphasis">
    <w:name w:val="Intense Emphasis"/>
    <w:basedOn w:val="DefaultParagraphFont"/>
    <w:uiPriority w:val="21"/>
    <w:qFormat/>
    <w:rsid w:val="0001119B"/>
    <w:rPr>
      <w:i/>
      <w:iCs/>
      <w:color w:val="0F4761" w:themeColor="accent1" w:themeShade="BF"/>
    </w:rPr>
  </w:style>
  <w:style w:type="paragraph" w:styleId="IntenseQuote">
    <w:name w:val="Intense Quote"/>
    <w:basedOn w:val="Normal"/>
    <w:next w:val="Normal"/>
    <w:link w:val="IntenseQuoteChar"/>
    <w:uiPriority w:val="30"/>
    <w:qFormat/>
    <w:rsid w:val="00011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19B"/>
    <w:rPr>
      <w:rFonts w:ascii="Liberation Sans Narrow" w:hAnsi="Liberation Sans Narrow"/>
      <w:i/>
      <w:iCs/>
      <w:color w:val="0F4761" w:themeColor="accent1" w:themeShade="BF"/>
      <w:kern w:val="0"/>
      <w:szCs w:val="22"/>
      <w14:ligatures w14:val="none"/>
    </w:rPr>
  </w:style>
  <w:style w:type="character" w:styleId="IntenseReference">
    <w:name w:val="Intense Reference"/>
    <w:basedOn w:val="DefaultParagraphFont"/>
    <w:uiPriority w:val="32"/>
    <w:qFormat/>
    <w:rsid w:val="0001119B"/>
    <w:rPr>
      <w:b/>
      <w:bCs/>
      <w:smallCaps/>
      <w:color w:val="0F4761" w:themeColor="accent1" w:themeShade="BF"/>
      <w:spacing w:val="5"/>
    </w:rPr>
  </w:style>
  <w:style w:type="paragraph" w:customStyle="1" w:styleId="RKHeading1">
    <w:name w:val="RK Heading 1"/>
    <w:basedOn w:val="Normal"/>
    <w:pPr>
      <w:keepNext/>
      <w:spacing w:before="120" w:after="40" w:line="240" w:lineRule="auto"/>
    </w:pPr>
    <w:rPr>
      <w:b/>
      <w:u w:val="single"/>
    </w:rPr>
  </w:style>
  <w:style w:type="paragraph" w:customStyle="1" w:styleId="RKHeading2">
    <w:name w:val="RK Heading 2"/>
    <w:basedOn w:val="Normal"/>
    <w:pPr>
      <w:keepNext/>
      <w:spacing w:before="60" w:after="20" w:line="240" w:lineRule="auto"/>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Pages>
  <Words>5661</Words>
  <Characters>32273</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CGIAR S4I Agvisely Scaling Assessment and Coaching Recommendations</vt:lpstr>
    </vt:vector>
  </TitlesOfParts>
  <Company/>
  <LinksUpToDate>false</LinksUpToDate>
  <CharactersWithSpaces>37859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CGIAR S4I Agvisely Scaling Assessment and Coaching Recommendations</dc:title>
  <dc:subject>Scaling assessment, coaching analysis, and 2027 funding recommendation</dc:subject>
  <dc:creator>Dr. Richard Kohl, Strategy and Scale LLC</dc:creator>
  <cp:keywords/>
  <dc:description/>
  <cp:lastModifiedBy>Richard Kohl</cp:lastModifiedBy>
  <cp:revision>4</cp:revision>
  <dcterms:created xsi:type="dcterms:W3CDTF">2026-08-05T07:26:00Z</dcterms:created>
  <dcterms:modified xsi:type="dcterms:W3CDTF">2026-08-05T08:27:00Z</dcterms:modified>
</cp:coreProperties>
</file>