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FD69" w14:textId="77777777" w:rsidR="00047FE6" w:rsidRDefault="00047FE6" w:rsidP="00047FE6">
      <w:pPr>
        <w:spacing w:after="520" w:line="240" w:lineRule="auto"/>
        <w:jc w:val="center"/>
        <w:rPr>
          <w:b/>
          <w:sz w:val="36"/>
        </w:rPr>
      </w:pPr>
    </w:p>
    <w:p w14:paraId="5981D78A" w14:textId="77777777" w:rsidR="00047FE6" w:rsidRDefault="00047FE6" w:rsidP="00047FE6">
      <w:pPr>
        <w:spacing w:after="520" w:line="240" w:lineRule="auto"/>
        <w:jc w:val="center"/>
        <w:rPr>
          <w:b/>
          <w:sz w:val="36"/>
        </w:rPr>
      </w:pPr>
    </w:p>
    <w:p w14:paraId="340DB5E1" w14:textId="613F6E93" w:rsidR="00047FE6" w:rsidRDefault="00047FE6" w:rsidP="00047FE6">
      <w:pPr>
        <w:spacing w:after="520" w:line="240" w:lineRule="auto"/>
        <w:jc w:val="center"/>
      </w:pPr>
      <w:r>
        <w:rPr>
          <w:b/>
          <w:sz w:val="36"/>
        </w:rPr>
        <w:t>CGIAR Scaling for Impact</w:t>
      </w:r>
    </w:p>
    <w:p w14:paraId="0D075188" w14:textId="77777777" w:rsidR="00047FE6" w:rsidRDefault="00047FE6" w:rsidP="00047FE6">
      <w:pPr>
        <w:spacing w:after="440" w:line="240" w:lineRule="auto"/>
        <w:jc w:val="center"/>
        <w:rPr>
          <w:b/>
          <w:sz w:val="32"/>
          <w:u w:val="single"/>
        </w:rPr>
      </w:pPr>
      <w:r w:rsidRPr="003B3B55">
        <w:rPr>
          <w:b/>
          <w:sz w:val="32"/>
          <w:u w:val="single"/>
        </w:rPr>
        <w:t>Scaling Assessment</w:t>
      </w:r>
      <w:r>
        <w:rPr>
          <w:b/>
          <w:sz w:val="32"/>
          <w:u w:val="single"/>
        </w:rPr>
        <w:t>,</w:t>
      </w:r>
      <w:r w:rsidRPr="003B3B55">
        <w:rPr>
          <w:b/>
          <w:sz w:val="32"/>
          <w:u w:val="single"/>
        </w:rPr>
        <w:t xml:space="preserve"> Coaching</w:t>
      </w:r>
      <w:r>
        <w:rPr>
          <w:b/>
          <w:sz w:val="32"/>
          <w:u w:val="single"/>
        </w:rPr>
        <w:t>,</w:t>
      </w:r>
      <w:r w:rsidRPr="003B3B55">
        <w:rPr>
          <w:b/>
          <w:sz w:val="32"/>
          <w:u w:val="single"/>
        </w:rPr>
        <w:t xml:space="preserve"> and Recommendations</w:t>
      </w:r>
    </w:p>
    <w:p w14:paraId="7F0AFA1D" w14:textId="77777777" w:rsidR="00047FE6" w:rsidRPr="003B3B55" w:rsidRDefault="00047FE6" w:rsidP="00047FE6">
      <w:pPr>
        <w:spacing w:after="440" w:line="240" w:lineRule="auto"/>
        <w:jc w:val="center"/>
        <w:rPr>
          <w:u w:val="single"/>
        </w:rPr>
      </w:pPr>
    </w:p>
    <w:p w14:paraId="368A7D87" w14:textId="77777777" w:rsidR="00327207" w:rsidRDefault="00E40216">
      <w:pPr>
        <w:spacing w:before="240"/>
        <w:jc w:val="center"/>
      </w:pPr>
      <w:r>
        <w:rPr>
          <w:b/>
          <w:i/>
          <w:sz w:val="28"/>
        </w:rPr>
        <w:t>AfricaRice Côte d’Ivoire Rice Public-Private Partnership Scaling Solution</w:t>
      </w:r>
    </w:p>
    <w:p w14:paraId="623257CA" w14:textId="77777777" w:rsidR="00047FE6" w:rsidRDefault="00047FE6">
      <w:pPr>
        <w:spacing w:before="360"/>
        <w:jc w:val="center"/>
        <w:rPr>
          <w:b/>
          <w:i/>
          <w:sz w:val="24"/>
        </w:rPr>
      </w:pPr>
    </w:p>
    <w:p w14:paraId="79FE769C" w14:textId="632A209F" w:rsidR="00327207" w:rsidRDefault="00E40216">
      <w:pPr>
        <w:spacing w:before="360"/>
        <w:jc w:val="center"/>
      </w:pPr>
      <w:r>
        <w:rPr>
          <w:b/>
          <w:i/>
          <w:sz w:val="24"/>
        </w:rPr>
        <w:t>Submitted to the CGIAR Scaling for Impact Team</w:t>
      </w:r>
    </w:p>
    <w:p w14:paraId="35FD5796" w14:textId="77777777" w:rsidR="008E5F26" w:rsidRDefault="008E5F26">
      <w:pPr>
        <w:spacing w:before="360"/>
        <w:jc w:val="center"/>
        <w:rPr>
          <w:sz w:val="24"/>
        </w:rPr>
      </w:pPr>
    </w:p>
    <w:p w14:paraId="32194552" w14:textId="5933DEF6" w:rsidR="00327207" w:rsidRDefault="00E40216">
      <w:pPr>
        <w:spacing w:before="360"/>
        <w:jc w:val="center"/>
        <w:rPr>
          <w:sz w:val="24"/>
        </w:rPr>
      </w:pPr>
      <w:proofErr w:type="gramStart"/>
      <w:r>
        <w:rPr>
          <w:sz w:val="24"/>
        </w:rPr>
        <w:t>By</w:t>
      </w:r>
      <w:proofErr w:type="gramEnd"/>
    </w:p>
    <w:p w14:paraId="0C7CD6B1" w14:textId="77777777" w:rsidR="008E5F26" w:rsidRDefault="008E5F26">
      <w:pPr>
        <w:spacing w:before="360"/>
        <w:jc w:val="center"/>
        <w:rPr>
          <w:sz w:val="24"/>
        </w:rPr>
      </w:pPr>
    </w:p>
    <w:p w14:paraId="6CAEA14A" w14:textId="77777777" w:rsidR="008E5F26" w:rsidRDefault="008E5F26">
      <w:pPr>
        <w:spacing w:before="360"/>
        <w:jc w:val="center"/>
      </w:pPr>
    </w:p>
    <w:p w14:paraId="0E851E01" w14:textId="77777777" w:rsidR="00327207" w:rsidRDefault="00E40216">
      <w:pPr>
        <w:spacing w:before="120"/>
        <w:jc w:val="center"/>
      </w:pPr>
      <w:r>
        <w:rPr>
          <w:b/>
          <w:sz w:val="28"/>
        </w:rPr>
        <w:t>Dr. Richard Kohl, Strategy and Scale LLC</w:t>
      </w:r>
    </w:p>
    <w:p w14:paraId="23DCBD38" w14:textId="168B1B30" w:rsidR="00327207" w:rsidRDefault="00862DC8">
      <w:pPr>
        <w:spacing w:before="360"/>
        <w:jc w:val="center"/>
      </w:pPr>
      <w:r>
        <w:rPr>
          <w:b/>
          <w:i/>
          <w:sz w:val="24"/>
        </w:rPr>
        <w:t>7 August 2026</w:t>
      </w:r>
    </w:p>
    <w:p w14:paraId="6653D14D" w14:textId="77777777" w:rsidR="00327207" w:rsidRDefault="00E40216">
      <w:r>
        <w:br w:type="page"/>
      </w:r>
    </w:p>
    <w:p w14:paraId="38916D83" w14:textId="77777777" w:rsidR="00327207" w:rsidRDefault="00E40216">
      <w:pPr>
        <w:spacing w:before="120"/>
      </w:pPr>
      <w:r>
        <w:rPr>
          <w:b/>
          <w:sz w:val="28"/>
          <w:u w:val="single"/>
        </w:rPr>
        <w:lastRenderedPageBreak/>
        <w:t>EXECUTIVE SUMMARY</w:t>
      </w:r>
    </w:p>
    <w:p w14:paraId="3E22FBB4" w14:textId="77777777" w:rsidR="00327207" w:rsidRDefault="00E40216">
      <w:r>
        <w:t>The AfricaRice Côte d’Ivoire Rice Public-Private Partnership Scaling Solution addresses a problem of unquestioned strategic importance: how to convert decades of rice research, improved varieties, seed-system investment, mechanization, processing technologies, digital tools, and public policy commitment into a commercially viable national rice system that can compete with imports and continue expanding after project support ends. The concept is stronger than a conventional technology-transfer project becaus</w:t>
      </w:r>
      <w:r>
        <w:t>e it recognizes that adoption depends on a connected value chain in which seed is available, farmers can obtain timely services and finance, processors can secure sufficient quality paddy, local rice meets consumer expectations, and public institutions provide regulation, infrastructure, and political support. This system orientation is one of the initiative’s greatest strengths.</w:t>
      </w:r>
    </w:p>
    <w:p w14:paraId="5F1EFC4F" w14:textId="77777777" w:rsidR="00327207" w:rsidRDefault="00E40216">
      <w:pPr>
        <w:spacing w:before="120"/>
      </w:pPr>
      <w:r>
        <w:rPr>
          <w:b/>
          <w:i/>
          <w:sz w:val="24"/>
        </w:rPr>
        <w:t>What is going well</w:t>
      </w:r>
    </w:p>
    <w:p w14:paraId="42C24D53" w14:textId="77777777" w:rsidR="00327207" w:rsidRDefault="00E40216" w:rsidP="000C4BC6">
      <w:pPr>
        <w:pStyle w:val="ListBullet"/>
        <w:spacing w:line="259" w:lineRule="auto"/>
        <w:contextualSpacing w:val="0"/>
      </w:pPr>
      <w:r>
        <w:rPr>
          <w:b/>
        </w:rPr>
        <w:t>A technically credible and strategically relevant foundation.</w:t>
      </w:r>
      <w:r>
        <w:t xml:space="preserve"> AfricaRice brings a mature portfolio of improved varieties, early-generation seed capability, agronomy, RiceAdvice, GEM parboiling, nutrition-sensitive products, and long experience with national research and rice-sector institutions. Côte d’Ivoire also offers favorable political alignment because rice import substitution, food security, rural employment, and value-chain modernization are recognized government priorities rather than donor-created objectives.</w:t>
      </w:r>
    </w:p>
    <w:p w14:paraId="331D2ED6" w14:textId="77777777" w:rsidR="00327207" w:rsidRDefault="00E40216" w:rsidP="000C4BC6">
      <w:pPr>
        <w:pStyle w:val="ListBullet"/>
        <w:spacing w:line="259" w:lineRule="auto"/>
        <w:contextualSpacing w:val="0"/>
      </w:pPr>
      <w:r>
        <w:rPr>
          <w:b/>
        </w:rPr>
        <w:t>A realistic shift toward actor-driven delivery.</w:t>
      </w:r>
      <w:r>
        <w:t xml:space="preserve"> The project is deliberately working through agro-industries, private seed enterprises, processors, women-led processing groups, financial institutions, public agencies, and the eProd digital platform rather than attempting to deliver every function directly through AfricaRice. The coaching session identified approximately fifteen agro-industrial partners in Côte d’Ivoire, some focused on seed and others combining seed production, paddy aggregation, processing, and marketing. This is the beginning of a cred</w:t>
      </w:r>
      <w:r>
        <w:t>ible pathway because these firms can create recurring demand if their own businesses become profitable.</w:t>
      </w:r>
    </w:p>
    <w:p w14:paraId="019A9EBD" w14:textId="77777777" w:rsidR="00327207" w:rsidRDefault="00E40216" w:rsidP="000C4BC6">
      <w:pPr>
        <w:pStyle w:val="ListBullet"/>
        <w:spacing w:line="259" w:lineRule="auto"/>
        <w:contextualSpacing w:val="0"/>
      </w:pPr>
      <w:r>
        <w:rPr>
          <w:b/>
        </w:rPr>
        <w:t>Recognition of the demand-side seed problem.</w:t>
      </w:r>
      <w:r>
        <w:t xml:space="preserve"> The team has moved beyond the common assumption that producing more certified seed automatically generates adoption. It recognizes that seed can remain unsold when farmers lack a reliable buyer, finance, or confidence that the improved crop will be commercially rewarded. </w:t>
      </w:r>
      <w:r w:rsidRPr="00871A6D">
        <w:rPr>
          <w:u w:val="single"/>
        </w:rPr>
        <w:t>Linking processors and millers to contract farmers, input provision, and structured offtake is therefore potentially more important than producing additional seed in isolation.</w:t>
      </w:r>
    </w:p>
    <w:p w14:paraId="23C867B8" w14:textId="77777777" w:rsidR="00327207" w:rsidRDefault="00E40216" w:rsidP="000C4BC6">
      <w:pPr>
        <w:pStyle w:val="ListBullet"/>
        <w:spacing w:line="259" w:lineRule="auto"/>
        <w:contextualSpacing w:val="0"/>
      </w:pPr>
      <w:r>
        <w:rPr>
          <w:b/>
        </w:rPr>
        <w:t>Promising private investment and co-financing.</w:t>
      </w:r>
      <w:r>
        <w:t xml:space="preserve"> The initiative reports meaningful private participation in seed-system and processing investments, and some agro-industries are contributing their own resources. This is an important signal that the partnership is not purely a project procurement arrangement. S4I should nevertheless distinguish carefully between true risk-bearing private investment, subsidized capital acquisition, in-kind participation, and expenditure that would have occurred without the project.</w:t>
      </w:r>
    </w:p>
    <w:p w14:paraId="5A3FB404" w14:textId="77777777" w:rsidR="00327207" w:rsidRDefault="00E40216" w:rsidP="000C4BC6">
      <w:pPr>
        <w:pStyle w:val="ListBullet"/>
        <w:spacing w:line="259" w:lineRule="auto"/>
        <w:contextualSpacing w:val="0"/>
      </w:pPr>
      <w:r>
        <w:rPr>
          <w:b/>
        </w:rPr>
        <w:t>A potentially valuable digital backbone.</w:t>
      </w:r>
      <w:r>
        <w:t xml:space="preserve"> eProd can add much more than reporting if it creates reliable farmer registries, traceability, contract and transaction records, production forecasts, input planning, aggregation data, and performance information that processors, lenders, government, and AfricaRice use to make decisions. The team’s commitment to obtaining defensible numbers on farmers, seed volumes, paddy flows, and commercial results is a constructive response to the current weakness of the scaling ambition.</w:t>
      </w:r>
    </w:p>
    <w:p w14:paraId="58E9EF4E" w14:textId="77777777" w:rsidR="00327207" w:rsidRDefault="00E40216">
      <w:pPr>
        <w:spacing w:before="120"/>
      </w:pPr>
      <w:r>
        <w:rPr>
          <w:b/>
          <w:i/>
          <w:sz w:val="24"/>
        </w:rPr>
        <w:lastRenderedPageBreak/>
        <w:t>Priority improvements</w:t>
      </w:r>
    </w:p>
    <w:p w14:paraId="218E706F" w14:textId="1DEA635E" w:rsidR="00327207" w:rsidRDefault="00E40216" w:rsidP="000C4BC6">
      <w:pPr>
        <w:pStyle w:val="ListBullet"/>
        <w:spacing w:line="259" w:lineRule="auto"/>
        <w:contextualSpacing w:val="0"/>
      </w:pPr>
      <w:r w:rsidRPr="000C4BC6">
        <w:rPr>
          <w:b/>
          <w:bCs/>
        </w:rPr>
        <w:t>Define the Côte d’Ivoire scaling ambition</w:t>
      </w:r>
      <w:r w:rsidRPr="000C4BC6">
        <w:t>.</w:t>
      </w:r>
      <w:r>
        <w:t xml:space="preserve"> The regional ambition—one million farmers, 300,000 hectares, thousands of service providers, jobs, lower postharvest losses, and comprehensive digital registration—is too broad to manage as the operating target for this country. </w:t>
      </w:r>
      <w:r w:rsidR="00720865" w:rsidRPr="00720865">
        <w:rPr>
          <w:u w:val="single"/>
        </w:rPr>
        <w:t>While it is understandable that the project publicly adopts and aligns with the government objective, such as on the recent coaching call, for CGIAR S4I internal purposes a more nuanced and realistic approach is needed</w:t>
      </w:r>
      <w:r w:rsidR="00720865">
        <w:t xml:space="preserve">. </w:t>
      </w:r>
      <w:r>
        <w:t>The project should specify annual 2026-2028 targets for agro-industrial partnerships, certified seed sold rather than produced, farmers under repeat commercial relationships, hectares, paddy aggregated, milled rice meeting quality standards, women-led enterprises operating profitably, and the share of recurrent costs financed by permanent actors.</w:t>
      </w:r>
    </w:p>
    <w:p w14:paraId="707C17C8" w14:textId="77777777" w:rsidR="00327207" w:rsidRDefault="00E40216" w:rsidP="000C4BC6">
      <w:pPr>
        <w:pStyle w:val="ListBullet"/>
        <w:spacing w:line="259" w:lineRule="auto"/>
        <w:contextualSpacing w:val="0"/>
      </w:pPr>
      <w:r w:rsidRPr="000C4BC6">
        <w:rPr>
          <w:b/>
          <w:bCs/>
        </w:rPr>
        <w:t>Narrow and sequence the innovation bundle</w:t>
      </w:r>
      <w:r w:rsidRPr="000C4BC6">
        <w:t>.</w:t>
      </w:r>
      <w:r>
        <w:t xml:space="preserve"> The full bundle is too extensive to function as one indivisible scaling solution. The immediate minimum viable pathway should center on two connected systems: commercially viable seed-to-paddy contracts and quality-driven aggregation, processing, and marketing. </w:t>
      </w:r>
      <w:r w:rsidRPr="00081605">
        <w:rPr>
          <w:u w:val="single"/>
        </w:rPr>
        <w:t>Mechanization, digital traceability, women’s parboiling, nutrition products, finance, and advisory services should be added where they solve a demonstrated bottleneck in that pathway, rather than being counted automatically as core components everywhere</w:t>
      </w:r>
      <w:r>
        <w:t>.</w:t>
      </w:r>
    </w:p>
    <w:p w14:paraId="63A93C1B" w14:textId="77777777" w:rsidR="00327207" w:rsidRDefault="00E40216" w:rsidP="000C4BC6">
      <w:pPr>
        <w:pStyle w:val="ListBullet"/>
        <w:spacing w:line="259" w:lineRule="auto"/>
        <w:contextualSpacing w:val="0"/>
      </w:pPr>
      <w:r w:rsidRPr="000C4BC6">
        <w:rPr>
          <w:b/>
          <w:bCs/>
        </w:rPr>
        <w:t>Name the pathway driver and clarify governance</w:t>
      </w:r>
      <w:r w:rsidRPr="000C4BC6">
        <w:t>.</w:t>
      </w:r>
      <w:r>
        <w:t xml:space="preserve"> AfricaRice is currently the technical originator, broker, and hidden integrator, while private agro-industries drive transactions and public agencies hold policy authority. No single actor yet appears accountable for overall performance after S4I and REWARD end. The most credible end state is a governed coalition: a designated public rice-sector owner responsible for policy and public goods, commercial lead firms responsible for farmer contracting and market delivery, and a time-bound AfricaRice role focus</w:t>
      </w:r>
      <w:r>
        <w:t>ed on science, standards, facilitation, and learning.</w:t>
      </w:r>
    </w:p>
    <w:p w14:paraId="6E73B9BD" w14:textId="557D9335" w:rsidR="00327207" w:rsidRDefault="005E449E" w:rsidP="000C4BC6">
      <w:pPr>
        <w:pStyle w:val="ListBullet"/>
        <w:spacing w:line="259" w:lineRule="auto"/>
        <w:contextualSpacing w:val="0"/>
      </w:pPr>
      <w:r>
        <w:rPr>
          <w:b/>
          <w:bCs/>
        </w:rPr>
        <w:t xml:space="preserve">Ultimately target having </w:t>
      </w:r>
      <w:r w:rsidR="00E40216" w:rsidRPr="000C4BC6">
        <w:rPr>
          <w:b/>
          <w:bCs/>
        </w:rPr>
        <w:t>processing quality and market pull the organizing bottleneck</w:t>
      </w:r>
      <w:r w:rsidR="00E40216" w:rsidRPr="000C4BC6">
        <w:t>.</w:t>
      </w:r>
      <w:r w:rsidR="00E40216">
        <w:t xml:space="preserve"> Seed, machinery, and farmer production will not scale sustainably if processors cannot sell competitive local rice. Better processing creates demand for quality paddy; credible offtake then improves farmer incentives to purchase seed and services. This upward spiral is a more coherent scaling logic than a catalogue of parallel innovations.</w:t>
      </w:r>
    </w:p>
    <w:p w14:paraId="68A97102" w14:textId="7D06FD0A" w:rsidR="00327207" w:rsidRDefault="00E40216" w:rsidP="000C4BC6">
      <w:pPr>
        <w:pStyle w:val="ListBullet"/>
        <w:spacing w:line="259" w:lineRule="auto"/>
        <w:contextualSpacing w:val="0"/>
      </w:pPr>
      <w:r w:rsidRPr="000C4BC6">
        <w:rPr>
          <w:b/>
          <w:bCs/>
        </w:rPr>
        <w:t>Develop complete actor-specific business cases</w:t>
      </w:r>
      <w:r w:rsidRPr="000C4BC6">
        <w:t>.</w:t>
      </w:r>
      <w:r>
        <w:t xml:space="preserve"> The current model contains plausible value propositions but insufficient decision-grade economics. S4I should require </w:t>
      </w:r>
      <w:r w:rsidR="005E449E">
        <w:t xml:space="preserve">profitability and related sales volumes, </w:t>
      </w:r>
      <w:r>
        <w:t>margins and cash-flow models for seed producers, farmers, mechanization providers, aggregators, millers, women parboilers, digital providers, and lenders</w:t>
      </w:r>
      <w:r>
        <w:t>.</w:t>
      </w:r>
    </w:p>
    <w:p w14:paraId="7942F97B" w14:textId="77777777" w:rsidR="00327207" w:rsidRDefault="00E40216" w:rsidP="000C4BC6">
      <w:pPr>
        <w:pStyle w:val="ListBullet"/>
        <w:spacing w:line="259" w:lineRule="auto"/>
        <w:contextualSpacing w:val="0"/>
      </w:pPr>
      <w:r w:rsidRPr="000C4BC6">
        <w:rPr>
          <w:b/>
          <w:bCs/>
        </w:rPr>
        <w:t>Continue S4I funding conditionally for one additional year</w:t>
      </w:r>
      <w:r w:rsidRPr="000C4BC6">
        <w:t>.</w:t>
      </w:r>
      <w:r>
        <w:t xml:space="preserve"> The initiative merits further support because it has strong technical assets, real political relevance, engaged commercial partners, and a potentially transformative market-system logic. Funding should be conditional on a bounded Côte d’Ivoire pathway, partner-level commercial and institutional commitments, verified adoption and transaction data, a quality-and-offtake strategy, and an explicit sustainability plan for 2027 and beyond.</w:t>
      </w:r>
    </w:p>
    <w:p w14:paraId="04CEADB7" w14:textId="77777777" w:rsidR="000C4BC6" w:rsidRDefault="000C4BC6">
      <w:pPr>
        <w:spacing w:after="200" w:line="276" w:lineRule="auto"/>
        <w:rPr>
          <w:b/>
          <w:sz w:val="28"/>
          <w:u w:val="single"/>
        </w:rPr>
      </w:pPr>
      <w:r>
        <w:rPr>
          <w:b/>
          <w:sz w:val="28"/>
          <w:u w:val="single"/>
        </w:rPr>
        <w:br w:type="page"/>
      </w:r>
    </w:p>
    <w:p w14:paraId="1969D0DB" w14:textId="1CA1966A" w:rsidR="00327207" w:rsidRDefault="00E40216" w:rsidP="000C4BC6">
      <w:pPr>
        <w:pStyle w:val="Heading1"/>
      </w:pPr>
      <w:r>
        <w:lastRenderedPageBreak/>
        <w:t>INTERVENTION SUMMARY AND COMPONENTS</w:t>
      </w:r>
    </w:p>
    <w:p w14:paraId="0B7E2E10" w14:textId="77777777" w:rsidR="00327207" w:rsidRDefault="00E40216" w:rsidP="00F918A0">
      <w:r>
        <w:rPr>
          <w:b/>
        </w:rPr>
        <w:t>A rice-system transformation rather than a single innovation.</w:t>
      </w:r>
      <w:r>
        <w:t xml:space="preserve"> The AfricaRice Scaling Solution is best understood as an effort to construct a functioning rice value-chain system around a portfolio of proven technologies and organizational models. At farm level, the proposed offer includes improved and climate-resilient varieties, certified seed, good agronomic practices, and digital or face-to-face advisory support. Around the farm, the initiative seeks to strengthen early-generation seed stewardship, certified seed multiplication, mechanization services, input distri</w:t>
      </w:r>
      <w:r>
        <w:t>bution, finance, aggregation, drying, storage, milling, parboiling, product development, traceability, quality assurance, and structured markets. At institutional level, it seeks to coordinate public agencies, national research systems, private enterprises, financial institutions, development partners, and producer organizations through PPP arrangements.</w:t>
      </w:r>
    </w:p>
    <w:p w14:paraId="02B9E0C0" w14:textId="77777777" w:rsidR="00327207" w:rsidRDefault="00E40216">
      <w:r>
        <w:rPr>
          <w:b/>
        </w:rPr>
        <w:t>The seed-system pathway.</w:t>
      </w:r>
      <w:r>
        <w:t xml:space="preserve"> AfricaRice and national research institutions are expected to maintain and supply breeder and foundation seed; private seed enterprises and agro-industries multiply certified seed; certification agencies ensure quality; and agro-dealers or lead firms distribute seed to farmers. This architecture is conceptually sound and draws on AfricaRice experience in several countries. </w:t>
      </w:r>
      <w:r w:rsidRPr="009279D7">
        <w:rPr>
          <w:u w:val="single"/>
        </w:rPr>
        <w:t>The central scaling issue is not whether quality seed can be produced. It is whether seed companies face reliable commercial demand, whether early-generation seed is supplied on time and at an economic price, whether certification can keep pace, and whether farmers receive a return sufficient to purchase seed repeatedly</w:t>
      </w:r>
      <w:r>
        <w:t>.</w:t>
      </w:r>
    </w:p>
    <w:p w14:paraId="2FEFDD6C" w14:textId="77777777" w:rsidR="00327207" w:rsidRDefault="00E40216">
      <w:r>
        <w:rPr>
          <w:b/>
        </w:rPr>
        <w:t>The lead-firm and structured-offtake pathway.</w:t>
      </w:r>
      <w:r>
        <w:t xml:space="preserve"> A second model organizes farmers around agro-industries that provide or facilitate seed and other inputs, contract or aggregate paddy, process it, and market milled rice. In principle, this closes the loop that has undermined many seed interventions. A processor that can sell higher-quality local rice has an incentive to secure reliable paddy volumes and may therefore invest in farmer relationships, seed, technical support, aggregation, and quality control. Farmers have a stronger incentive to adopt when t</w:t>
      </w:r>
      <w:r>
        <w:t>here is a credible buyer and a transparent quality-based price. Seed companies gain a market because lead firms create organized demand.</w:t>
      </w:r>
    </w:p>
    <w:p w14:paraId="200E5081" w14:textId="77777777" w:rsidR="00327207" w:rsidRDefault="00E40216">
      <w:r>
        <w:rPr>
          <w:b/>
        </w:rPr>
        <w:t>Mechanization as a service.</w:t>
      </w:r>
      <w:r>
        <w:t xml:space="preserve"> Land preparation, planting, harvesting, threshing, transport, drying, and milling are potential constraints on timeliness, labor productivity, and grain quality. The initiative envisages youth- or SME-led service provision rather than requiring small farmers to own machinery. </w:t>
      </w:r>
      <w:r w:rsidRPr="00F620C2">
        <w:rPr>
          <w:u w:val="single"/>
        </w:rPr>
        <w:t>That is appropriate, but the mechanization pathway is less developed than the seed and processing models</w:t>
      </w:r>
      <w:r>
        <w:t>. It requires machinery suited to farm sizes and field conditions, affordable finance, adequate hectares or throughput, routing and scheduling, spare parts, repair networks, operator capability, and predictable payment. Equipment grants may enable entry, but they do not establish a service business unless utilization and revenue cover recurrent costs and replacement.</w:t>
      </w:r>
    </w:p>
    <w:p w14:paraId="60332E4B" w14:textId="5434B228" w:rsidR="00327207" w:rsidRDefault="00E40216">
      <w:r>
        <w:rPr>
          <w:b/>
        </w:rPr>
        <w:t>Postharvest quality and nutrition-sensitive processing.</w:t>
      </w:r>
      <w:r>
        <w:t xml:space="preserve"> GEM parboiling, improved drying and storage, better milling, grading, packaging, fortified or biofortified products, and low-glycemic-index rice can raise value, reduce losses, and create differentiated markets. Women’s groups and enterprises are central to the parboiling and value-addition pathway. </w:t>
      </w:r>
      <w:r w:rsidRPr="00917290">
        <w:rPr>
          <w:u w:val="single"/>
        </w:rPr>
        <w:t>These components are technically attractive and socially important, but they represent several different market propositions</w:t>
      </w:r>
      <w:r>
        <w:t xml:space="preserve">. </w:t>
      </w:r>
      <w:r>
        <w:t>The project should distinguish basic quality upgrading, which may be essential to the core pathway, from specialized product development, which may be a second-stage opportunity.</w:t>
      </w:r>
    </w:p>
    <w:p w14:paraId="2683CD63" w14:textId="77777777" w:rsidR="00327207" w:rsidRDefault="00E40216">
      <w:r>
        <w:rPr>
          <w:b/>
        </w:rPr>
        <w:t>Digital traceability and management.</w:t>
      </w:r>
      <w:r>
        <w:t xml:space="preserve"> eProd is intended to register actors and plots, monitor seed and paddy flows, support traceability, and make results visible. RiceAdvice may support farmer </w:t>
      </w:r>
      <w:r>
        <w:lastRenderedPageBreak/>
        <w:t>decisions. Digitalization can reduce information asymmetry and transaction costs, improve production forecasting, strengthen lender and buyer confidence, and create performance accountability. It can also become an expensive reporting layer that partners tolerate only while a project pays. The difference depends on whether each user makes a better decis</w:t>
      </w:r>
      <w:r>
        <w:t>ion or completes a transaction more efficiently because of the platform. A digital tool is therefore enabling infrastructure, not the scaling pathway itself.</w:t>
      </w:r>
    </w:p>
    <w:p w14:paraId="296B1626" w14:textId="77777777" w:rsidR="00327207" w:rsidRDefault="00E40216">
      <w:r>
        <w:rPr>
          <w:b/>
        </w:rPr>
        <w:t>PPP facilitation and institutional coordination.</w:t>
      </w:r>
      <w:r>
        <w:t xml:space="preserve"> The project convenes AfricaRice, CNRA, ADERIZ, MEMINADER, REWARD, certification agencies, agro-industries, service providers, women’s groups, finance actors, and digital partners. The PPP language is appropriate because public and private actors perform complementary functions. Yet a partnership becomes operational only when actors make commitments, bear costs and risks, and are accountable for results. Memoranda, meetings, platforms, and partnership counts are intermediate outputs. The real innovation is </w:t>
      </w:r>
      <w:r>
        <w:t>the set of recurring transactions and institutional arrangements that permit seed, services, paddy, finance, information, and quality assurance to move without AfricaRice solving each problem individually.</w:t>
      </w:r>
    </w:p>
    <w:p w14:paraId="0C3D78B7" w14:textId="263F1ABA" w:rsidR="00327207" w:rsidRDefault="00E40216">
      <w:r>
        <w:rPr>
          <w:b/>
        </w:rPr>
        <w:t>A bundle that is currently too elastic.</w:t>
      </w:r>
      <w:r>
        <w:t xml:space="preserve"> </w:t>
      </w:r>
      <w:r w:rsidRPr="00003AC1">
        <w:rPr>
          <w:u w:val="single"/>
        </w:rPr>
        <w:t>The project’s intellectual strength—recognition that every part of the rice system matters—also creates an operational weakness</w:t>
      </w:r>
      <w:r w:rsidR="00003AC1">
        <w:rPr>
          <w:u w:val="single"/>
        </w:rPr>
        <w:t>; it is trying to do too much and needs greater focus</w:t>
      </w:r>
      <w:r>
        <w:t xml:space="preserve">. If improved varieties, certified seed, mechanization, advisory services, digital registration, aggregation, milling, GEM, nutrition products, women and youth enterprise, finance, and PPP governance are all defined as core, then almost every rice-sector activity becomes part of the Scaling Solution. </w:t>
      </w:r>
      <w:r w:rsidRPr="00314B33">
        <w:rPr>
          <w:u w:val="single"/>
        </w:rPr>
        <w:t>This makes performance difficult to attribute and allows progress in one component to obscure failure in another. A minimum viable pathway is therefore essential</w:t>
      </w:r>
      <w:r>
        <w:t>.</w:t>
      </w:r>
    </w:p>
    <w:p w14:paraId="2D4CADD8" w14:textId="14DDF5BF" w:rsidR="00327207" w:rsidRDefault="00E40216" w:rsidP="004F1CE7">
      <w:pPr>
        <w:pStyle w:val="Heading1"/>
      </w:pPr>
      <w:r>
        <w:t>IMPLEMENTATION</w:t>
      </w:r>
      <w:r>
        <w:t>, EVIDENCE OF IMPACT, AND BUSINESS CASES</w:t>
      </w:r>
    </w:p>
    <w:p w14:paraId="71B5F522" w14:textId="77777777" w:rsidR="00327207" w:rsidRDefault="00E40216">
      <w:r>
        <w:rPr>
          <w:b/>
        </w:rPr>
        <w:t>A mature technical portfolio with an immature country delivery model.</w:t>
      </w:r>
      <w:r>
        <w:t xml:space="preserve"> AfricaRice technologies and approaches have been tested across West Africa and beyond, and Côte d’Ivoire benefits from AfricaRice’s presence at M’bé, relationships with national institutions, and a broad rice research base. The agronomic proposition is credible: improved varieties and quality seed can raise yields and resilience when supported by appropriate management. GEM and improved postharvest technologies can reduce labor burdens, improve processing efficiency and product quality, and raise returns. </w:t>
      </w:r>
      <w:r>
        <w:t xml:space="preserve">RiceAdvice and traceability systems have plausible operational value. </w:t>
      </w:r>
      <w:r w:rsidRPr="00622219">
        <w:rPr>
          <w:u w:val="single"/>
        </w:rPr>
        <w:t>The assessment therefore does not hinge on re-proving that individual components can work. It hinges on whether the integrated Côte d’Ivoire delivery and commercial system works at meaningful scale</w:t>
      </w:r>
      <w:r>
        <w:t>.</w:t>
      </w:r>
    </w:p>
    <w:p w14:paraId="6C8A05FF" w14:textId="77777777" w:rsidR="00327207" w:rsidRDefault="00E40216">
      <w:r>
        <w:rPr>
          <w:b/>
        </w:rPr>
        <w:t>Evidence of uptake is still fragmented.</w:t>
      </w:r>
      <w:r>
        <w:t xml:space="preserve"> The coaching discussion identified approximately fifteen agro-industrial partners, with some specializing in seed and others integrating seed, paddy procurement, processing, and marketing. The team also described partnerships with women’s groups and digital registration efforts. However, it could not yet provide a coherent baseline and target for unique farmers, hectares, repeat seed purchases, paddy throughput, or consumers reached. Some agro-industries themselves reportedly lack precise farmer counts, wh</w:t>
      </w:r>
      <w:r>
        <w:t>ich is one reason eProd is being introduced. This is an understandable early-stage weakness, but it prevents a rigorous judgment of scale and additionality.</w:t>
      </w:r>
    </w:p>
    <w:p w14:paraId="0614F02A" w14:textId="77777777" w:rsidR="00327207" w:rsidRDefault="00E40216">
      <w:r>
        <w:rPr>
          <w:b/>
        </w:rPr>
        <w:t>Farmer value proposition.</w:t>
      </w:r>
      <w:r>
        <w:t xml:space="preserve"> Farmers potentially benefit from higher yields, improved climate resilience, reduced production or postharvest losses, better access to seed and services, and more reliable markets. Yet the relevant measure is risk-adjusted net income, not yield alone. Farmers must finance seed, fertilizer, land preparation, harvesting, and transport before receiving payment, and they face weather, price, side-selling, quality rejection, and buyer-default risks. A processor contract </w:t>
      </w:r>
      <w:r>
        <w:lastRenderedPageBreak/>
        <w:t>may reduce market risk but create depend</w:t>
      </w:r>
      <w:r>
        <w:t xml:space="preserve">ence on one buyer or delayed payment. </w:t>
      </w:r>
      <w:r w:rsidRPr="00B13B35">
        <w:rPr>
          <w:u w:val="single"/>
        </w:rPr>
        <w:t>The project needs segmented crop budgets for irrigated and rainfed systems, different farm sizes, and different contract models</w:t>
      </w:r>
      <w:r>
        <w:t>.</w:t>
      </w:r>
    </w:p>
    <w:p w14:paraId="6C4E3DB8" w14:textId="4CA7B0B8" w:rsidR="00327207" w:rsidRDefault="00E40216">
      <w:r>
        <w:rPr>
          <w:b/>
        </w:rPr>
        <w:t>Seed-enterprise business case.</w:t>
      </w:r>
      <w:r>
        <w:t xml:space="preserve"> Private seed companies need access to early-generation seed, predictable demand, working capital, multiplication land, quality control, certification, storage, distribution, and payment. Their commercial risk is substantial because unsold inventory can lose value or be milled as grain. </w:t>
      </w:r>
      <w:r w:rsidRPr="00B13B35">
        <w:rPr>
          <w:u w:val="single"/>
        </w:rPr>
        <w:t>The strongest business model is therefore contracted or forecast demand from agro-industries, producer networks, and public programs rather than speculative production driven by targets</w:t>
      </w:r>
      <w:r>
        <w:t xml:space="preserve">. S4I should require data on production cost, selling price, gross </w:t>
      </w:r>
      <w:proofErr w:type="gramStart"/>
      <w:r>
        <w:t xml:space="preserve">margin, </w:t>
      </w:r>
      <w:r>
        <w:t xml:space="preserve"> and</w:t>
      </w:r>
      <w:proofErr w:type="gramEnd"/>
      <w:r>
        <w:t xml:space="preserve"> the share of sales financed by projects.</w:t>
      </w:r>
    </w:p>
    <w:p w14:paraId="10A29A1B" w14:textId="19E425F1" w:rsidR="00327207" w:rsidRDefault="00E40216">
      <w:r>
        <w:rPr>
          <w:b/>
        </w:rPr>
        <w:t>Processor and miller business case.</w:t>
      </w:r>
      <w:r>
        <w:t xml:space="preserve"> </w:t>
      </w:r>
      <w:r w:rsidRPr="002D29FF">
        <w:rPr>
          <w:u w:val="single"/>
        </w:rPr>
        <w:t>Processing is the likely organizing business case for the pathway</w:t>
      </w:r>
      <w:r>
        <w:t xml:space="preserve">. </w:t>
      </w:r>
      <w:r>
        <w:t xml:space="preserve">The </w:t>
      </w:r>
      <w:r w:rsidR="002D29FF">
        <w:t>coaching session</w:t>
      </w:r>
      <w:r>
        <w:t xml:space="preserve"> emphasized a recurring regional problem: impressive mills frequently operate below capacity because they cannot obtain enough good-quality </w:t>
      </w:r>
      <w:proofErr w:type="gramStart"/>
      <w:r>
        <w:t>paddy</w:t>
      </w:r>
      <w:proofErr w:type="gramEnd"/>
      <w:r>
        <w:t xml:space="preserve">, while </w:t>
      </w:r>
      <w:proofErr w:type="gramStart"/>
      <w:r>
        <w:t>seed</w:t>
      </w:r>
      <w:proofErr w:type="gramEnd"/>
      <w:r>
        <w:t xml:space="preserve"> can remain unsold because farmers lack a market. A processor-led contract and aggregation model can join these two failures. But the economics must include working capital for paddy purchases, farmer coordination, </w:t>
      </w:r>
      <w:proofErr w:type="gramStart"/>
      <w:r>
        <w:t xml:space="preserve">storage, </w:t>
      </w:r>
      <w:r>
        <w:t xml:space="preserve"> </w:t>
      </w:r>
      <w:r>
        <w:t>packaging</w:t>
      </w:r>
      <w:proofErr w:type="gramEnd"/>
      <w:r w:rsidR="0038728B">
        <w:t xml:space="preserve"> and</w:t>
      </w:r>
      <w:r>
        <w:t xml:space="preserve"> distribution, retailer margins, and competition from imported rice.</w:t>
      </w:r>
      <w:r w:rsidR="00EB5EB1">
        <w:t xml:space="preserve"> The project needs to use a “virtuous spiral” approach; addressing sequentially the most binding of the bottlenecks of seed supply, farmer quality</w:t>
      </w:r>
      <w:r w:rsidR="00417062">
        <w:t xml:space="preserve">, and processing capacity. Right now, it seems the most pressing challenge is farmer quality, though given the lags in certified seed production inherent in multi-generational multiplication, seed supply likely </w:t>
      </w:r>
      <w:r w:rsidR="001827E1">
        <w:t>needs to be addressed simul</w:t>
      </w:r>
      <w:r w:rsidR="00062F23">
        <w:t>taneously.</w:t>
      </w:r>
    </w:p>
    <w:p w14:paraId="48FEC4C4" w14:textId="77777777" w:rsidR="00327207" w:rsidRDefault="00E40216">
      <w:r>
        <w:rPr>
          <w:b/>
        </w:rPr>
        <w:t>Aggregation and working-capital economics.</w:t>
      </w:r>
      <w:r>
        <w:t xml:space="preserve"> Aggregators and processors must purchase paddy at harvest when cash requirements are highest. Delayed payment can destroy farmer trust, while insufficient working capital leaves mills idle and forces farmers to sell elsewhere. This is one of the most likely binding bottlenecks. The project should analyze the seasonal cash cycle for each lead firm and negotiate financing instruments tied to verified contracts, inventory, or receivables. Capital equipment without paddy-purchase finance is unlikely to produce</w:t>
      </w:r>
      <w:r>
        <w:t xml:space="preserve"> sustained throughput.</w:t>
      </w:r>
    </w:p>
    <w:p w14:paraId="70CF6D90" w14:textId="77777777" w:rsidR="00327207" w:rsidRDefault="00E40216">
      <w:r>
        <w:rPr>
          <w:b/>
        </w:rPr>
        <w:t>Women’s processing enterprise case.</w:t>
      </w:r>
      <w:r>
        <w:t xml:space="preserve"> GEM parboiling and improved processing can reduce smoke exposure, fuel and water use, labor, losses, and inconsistent quality. Women may gain income and control over enterprise activity. Nevertheless, equipment provision alone does not create a durable business. Women’s enterprises need predictable paddy access, working capital, equipment ownership and maintenance arrangements, market channels, quality standards, governance, and control over revenue. Group-based ownership may spread risk but can weaken inc</w:t>
      </w:r>
      <w:r>
        <w:t>entives and create conflict if responsibilities and benefit sharing are unclear. S4I should measure enterprise profitability, volumes, repeat sales, maintenance, and control over income.</w:t>
      </w:r>
    </w:p>
    <w:p w14:paraId="60AB2FC3" w14:textId="77777777" w:rsidR="00327207" w:rsidRDefault="00E40216">
      <w:r>
        <w:rPr>
          <w:b/>
        </w:rPr>
        <w:t>Mechanization-provider case.</w:t>
      </w:r>
      <w:r>
        <w:t xml:space="preserve"> Service providers need enough demand within a short seasonal window to cover loan repayment, depreciation, fuel, labor, transport, maintenance, spare parts, and downtime. The relevant question is not the number of machines distributed but the percentage operational, hectares or tons served, timeliness, customer retention, and net cash flow after full cost. Dealers and mechanics need incentives to stock parts and provide rural after-sales service. Where a lead processor or aggregator can coordinate a dense </w:t>
      </w:r>
      <w:r>
        <w:t>farmer base, mechanization may become viable more quickly because demand can be scheduled and payment recovered through crop transactions.</w:t>
      </w:r>
    </w:p>
    <w:p w14:paraId="22542ED2" w14:textId="77777777" w:rsidR="00327207" w:rsidRDefault="00E40216">
      <w:r>
        <w:rPr>
          <w:b/>
        </w:rPr>
        <w:t>Digital-provider and data-user case.</w:t>
      </w:r>
      <w:r>
        <w:t xml:space="preserve"> eProd needs a paying customer and a governance model. Agro-industries may pay if the platform reduces field-agent costs, improves contract compliance, </w:t>
      </w:r>
      <w:r>
        <w:lastRenderedPageBreak/>
        <w:t>forecasts supply, tracks inputs, supports traceability, or strengthens access to finance and premium markets. Government may pay for sector monitoring or regulatory purposes; development partners may pay for accountability. Farmers are unlikely to finance the full platform directly. The project should define the minimum data set, ownership and consent rules,</w:t>
      </w:r>
      <w:r>
        <w:t xml:space="preserve"> verification responsibility, integration costs, user support, and a tiered fee model. It should then test whether willingness to pay persists after grant support.</w:t>
      </w:r>
    </w:p>
    <w:p w14:paraId="1295061C" w14:textId="77777777" w:rsidR="00327207" w:rsidRDefault="00E40216">
      <w:r>
        <w:rPr>
          <w:b/>
        </w:rPr>
        <w:t>Public-sector proposition.</w:t>
      </w:r>
      <w:r>
        <w:t xml:space="preserve"> Government has a powerful strategic rationale: lower import dependence, greater food security, rural jobs, tax and enterprise development, resilience, and political credibility. Public agencies also have indispensable functions in early-generation seed, certification, infrastructure, standards, extension, water systems, data governance, and coordination. </w:t>
      </w:r>
      <w:r w:rsidRPr="00BE1A5E">
        <w:rPr>
          <w:u w:val="single"/>
        </w:rPr>
        <w:t>The challenge is converting broad policy support into recurrent budgets, staffing, regulatory decisions, and accountable implementation</w:t>
      </w:r>
      <w:r>
        <w:t xml:space="preserve">. </w:t>
      </w:r>
      <w:r w:rsidRPr="00BE1A5E">
        <w:rPr>
          <w:u w:val="single"/>
        </w:rPr>
        <w:t>Public value is not a business profit, but it must still produce a budgetary and political case.</w:t>
      </w:r>
      <w:r>
        <w:t xml:space="preserve"> The project should quantify the fiscal and economic benefits of local-rice competitiveness and identify the specific agencies and budget lines that will carry public-good costs.</w:t>
      </w:r>
    </w:p>
    <w:p w14:paraId="7A180F26" w14:textId="45D54CA9" w:rsidR="00327207" w:rsidRDefault="00E40216" w:rsidP="004F1CE7">
      <w:pPr>
        <w:pStyle w:val="Heading1"/>
      </w:pPr>
      <w:r>
        <w:t>SCALING AMBITION AND STAGE OF SCALE</w:t>
      </w:r>
    </w:p>
    <w:p w14:paraId="080A20BD" w14:textId="77777777" w:rsidR="00327207" w:rsidRDefault="00E40216">
      <w:r>
        <w:rPr>
          <w:b/>
        </w:rPr>
        <w:t>Regional ambition is not a Côte d’Ivoire operating plan.</w:t>
      </w:r>
      <w:r>
        <w:t xml:space="preserve"> The regional proposal targets one million smallholders by 2028, at least 40 percent women and 30 percent youth, 300,000 hectares, more than 4,000 mechanization SMEs or service providers, 50,000 jobs, a 25 percent reduction in postharvest losses, and comprehensive digital registration. </w:t>
      </w:r>
      <w:r w:rsidRPr="00BE1A5E">
        <w:rPr>
          <w:u w:val="single"/>
        </w:rPr>
        <w:t xml:space="preserve">These targets signal seriousness but combine several countries, business models, and beneficiary categories. The coaching session demonstrated that </w:t>
      </w:r>
      <w:r w:rsidRPr="00BE1A5E">
        <w:rPr>
          <w:b/>
          <w:bCs/>
          <w:u w:val="single"/>
        </w:rPr>
        <w:t>the Côte d’Ivoire team has not yet translated them into a small set of national targets and annual trajectories</w:t>
      </w:r>
      <w:r w:rsidRPr="00BE1A5E">
        <w:rPr>
          <w:u w:val="single"/>
        </w:rPr>
        <w:t>. Without this translation, almost any activity can be described as contributing to the regional ambition while no one is accountable for the country outcome</w:t>
      </w:r>
      <w:r>
        <w:t>.</w:t>
      </w:r>
    </w:p>
    <w:p w14:paraId="150F05DD" w14:textId="77777777" w:rsidR="00BE1A5E" w:rsidRDefault="00E40216">
      <w:r>
        <w:rPr>
          <w:b/>
        </w:rPr>
        <w:t>A results hierarchy is required.</w:t>
      </w:r>
      <w:r>
        <w:t xml:space="preserve"> The ambition should </w:t>
      </w:r>
      <w:proofErr w:type="gramStart"/>
      <w:r>
        <w:t>distinguish</w:t>
      </w:r>
      <w:proofErr w:type="gramEnd"/>
      <w:r>
        <w:t xml:space="preserve"> five levels. </w:t>
      </w:r>
    </w:p>
    <w:p w14:paraId="31B6F3CD" w14:textId="77777777" w:rsidR="00BE1A5E" w:rsidRDefault="00BE1A5E" w:rsidP="00FF4646">
      <w:pPr>
        <w:pStyle w:val="ListParagraph"/>
        <w:numPr>
          <w:ilvl w:val="0"/>
          <w:numId w:val="12"/>
        </w:numPr>
        <w:spacing w:after="60" w:line="252" w:lineRule="auto"/>
        <w:ind w:left="634"/>
        <w:contextualSpacing w:val="0"/>
      </w:pPr>
      <w:r>
        <w:t>I</w:t>
      </w:r>
      <w:r w:rsidR="00E40216">
        <w:t xml:space="preserve">nputs and relationships: partner agreements, capital investments, technical assistance, and digital onboarding. </w:t>
      </w:r>
    </w:p>
    <w:p w14:paraId="13B20437" w14:textId="77777777" w:rsidR="00FF4646" w:rsidRDefault="00FF4646" w:rsidP="00FF4646">
      <w:pPr>
        <w:pStyle w:val="ListParagraph"/>
        <w:numPr>
          <w:ilvl w:val="0"/>
          <w:numId w:val="12"/>
        </w:numPr>
        <w:spacing w:after="60" w:line="252" w:lineRule="auto"/>
        <w:ind w:left="634"/>
        <w:contextualSpacing w:val="0"/>
      </w:pPr>
      <w:r>
        <w:t>T</w:t>
      </w:r>
      <w:r w:rsidR="00E40216">
        <w:t xml:space="preserve">ransactions: certified seed sold, services purchased, contracts signed, paddy bought, loans disbursed, and rice marketed. </w:t>
      </w:r>
    </w:p>
    <w:p w14:paraId="49A47FBF" w14:textId="77777777" w:rsidR="00FF4646" w:rsidRDefault="00FF4646" w:rsidP="00FF4646">
      <w:pPr>
        <w:pStyle w:val="ListParagraph"/>
        <w:numPr>
          <w:ilvl w:val="0"/>
          <w:numId w:val="12"/>
        </w:numPr>
        <w:spacing w:after="60" w:line="252" w:lineRule="auto"/>
        <w:ind w:left="634"/>
        <w:contextualSpacing w:val="0"/>
      </w:pPr>
      <w:r>
        <w:t>S</w:t>
      </w:r>
      <w:r w:rsidR="00E40216">
        <w:t xml:space="preserve">ustained adoption: repeat seed purchase, continued contract participation, expansion of area, repeat service use, and enterprise survival. </w:t>
      </w:r>
    </w:p>
    <w:p w14:paraId="274C69E0" w14:textId="77777777" w:rsidR="00FF4646" w:rsidRDefault="00FF4646" w:rsidP="00FF4646">
      <w:pPr>
        <w:pStyle w:val="ListParagraph"/>
        <w:numPr>
          <w:ilvl w:val="0"/>
          <w:numId w:val="12"/>
        </w:numPr>
        <w:spacing w:after="60" w:line="252" w:lineRule="auto"/>
        <w:ind w:left="634"/>
        <w:contextualSpacing w:val="0"/>
      </w:pPr>
      <w:r>
        <w:t>S</w:t>
      </w:r>
      <w:r w:rsidR="00E40216">
        <w:t xml:space="preserve">ystem performance: higher mill utilization, reduced losses, better quality, higher farmer and enterprise margins, and a larger share of local rice in target markets. </w:t>
      </w:r>
    </w:p>
    <w:p w14:paraId="0796B6EC" w14:textId="76ED86F7" w:rsidR="00327207" w:rsidRDefault="00FF4646" w:rsidP="00FF4646">
      <w:pPr>
        <w:pStyle w:val="ListParagraph"/>
        <w:numPr>
          <w:ilvl w:val="0"/>
          <w:numId w:val="12"/>
        </w:numPr>
        <w:spacing w:after="60" w:line="252" w:lineRule="auto"/>
        <w:ind w:left="634"/>
        <w:contextualSpacing w:val="0"/>
      </w:pPr>
      <w:r>
        <w:t>A</w:t>
      </w:r>
      <w:r w:rsidR="00E40216">
        <w:t>utonomous expansion initiated and financed substantially by permanent actors.</w:t>
      </w:r>
    </w:p>
    <w:p w14:paraId="3BF4416B" w14:textId="77777777" w:rsidR="00327207" w:rsidRDefault="00E40216">
      <w:r>
        <w:rPr>
          <w:b/>
        </w:rPr>
        <w:t>A</w:t>
      </w:r>
      <w:r>
        <w:rPr>
          <w:b/>
        </w:rPr>
        <w:t xml:space="preserve"> realistic Côte d’Ivoire ambition.</w:t>
      </w:r>
      <w:r>
        <w:t xml:space="preserve"> </w:t>
      </w:r>
      <w:r w:rsidRPr="00FF4646">
        <w:rPr>
          <w:u w:val="single"/>
        </w:rPr>
        <w:t>By the end of 2026, the project should define and baseline a limited number of seed-processing partnership models; register their farmer and enterprise networks; establish quality and commercial metrics; and document the complete economics of at least three partnership archetypes</w:t>
      </w:r>
      <w:r>
        <w:t>. During 2027, it should demonstrate repeat transactions and expansion within those models, with a rising share of cost and risk borne by private and public actors. By 2028, success should be a functioning portfolio of lead-firm and women-enterprise pathways that continue without AfricaRice arranging routine transactions, not merely achievement of large aggregate tonnage targets.</w:t>
      </w:r>
    </w:p>
    <w:p w14:paraId="247E7CDD" w14:textId="77777777" w:rsidR="00327207" w:rsidRDefault="00E40216">
      <w:r>
        <w:rPr>
          <w:b/>
        </w:rPr>
        <w:t>Stage of scale.</w:t>
      </w:r>
      <w:r>
        <w:t xml:space="preserve"> Individual AfricaRice technologies are mature and some are already scaling. The Côte d’Ivoire PPP system is in transition to scale, with portions of the seed and processing pathway </w:t>
      </w:r>
      <w:r>
        <w:lastRenderedPageBreak/>
        <w:t xml:space="preserve">beginning to operate commercially. </w:t>
      </w:r>
      <w:r w:rsidRPr="002257DB">
        <w:rPr>
          <w:u w:val="single"/>
        </w:rPr>
        <w:t>It is not yet at sustainable scale as an integrated model because the ambition, actor commitments, financing, data, and handoff arrangements remain incomplete</w:t>
      </w:r>
      <w:r>
        <w:t>. The appropriate strategy is to deepen and validate the country pathway before expanding the complete bundle to new geographies. Regional learning and selective replication are useful, but Côte d’Ivoire should not be treated as proof that the entire PPP package is ready for broad replication.</w:t>
      </w:r>
    </w:p>
    <w:p w14:paraId="2388FFB5" w14:textId="305E8102" w:rsidR="00327207" w:rsidRDefault="00E40216" w:rsidP="004F1CE7">
      <w:pPr>
        <w:pStyle w:val="Heading1"/>
      </w:pPr>
      <w:r>
        <w:t>SCALING STRATEGY AND PATHWAY ANALYSIS</w:t>
      </w:r>
    </w:p>
    <w:p w14:paraId="59C678ED" w14:textId="77777777" w:rsidR="00327207" w:rsidRDefault="00E40216">
      <w:r>
        <w:rPr>
          <w:b/>
        </w:rPr>
        <w:t>An opportunistic partnership strategy with a potential core pathway.</w:t>
      </w:r>
      <w:r>
        <w:t xml:space="preserve"> The current approach is best described as opportunistically identifying and strengthening private and public partnerships that can commercialize proven AfricaRice innovations, with emphasis on seed and processing but willingness to engage other value-chain opportunities. This is legitimate in a complex market system. It allows the project to work with actors who possess assets, market access, and motivation. Its weakness is that opportunism can look like lack of focus and can produce unrelated partnerships</w:t>
      </w:r>
      <w:r>
        <w:t xml:space="preserve"> that do not aggregate into a country-level pathway. The solution is not to eliminate opportunism but to place it inside a clear strategic architecture.</w:t>
      </w:r>
    </w:p>
    <w:p w14:paraId="2E1A0273" w14:textId="3EE5F2A1" w:rsidR="00327207" w:rsidRDefault="00E40216">
      <w:r>
        <w:rPr>
          <w:b/>
        </w:rPr>
        <w:t>The upward-spiral theory of scale.</w:t>
      </w:r>
      <w:r>
        <w:t xml:space="preserve"> The most coherent theory emerging from the coaching session is an upward </w:t>
      </w:r>
      <w:r w:rsidR="001A02CD">
        <w:t xml:space="preserve">virtuous </w:t>
      </w:r>
      <w:r>
        <w:t>spiral. Initial investment improves seed availability and processing quality. Better mills and processors sell more competitive local rice and therefore demand more reliable, quality paddy. They contract or organize more farmers, provide or finance certified seed and services, and strengthen aggregation. Expanded production raises mill utilization and market presence. Greater consumer demand then creates new pressure for seed, mechanization, storage, finance, and quality assurance. The project returns to th</w:t>
      </w:r>
      <w:r>
        <w:t>e weakest link at each turn of the spiral, resolving it so the system moves to a higher level of throughput and commercial viability.</w:t>
      </w:r>
    </w:p>
    <w:p w14:paraId="36DCD443" w14:textId="77777777" w:rsidR="00327207" w:rsidRDefault="00E40216">
      <w:r>
        <w:rPr>
          <w:b/>
        </w:rPr>
        <w:t>Market quality as the first organizing outcome.</w:t>
      </w:r>
      <w:r>
        <w:t xml:space="preserve"> </w:t>
      </w:r>
      <w:r w:rsidRPr="001A02CD">
        <w:rPr>
          <w:u w:val="single"/>
        </w:rPr>
        <w:t>The spiral begins with the market, not with research supply.</w:t>
      </w:r>
      <w:r>
        <w:t xml:space="preserve"> Local rice must be sufficiently clean, consistent, well milled, packaged, available, and competitively priced to generate repeat purchases. Consumer preference research, buyer requirements, quality grades, brand positioning, and distribution therefore deserve greater weight. Import substitution is not achieved because local rice exists; it is achieved when consumers, retailers, institutions, or processors choose it. The project should identify market segments where local rice can win and organize upstream </w:t>
      </w:r>
      <w:r>
        <w:t>investment around those specifications.</w:t>
      </w:r>
    </w:p>
    <w:p w14:paraId="50C7EA0D" w14:textId="77777777" w:rsidR="00327207" w:rsidRDefault="00E40216">
      <w:r>
        <w:rPr>
          <w:b/>
        </w:rPr>
        <w:t>A differentiated lead-firm portfolio.</w:t>
      </w:r>
      <w:r>
        <w:t xml:space="preserve"> Not all agro-industries should be expected to perform the same functions. One may be a specialist seed enterprise; another may integrate seed and milling; another may be a processor relying on independent aggregators; a women-led enterprise may specialize in parboiling and local markets. </w:t>
      </w:r>
      <w:r w:rsidRPr="005B528E">
        <w:rPr>
          <w:u w:val="single"/>
        </w:rPr>
        <w:t>The project should define a typology of partnership models and the conditions under which each works</w:t>
      </w:r>
      <w:r>
        <w:t>. For each, it should specify the lead actor, target farmers, commercial transaction, required public goods, bottleneck, performance indicators, and exit logic. This preserves adaptation without losing analytical clarity.</w:t>
      </w:r>
    </w:p>
    <w:p w14:paraId="206ADB27" w14:textId="77777777" w:rsidR="00327207" w:rsidRDefault="00E40216">
      <w:r>
        <w:rPr>
          <w:b/>
        </w:rPr>
        <w:t>A clear actor-driven pathway.</w:t>
      </w:r>
      <w:r>
        <w:t xml:space="preserve"> A pathway exists when a motivated actor repeatedly performs the central function because doing so advances its mandate or business. In this case, the most plausible commercial drivers are processors and integrated agro-industries that need paddy and can create demand for seed and services. </w:t>
      </w:r>
      <w:r w:rsidRPr="005B528E">
        <w:rPr>
          <w:u w:val="single"/>
        </w:rPr>
        <w:t>The most plausible public driver is a designated national rice institution with authority over strategy, coordination, and public investment. AfricaRice should remain a technical and learning partner, not the indefinite operator. The pathway therefore needs a governance compact that assigns authority, incentives, resources, and accountability</w:t>
      </w:r>
      <w:r>
        <w:t>.</w:t>
      </w:r>
    </w:p>
    <w:p w14:paraId="3E662642" w14:textId="77777777" w:rsidR="00327207" w:rsidRDefault="00E40216">
      <w:r>
        <w:rPr>
          <w:b/>
        </w:rPr>
        <w:lastRenderedPageBreak/>
        <w:t>The scaling driver is distributed but must be governed.</w:t>
      </w:r>
      <w:r>
        <w:t xml:space="preserve"> A single private company cannot govern national seed standards, infrastructure, inclusion, and market policy. A public agency cannot operate every commercial transaction. AfricaRice cannot remain the permanent coordinator. </w:t>
      </w:r>
      <w:r w:rsidRPr="00C41E35">
        <w:rPr>
          <w:u w:val="single"/>
        </w:rPr>
        <w:t>The pathway requires distributed leadership with explicit accountability</w:t>
      </w:r>
      <w:r>
        <w:t xml:space="preserve">. </w:t>
      </w:r>
      <w:r>
        <w:t>ADERIZ or a designated rice-sector authority should own the national scaling agenda and public investment framework</w:t>
      </w:r>
      <w:r>
        <w:t>. Lead firms should own farmer contracting, procurement, processing, and sales. CNRA and AfricaRice should steward genetic materials and technical standards. Certification agencies should assure quality. Financial institutions should own finance products. eProd should provide contracted data services.</w:t>
      </w:r>
    </w:p>
    <w:p w14:paraId="6FD68991" w14:textId="232575D7" w:rsidR="00327207" w:rsidRDefault="00E40216" w:rsidP="004F1CE7">
      <w:pPr>
        <w:pStyle w:val="Heading1"/>
      </w:pPr>
      <w:r>
        <w:t>BOTTLENECKS, INCENTIVES, AND IMPLEMENTATION CAPACITY</w:t>
      </w:r>
    </w:p>
    <w:p w14:paraId="1468667B" w14:textId="77777777" w:rsidR="00327207" w:rsidRDefault="00E40216">
      <w:r>
        <w:rPr>
          <w:b/>
        </w:rPr>
        <w:t>Demand rather than technology is the central weakest link.</w:t>
      </w:r>
      <w:r>
        <w:t xml:space="preserve"> AfricaRice can release varieties and partners can produce seed, but neither creates scale when processors cannot sell rice or farmers cannot obtain a remunerative market. The project’s strongest conceptual advance is its recognition that seed inventory can sit unsold and mills can sit idle simultaneously. </w:t>
      </w:r>
      <w:r w:rsidRPr="00CE6116">
        <w:rPr>
          <w:u w:val="single"/>
        </w:rPr>
        <w:t>The binding constraint is the organization of demand, quality, working capital, and reliable transactions. This should be the center of the scaling strategy</w:t>
      </w:r>
      <w:r>
        <w:t>.</w:t>
      </w:r>
    </w:p>
    <w:p w14:paraId="04303841" w14:textId="77777777" w:rsidR="00327207" w:rsidRDefault="00E40216">
      <w:r>
        <w:rPr>
          <w:b/>
        </w:rPr>
        <w:t>Working capital.</w:t>
      </w:r>
      <w:r>
        <w:t xml:space="preserve"> Seed companies need finance months before sale; processors need large amounts of cash to purchase paddy at harvest; aggregators need cash and storage; farmers need seasonal input finance; women processors need paddy and packaging finance. Capital equipment grants do not solve these recurrent liquidity needs. </w:t>
      </w:r>
      <w:r w:rsidRPr="00CE6116">
        <w:rPr>
          <w:u w:val="single"/>
        </w:rPr>
        <w:t xml:space="preserve">The project should map transaction cycles and negotiate products such as inventory finance, purchase-order finance, contract-farming credit, receivables finance, or risk-sharing facilities. </w:t>
      </w:r>
      <w:r>
        <w:t>It should identify who bears default, side-selling, price, and climate risk. “Access to finance” is too general to be an actionable bottleneck solution.</w:t>
      </w:r>
    </w:p>
    <w:p w14:paraId="48EAD899" w14:textId="77777777" w:rsidR="00327207" w:rsidRDefault="00E40216">
      <w:r>
        <w:rPr>
          <w:b/>
        </w:rPr>
        <w:t>Quality and throughput management.</w:t>
      </w:r>
      <w:r>
        <w:t xml:space="preserve"> Processors need volumes that meet moisture, varietal purity, cleanliness, and timing standards. Farmers need to understand those standards and receive a price that rewards compliance. Aggregators need equipment and protocols for drying, grading, storage, and traceability. Public standards must be enforceable and market relevant. The project should establish quality-linked contracts and measure rejection rates, price differentials, and improvement over time. Technical training without transaction-level ince</w:t>
      </w:r>
      <w:r>
        <w:t>ntives will not sustain quality.</w:t>
      </w:r>
    </w:p>
    <w:p w14:paraId="74844E41" w14:textId="77777777" w:rsidR="00327207" w:rsidRDefault="00E40216">
      <w:r>
        <w:rPr>
          <w:b/>
        </w:rPr>
        <w:t>Seed-system weakest links.</w:t>
      </w:r>
      <w:r>
        <w:t xml:space="preserve"> Early-generation seed may remain underfunded because it is partly a public good and does not always generate enough revenue for research institutions. Certification can become a throughput bottleneck as volumes increase. Private multipliers may face uncertain demand and delayed payment. </w:t>
      </w:r>
      <w:r w:rsidRPr="00CE6116">
        <w:rPr>
          <w:u w:val="single"/>
        </w:rPr>
        <w:t>The project should forecast seed demand from actual lead-firm plans, contract multiplication where possible, and establish a recurring public or cost-recovery mechanism for breeder and foundation seed. Production targets should not be approved without a downstream demand and distribution plan</w:t>
      </w:r>
      <w:r>
        <w:t>.</w:t>
      </w:r>
    </w:p>
    <w:p w14:paraId="12BB0A4E" w14:textId="77777777" w:rsidR="00327207" w:rsidRDefault="00E40216">
      <w:r>
        <w:rPr>
          <w:b/>
        </w:rPr>
        <w:t>Institutional capacity.</w:t>
      </w:r>
      <w:r>
        <w:t xml:space="preserve"> Public agencies may endorse the partnership but lack staff, operating budgets, data systems, or decision authority. Certification agencies may become bottlenecks as production expands. Research institutions may lack recurrent finance for early-generation seed. </w:t>
      </w:r>
      <w:r w:rsidRPr="00CE6116">
        <w:rPr>
          <w:u w:val="single"/>
        </w:rPr>
        <w:t>The project should quantify required throughput and compare it with institutional capacity. Capacity-building should then be tied to performance—turnaround time, seed volumes, inspection coverage, data quality—not workshop attendance. The most serious institutional gap is likely not technical skill but authority, budget, and accountability across organizational boundaries</w:t>
      </w:r>
      <w:r>
        <w:t>.</w:t>
      </w:r>
    </w:p>
    <w:p w14:paraId="2C86FB06" w14:textId="77777777" w:rsidR="00327207" w:rsidRDefault="00E40216">
      <w:r>
        <w:rPr>
          <w:b/>
        </w:rPr>
        <w:t>Private actor motivation and additionality.</w:t>
      </w:r>
      <w:r>
        <w:t xml:space="preserve"> Firms participate when the partnership reduces risk, provides technology or capital, increases supply or sales, improves reputation, or opens public </w:t>
      </w:r>
      <w:r>
        <w:lastRenderedPageBreak/>
        <w:t>relationships. These motives are legitimate, but S4I should ask what each firm would have done without the grant and what it will continue afterward. Co-financing should include cash or documented risk-bearing investment where feasible. Private demonstrations, farmer recruitment, equipment imports, dealer development, and marketing expenditures are strong evid</w:t>
      </w:r>
      <w:r>
        <w:t>ence of commitment because the firm expects commercial returns. Attendance and in-kind staff time are weaker evidence.</w:t>
      </w:r>
    </w:p>
    <w:p w14:paraId="5158E0DB" w14:textId="77777777" w:rsidR="00327207" w:rsidRDefault="00E40216">
      <w:r>
        <w:rPr>
          <w:b/>
        </w:rPr>
        <w:t>Farmer motivation and trust.</w:t>
      </w:r>
      <w:r>
        <w:t xml:space="preserve"> Farmers judge the complete offer: seed quality, service timeliness, price, buyer reliability, payment speed, risk, and prior experience. A profitable average does not guarantee adoption if downside losses are severe or payment is delayed. The project should use cohort tracking and qualitative learning to identify trial, repeat use, expansion, partial adoption, side-selling, and exit. It should also protect farmer interests through transparent contracts, clear grading, dispute resolution, and timely payment</w:t>
      </w:r>
      <w:r>
        <w:t>. Lead-firm models can scale rapidly but can also transfer excessive risk to farmers if governance is weak.</w:t>
      </w:r>
    </w:p>
    <w:p w14:paraId="59B71CEE" w14:textId="77777777" w:rsidR="00327207" w:rsidRDefault="00E40216">
      <w:r>
        <w:rPr>
          <w:b/>
        </w:rPr>
        <w:t>Political economy.</w:t>
      </w:r>
      <w:r>
        <w:t xml:space="preserve"> Rice imports affect food prices, traders, importers, customs revenue, urban consumers, and politically connected businesses. Local-rice policies can fail when they raise consumer prices or threaten powerful interests. Public procurement can create demand but also dependency and distortion. </w:t>
      </w:r>
      <w:r w:rsidRPr="00C9020F">
        <w:rPr>
          <w:u w:val="single"/>
        </w:rPr>
        <w:t>The scaling strategy needs an explicit political-economy assessment of who gains, who loses, and which reforms are feasible. A resilient pathway should improve competitiveness rather than depend indefinitely on protection, though time-bound public procurement or tariff measures may help market formation if carefully designed.</w:t>
      </w:r>
    </w:p>
    <w:p w14:paraId="60DDBB76" w14:textId="09A68754" w:rsidR="00327207" w:rsidRDefault="00E40216" w:rsidP="004F1CE7">
      <w:pPr>
        <w:pStyle w:val="Heading1"/>
      </w:pPr>
      <w:r>
        <w:t>FINANCING, BLENDED FINANCE, AND DONOR EXIT</w:t>
      </w:r>
    </w:p>
    <w:p w14:paraId="356D9860" w14:textId="77777777" w:rsidR="00327207" w:rsidRDefault="00E40216">
      <w:r>
        <w:rPr>
          <w:b/>
        </w:rPr>
        <w:t>Separate commercial assets from public goods.</w:t>
      </w:r>
      <w:r>
        <w:t xml:space="preserve"> Mills, seed multiplication, machinery services, packaging, distribution, and many digital services can generate revenue and should move toward commercial finance. Breeding, early-generation seed stewardship, certification oversight, public standards, some extension and advisory content, sector data governance, inclusion safeguards, and PPP coordination contain public-good elements that may require recurrent public or donor finance. Sustainability does not mean privatizing everything. It means assigning eac</w:t>
      </w:r>
      <w:r>
        <w:t>h essential cost to a credible long-term payer.</w:t>
      </w:r>
    </w:p>
    <w:p w14:paraId="487B740A" w14:textId="77777777" w:rsidR="00327207" w:rsidRDefault="00E40216">
      <w:r>
        <w:rPr>
          <w:b/>
        </w:rPr>
        <w:t>Use subsidy to cross a transition, not hide an unviable model.</w:t>
      </w:r>
      <w:r>
        <w:t xml:space="preserve"> MasterCard Foundation, REWARD, S4I, and other funding may justifiably subsidize capital, technical assistance, early-stage coordination, and risk while a market is being built. The relevant question is what changes because of that subsidy. Does equipment produce quality and sales sufficient to finance maintenance and replacement? Does early-generation seed reach a demand level that supports cost recovery or a justified public budget? Do firms acquire capabilities and relationships that continue? Each subsi</w:t>
      </w:r>
      <w:r>
        <w:t>dy should have a transition hypothesis, declining support schedule, and performance trigger.</w:t>
      </w:r>
    </w:p>
    <w:p w14:paraId="431F8351" w14:textId="77777777" w:rsidR="00327207" w:rsidRDefault="00E40216">
      <w:r>
        <w:rPr>
          <w:b/>
        </w:rPr>
        <w:t>Blended finance must be specified transaction by transaction.</w:t>
      </w:r>
      <w:r>
        <w:t xml:space="preserve"> </w:t>
      </w:r>
      <w:r w:rsidRPr="003B5AC9">
        <w:rPr>
          <w:u w:val="single"/>
        </w:rPr>
        <w:t>The phrase should not substitute for a financing model.</w:t>
      </w:r>
      <w:r>
        <w:t xml:space="preserve"> A blended arrangement should identify the asset or transaction, borrower, lender, public or donor contribution, risk allocation, repayment source, tenor, interest rate, collateral, guarantee, and exit condition. Some investments may transition to fully private finance after demonstration. Others, such as shared infrastructure or early-generation seed, may remain public-private arrangements. </w:t>
      </w:r>
      <w:r w:rsidRPr="003B5AC9">
        <w:rPr>
          <w:u w:val="single"/>
        </w:rPr>
        <w:t>The project should judge success by whether permanent capital is entering viable transactions, not by the number of finance partners attending discussions</w:t>
      </w:r>
      <w:r>
        <w:t>.</w:t>
      </w:r>
    </w:p>
    <w:p w14:paraId="2AFD928B" w14:textId="77777777" w:rsidR="00327207" w:rsidRDefault="00E40216">
      <w:r>
        <w:rPr>
          <w:b/>
        </w:rPr>
        <w:t>A financing matrix.</w:t>
      </w:r>
      <w:r>
        <w:t xml:space="preserve"> </w:t>
      </w:r>
      <w:r w:rsidRPr="003B5AC9">
        <w:rPr>
          <w:u w:val="single"/>
        </w:rPr>
        <w:t xml:space="preserve">The project should create a function-by-function matrix identifying the current payer and doer, the intended 2028 payer and doer, the financing instrument, the expected revenue </w:t>
      </w:r>
      <w:r w:rsidRPr="003B5AC9">
        <w:rPr>
          <w:u w:val="single"/>
        </w:rPr>
        <w:lastRenderedPageBreak/>
        <w:t>or public benefit, and the evidence needed for transition.</w:t>
      </w:r>
      <w:r>
        <w:t xml:space="preserve"> AfricaRice may currently subsidize technical assistance to a seed company; by 2028 the company may pay for routine quality support while government finances breeder seed and AfricaRice provides occasional research backstopping. A donor may fund eProd onboarding; later agro-industries may pay subscription or transaction fees while government purchases aggregate sector data.</w:t>
      </w:r>
    </w:p>
    <w:p w14:paraId="5CEBA959" w14:textId="77777777" w:rsidR="00327207" w:rsidRDefault="00E40216">
      <w:r>
        <w:rPr>
          <w:b/>
        </w:rPr>
        <w:t>Exit as institutional transfer.</w:t>
      </w:r>
      <w:r>
        <w:t xml:space="preserve"> Donor exit should not be an end-of-project event. During 2026 the team should identify functions AfricaRice performs that no other actor currently owns. During 2027 these functions should be transferred, contracted, or funded through permanent arrangements, with AfricaRice deliberately stepping back from routine coordination. The key test is whether problems are resolved through the partner system without AfricaRice convening every response. A handoff is credible only when the receiving actor has authority</w:t>
      </w:r>
      <w:r>
        <w:t>, staff, budget, incentive, and demonstrated performance.</w:t>
      </w:r>
    </w:p>
    <w:p w14:paraId="57CCA6C7" w14:textId="77777777" w:rsidR="00327207" w:rsidRDefault="00E40216">
      <w:pPr>
        <w:spacing w:before="120"/>
      </w:pPr>
      <w:r>
        <w:rPr>
          <w:b/>
          <w:sz w:val="28"/>
          <w:u w:val="single"/>
        </w:rPr>
        <w:t>7. IPSR ASSESSMENT AND IMPLICATIONS FOR CGIAR SCALING</w:t>
      </w:r>
    </w:p>
    <w:p w14:paraId="61270C43" w14:textId="77777777" w:rsidR="00327207" w:rsidRDefault="00E40216">
      <w:r>
        <w:rPr>
          <w:b/>
        </w:rPr>
        <w:t>Useful breadth, insufficient prioritization.</w:t>
      </w:r>
      <w:r>
        <w:t xml:space="preserve"> IPSR is aligned with the project’s recognition that an innovation package depends on multiple technical and enabling components. It can help identify seed, finance, mechanization, processing, digital, policy, and market bottlenecks and make hidden dependencies visible. This systems view has contributed positively by moving the team beyond a technology-transfer model. The risk is that IPSR encourages the solution to expand until every value-chain function becomes part of the innovation package, producing an</w:t>
      </w:r>
      <w:r>
        <w:t xml:space="preserve"> exhaustive map rather than a strategy.</w:t>
      </w:r>
    </w:p>
    <w:p w14:paraId="320E5CBA" w14:textId="77777777" w:rsidR="00327207" w:rsidRDefault="00E40216">
      <w:r>
        <w:rPr>
          <w:b/>
        </w:rPr>
        <w:t>Readiness of components is not readiness of the pathway.</w:t>
      </w:r>
      <w:r>
        <w:t xml:space="preserve"> Mature varieties, GEM technology, digital platforms, and processing equipment can receive high readiness scores while the commercial and institutional pathway remains immature. </w:t>
      </w:r>
      <w:r w:rsidRPr="008320B1">
        <w:rPr>
          <w:u w:val="single"/>
        </w:rPr>
        <w:t>IPSR should distinguish technical readiness, transaction readiness, organizational readiness, financing readiness, and institutional ownership</w:t>
      </w:r>
      <w:r>
        <w:t>. Use should mean sustained behavior and transactions, not demonstrations, partnership signatures, or distribution. A solution can be technically ready but still at an early transition-to-scale stage institutionally.</w:t>
      </w:r>
    </w:p>
    <w:p w14:paraId="6C08251B" w14:textId="77777777" w:rsidR="00327207" w:rsidRDefault="00E40216">
      <w:r>
        <w:rPr>
          <w:b/>
        </w:rPr>
        <w:t>Improve IPSR workshops.</w:t>
      </w:r>
      <w:r>
        <w:t xml:space="preserve"> Workshops should begin with a quantified ambition and a defined scaling unit, then identify the one or two binding bottlenecks relative to that ambition. Participants should assign a named actor, incentive, capability, financing source, and deadline to each proposed solution. The final product should include a minimum viable bundle, pathway diagram, actor transaction map, business-case gaps, stage gates, and explicit decisions about what will not be included. Follow-up should test whether actor behavior ch</w:t>
      </w:r>
      <w:r>
        <w:t>anged, not whether the workshop action list was completed.</w:t>
      </w:r>
    </w:p>
    <w:p w14:paraId="6915C9E6" w14:textId="21A6117A" w:rsidR="00327207" w:rsidRDefault="00E40216" w:rsidP="008320B1">
      <w:pPr>
        <w:pStyle w:val="Heading1"/>
      </w:pPr>
      <w:r>
        <w:t>RECOMMENDATIONS AND S4I FUNDING PRIORITIES</w:t>
      </w:r>
    </w:p>
    <w:p w14:paraId="03EF7D96" w14:textId="77777777" w:rsidR="00327207" w:rsidRDefault="00E40216">
      <w:r>
        <w:rPr>
          <w:b/>
        </w:rPr>
        <w:t>Fund for another year, conditionally.</w:t>
      </w:r>
      <w:r>
        <w:t xml:space="preserve"> S4I should support the initiative through 2027 because the case combines strong science, high policy relevance, real private partners, and a plausible market-system pathway. The grant should be conditional on disciplined focus and should not primarily finance additional demonstrations, technologies, or partnership events. It should finance the conversion of a promising portfolio into a measurable, actor-driven system.</w:t>
      </w:r>
    </w:p>
    <w:p w14:paraId="15B18EBB" w14:textId="77777777" w:rsidR="00327207" w:rsidRDefault="00E40216">
      <w:r>
        <w:rPr>
          <w:b/>
        </w:rPr>
        <w:t>Define the minimum viable pathway.</w:t>
      </w:r>
      <w:r>
        <w:t xml:space="preserve"> Select three to five partnership archetypes centered on seed-to-paddy contracts and quality processing. Specify mandatory and optional components, target segments, lead actor, commercial transaction, public functions, finance, metrics, and exit logic. Stop </w:t>
      </w:r>
      <w:r>
        <w:lastRenderedPageBreak/>
        <w:t>counting every AfricaRice innovation as part of the same bundle. The minimum package should be defined by functions required for repeat commercial performance, not by the full inventory of technologies available.</w:t>
      </w:r>
    </w:p>
    <w:p w14:paraId="57BD47FE" w14:textId="77777777" w:rsidR="00327207" w:rsidRDefault="00E40216">
      <w:r>
        <w:rPr>
          <w:b/>
        </w:rPr>
        <w:t>Set a Côte d’Ivoire ambition and baseline.</w:t>
      </w:r>
      <w:r>
        <w:t xml:space="preserve"> By the end of 2026, establish verified baselines and annual targets for farmers in commercial relationships, hectares, certified seed sold and used, repeat purchase, paddy procured, mill utilization, quality grades, rice sold, enterprise margins, women’s control of income, and private/public cost share. </w:t>
      </w:r>
      <w:r w:rsidRPr="002E6291">
        <w:rPr>
          <w:u w:val="single"/>
        </w:rPr>
        <w:t>Reconcile these targets with the regional ambition without allowing regional numbers to substitute for country accountability. Publish a simple annual trajectory showing how each partnership contributes</w:t>
      </w:r>
      <w:r>
        <w:t>.</w:t>
      </w:r>
    </w:p>
    <w:p w14:paraId="137FAD9F" w14:textId="77777777" w:rsidR="00327207" w:rsidRDefault="00E40216">
      <w:r>
        <w:rPr>
          <w:b/>
        </w:rPr>
        <w:t>Prioritize market quality and offtake.</w:t>
      </w:r>
      <w:r>
        <w:t xml:space="preserve"> Support selected processors to meet defined quality and cost benchmarks, secure market channels, and translate sales growth into structured paddy demand. Test quality-linked contracts and rapid payment. Consumer and buyer evidence should guide product positioning and investment. S4I should expect at least one demonstrated chain from improved processing and sales to expanded farmer contracts and certified seed demand.</w:t>
      </w:r>
    </w:p>
    <w:p w14:paraId="24347824" w14:textId="77777777" w:rsidR="00327207" w:rsidRDefault="00E40216">
      <w:r>
        <w:rPr>
          <w:b/>
        </w:rPr>
        <w:t>Complete actor business cases.</w:t>
      </w:r>
      <w:r>
        <w:t xml:space="preserve"> Produce decision-grade models for farmers, seed firms, processors, service providers, women’s enterprises, eProd, lenders, and public agencies. Require partner evidence of investment, risk bearing, repeat transactions, and willingness to continue with declining subsidy. These models should include downside scenarios and identify which costs remain public goods. The purpose is not academic analysis but negotiation of real terms and commitments.</w:t>
      </w:r>
    </w:p>
    <w:p w14:paraId="0BF1CC95" w14:textId="77777777" w:rsidR="00327207" w:rsidRDefault="00E40216">
      <w:r>
        <w:rPr>
          <w:b/>
        </w:rPr>
        <w:t>Develop working-capital solutions.</w:t>
      </w:r>
      <w:r>
        <w:t xml:space="preserve"> Select at least two pivotal transactions—such as paddy procurement and seed multiplication—and negotiate actual financing products with named institutions. Define the borrower, repayment source, risk-sharing mechanism, and performance data. S4I should not accept a generic finance strategy or a list of possible instruments. It should expect disbursement, utilization, repayment evidence, and a pathway to continuation.</w:t>
      </w:r>
    </w:p>
    <w:p w14:paraId="564218E4" w14:textId="77777777" w:rsidR="00327207" w:rsidRDefault="00E40216">
      <w:r>
        <w:rPr>
          <w:b/>
        </w:rPr>
        <w:t>Turn eProd into transaction infrastructure.</w:t>
      </w:r>
      <w:r>
        <w:t xml:space="preserve"> Define decision use cases, data governance, verification, costs, and a sustainable fee model. The 2027 outcome should be that processors, lenders, and public agencies demonstrably use the system for forecasting, contracting, traceability, finance, or performance management—not merely that actors are registered. Data collection should be minimized to information that changes decisions or verifies the scaling results chain.</w:t>
      </w:r>
    </w:p>
    <w:p w14:paraId="40C1B579" w14:textId="77777777" w:rsidR="00327207" w:rsidRDefault="00E40216">
      <w:r>
        <w:rPr>
          <w:b/>
        </w:rPr>
        <w:t>Create a 2027 handoff compact.</w:t>
      </w:r>
      <w:r>
        <w:t xml:space="preserve"> Establish a responsibility and financing matrix naming who decides, pays, implements, monitors, and bears risk for every essential function. Secure written commitments and budget or commercial evidence. AfricaRice should set a schedule for withdrawal from routine coordination while retaining technical backstopping and learning roles. The compact should be approved by the relevant public rice-sector authority and the principal commercial partners.</w:t>
      </w:r>
    </w:p>
    <w:p w14:paraId="625BCA35" w14:textId="77777777" w:rsidR="00327207" w:rsidRDefault="00E40216">
      <w:r>
        <w:rPr>
          <w:b/>
        </w:rPr>
        <w:t>Apply stage gates.</w:t>
      </w:r>
      <w:r>
        <w:t xml:space="preserve"> Continue or expand a partnership only when it meets thresholds for farmer demand and repeat use, enterprise profitability or credible trajectory, quality and market performance, partner co-investment, data reliability, and post-grant ownership. Stop or redesign partnerships that depend on repeated project procurement without evidence of market pull. Stage gates should protect S4I from financing weak models simply because they are politically attractive or technically interesting.</w:t>
      </w:r>
    </w:p>
    <w:p w14:paraId="0918561F" w14:textId="1CCF0940" w:rsidR="00327207" w:rsidRDefault="00E40216">
      <w:r>
        <w:rPr>
          <w:b/>
        </w:rPr>
        <w:t>Expected S4I outputs and outcomes for 2026-2027.</w:t>
      </w:r>
      <w:r>
        <w:t xml:space="preserve"> S4I should expect: a bounded country pathway and quantified ambition; a typology of partnership models; complete economics for selected models; verified adoption and transaction data; at least two functioning finance arrangements; </w:t>
      </w:r>
      <w:r>
        <w:lastRenderedPageBreak/>
        <w:t>quality-and-offtake agreements; a public/private responsibility and financing compact; declining AfricaRice operational dependence; and evidence that selected models expand through partner investment. These are more important than adding new technologies or countries.</w:t>
      </w:r>
    </w:p>
    <w:sectPr w:rsidR="00327207" w:rsidSect="00862DC8">
      <w:headerReference w:type="default" r:id="rId8"/>
      <w:footerReference w:type="default" r:id="rId9"/>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69A53" w14:textId="77777777" w:rsidR="00E40216" w:rsidRDefault="00E40216">
      <w:pPr>
        <w:spacing w:after="0" w:line="240" w:lineRule="auto"/>
      </w:pPr>
      <w:r>
        <w:separator/>
      </w:r>
    </w:p>
  </w:endnote>
  <w:endnote w:type="continuationSeparator" w:id="0">
    <w:p w14:paraId="0898AF36" w14:textId="77777777" w:rsidR="00E40216" w:rsidRDefault="00E40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B733" w14:textId="253D2BAE" w:rsidR="00327207" w:rsidRDefault="00E40216" w:rsidP="00FF4C0E">
    <w:pPr>
      <w:pStyle w:val="Footer"/>
      <w:tabs>
        <w:tab w:val="clear" w:pos="4680"/>
        <w:tab w:val="center" w:pos="4500"/>
        <w:tab w:val="left" w:pos="4536"/>
        <w:tab w:val="left" w:pos="7650"/>
      </w:tabs>
    </w:pPr>
    <w:r>
      <w:rPr>
        <w:sz w:val="20"/>
      </w:rPr>
      <w:t>Author: Richard Kohl</w:t>
    </w:r>
    <w:r>
      <w:rPr>
        <w:sz w:val="20"/>
      </w:rPr>
      <w:tab/>
    </w:r>
    <w:r>
      <w:rPr>
        <w:sz w:val="20"/>
      </w:rPr>
      <w:t xml:space="preserve">Page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1</w:t>
    </w:r>
    <w:r>
      <w:rPr>
        <w:sz w:val="20"/>
      </w:rPr>
      <w:fldChar w:fldCharType="end"/>
    </w:r>
    <w:r>
      <w:rPr>
        <w:sz w:val="20"/>
      </w:rPr>
      <w:tab/>
    </w:r>
    <w:r w:rsidR="00FF4C0E">
      <w:rPr>
        <w:sz w:val="20"/>
      </w:rPr>
      <w:t>8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959C4" w14:textId="77777777" w:rsidR="00E40216" w:rsidRDefault="00E40216">
      <w:pPr>
        <w:spacing w:after="0" w:line="240" w:lineRule="auto"/>
      </w:pPr>
      <w:r>
        <w:separator/>
      </w:r>
    </w:p>
  </w:footnote>
  <w:footnote w:type="continuationSeparator" w:id="0">
    <w:p w14:paraId="4423B7DE" w14:textId="77777777" w:rsidR="00E40216" w:rsidRDefault="00E40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BDDB" w14:textId="58E4EC8C" w:rsidR="00862DC8" w:rsidRPr="00862DC8" w:rsidRDefault="00862DC8" w:rsidP="00862DC8">
    <w:pPr>
      <w:pStyle w:val="Header"/>
      <w:jc w:val="right"/>
      <w:rPr>
        <w:bCs/>
        <w:sz w:val="20"/>
        <w:szCs w:val="20"/>
      </w:rPr>
    </w:pPr>
    <w:r w:rsidRPr="00862DC8">
      <w:rPr>
        <w:bCs/>
        <w:sz w:val="20"/>
        <w:szCs w:val="20"/>
      </w:rPr>
      <w:t>Scaling Assessment</w:t>
    </w:r>
    <w:r w:rsidRPr="00862DC8">
      <w:rPr>
        <w:bCs/>
        <w:sz w:val="20"/>
        <w:szCs w:val="20"/>
      </w:rPr>
      <w:t xml:space="preserve"> and </w:t>
    </w:r>
    <w:r w:rsidRPr="00862DC8">
      <w:rPr>
        <w:bCs/>
        <w:sz w:val="20"/>
        <w:szCs w:val="20"/>
      </w:rPr>
      <w:t>Coaching</w:t>
    </w:r>
    <w:r w:rsidRPr="00862DC8">
      <w:rPr>
        <w:bCs/>
        <w:sz w:val="20"/>
        <w:szCs w:val="20"/>
      </w:rPr>
      <w:t xml:space="preserve"> </w:t>
    </w:r>
    <w:r w:rsidRPr="00862DC8">
      <w:rPr>
        <w:bCs/>
        <w:sz w:val="20"/>
        <w:szCs w:val="20"/>
      </w:rPr>
      <w:t>AfricaRice Côte d’Ivoire Rice</w:t>
    </w:r>
    <w:r w:rsidRPr="00862DC8">
      <w:rPr>
        <w:bCs/>
        <w:sz w:val="20"/>
        <w:szCs w:val="20"/>
      </w:rPr>
      <w:t xml:space="preserve"> PPP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A64A7"/>
    <w:multiLevelType w:val="hybridMultilevel"/>
    <w:tmpl w:val="735E5B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5D04E4D"/>
    <w:multiLevelType w:val="hybridMultilevel"/>
    <w:tmpl w:val="4350B980"/>
    <w:lvl w:ilvl="0" w:tplc="4F2CC17C">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6967187">
    <w:abstractNumId w:val="8"/>
  </w:num>
  <w:num w:numId="2" w16cid:durableId="325938349">
    <w:abstractNumId w:val="6"/>
  </w:num>
  <w:num w:numId="3" w16cid:durableId="333654897">
    <w:abstractNumId w:val="5"/>
  </w:num>
  <w:num w:numId="4" w16cid:durableId="1730685613">
    <w:abstractNumId w:val="4"/>
  </w:num>
  <w:num w:numId="5" w16cid:durableId="277489397">
    <w:abstractNumId w:val="7"/>
  </w:num>
  <w:num w:numId="6" w16cid:durableId="752051934">
    <w:abstractNumId w:val="3"/>
  </w:num>
  <w:num w:numId="7" w16cid:durableId="801113291">
    <w:abstractNumId w:val="2"/>
  </w:num>
  <w:num w:numId="8" w16cid:durableId="1668047218">
    <w:abstractNumId w:val="1"/>
  </w:num>
  <w:num w:numId="9" w16cid:durableId="169416961">
    <w:abstractNumId w:val="0"/>
  </w:num>
  <w:num w:numId="10" w16cid:durableId="57284320">
    <w:abstractNumId w:val="8"/>
  </w:num>
  <w:num w:numId="11" w16cid:durableId="320232195">
    <w:abstractNumId w:val="10"/>
  </w:num>
  <w:num w:numId="12" w16cid:durableId="2130469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C1"/>
    <w:rsid w:val="00034616"/>
    <w:rsid w:val="00047FE6"/>
    <w:rsid w:val="0006063C"/>
    <w:rsid w:val="00062F23"/>
    <w:rsid w:val="00081605"/>
    <w:rsid w:val="000C4BC6"/>
    <w:rsid w:val="0015074B"/>
    <w:rsid w:val="001827E1"/>
    <w:rsid w:val="001A02CD"/>
    <w:rsid w:val="001D39DD"/>
    <w:rsid w:val="002257DB"/>
    <w:rsid w:val="0029639D"/>
    <w:rsid w:val="002D29FF"/>
    <w:rsid w:val="002E6291"/>
    <w:rsid w:val="00314B33"/>
    <w:rsid w:val="00326F90"/>
    <w:rsid w:val="00327207"/>
    <w:rsid w:val="0038728B"/>
    <w:rsid w:val="003B5AC9"/>
    <w:rsid w:val="00417062"/>
    <w:rsid w:val="00453636"/>
    <w:rsid w:val="004F1CE7"/>
    <w:rsid w:val="005B528E"/>
    <w:rsid w:val="005E449E"/>
    <w:rsid w:val="00622219"/>
    <w:rsid w:val="00720865"/>
    <w:rsid w:val="008320B1"/>
    <w:rsid w:val="00862DC8"/>
    <w:rsid w:val="00871A6D"/>
    <w:rsid w:val="008E5F26"/>
    <w:rsid w:val="00917290"/>
    <w:rsid w:val="009279D7"/>
    <w:rsid w:val="00AA1D8D"/>
    <w:rsid w:val="00B13B35"/>
    <w:rsid w:val="00B47730"/>
    <w:rsid w:val="00BE1A5E"/>
    <w:rsid w:val="00C27E17"/>
    <w:rsid w:val="00C41E35"/>
    <w:rsid w:val="00C9020F"/>
    <w:rsid w:val="00CB0664"/>
    <w:rsid w:val="00CE6116"/>
    <w:rsid w:val="00E40216"/>
    <w:rsid w:val="00EA4D63"/>
    <w:rsid w:val="00EB5EB1"/>
    <w:rsid w:val="00F620C2"/>
    <w:rsid w:val="00F918A0"/>
    <w:rsid w:val="00FC693F"/>
    <w:rsid w:val="00FF4646"/>
    <w:rsid w:val="00FF4C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CFF5DD8-E5F2-424F-A047-91E12DF9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20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4F1CE7"/>
    <w:pPr>
      <w:keepNext/>
      <w:keepLines/>
      <w:numPr>
        <w:numId w:val="11"/>
      </w:numPr>
      <w:spacing w:before="120"/>
      <w:ind w:left="360"/>
      <w:outlineLvl w:val="0"/>
    </w:pPr>
    <w:rPr>
      <w:rFonts w:asciiTheme="majorHAnsi" w:eastAsiaTheme="majorEastAsia" w:hAnsiTheme="majorHAnsi" w:cstheme="majorBidi"/>
      <w:b/>
      <w:bCs/>
      <w:color w:val="000000" w:themeColor="text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F1CE7"/>
    <w:rPr>
      <w:rFonts w:asciiTheme="majorHAnsi" w:eastAsiaTheme="majorEastAsia" w:hAnsiTheme="majorHAnsi" w:cstheme="majorBidi"/>
      <w:b/>
      <w:bCs/>
      <w:color w:val="000000" w:themeColor="text1"/>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6400</Words>
  <Characters>36480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2</cp:revision>
  <dcterms:created xsi:type="dcterms:W3CDTF">2026-08-07T04:45:00Z</dcterms:created>
  <dcterms:modified xsi:type="dcterms:W3CDTF">2026-08-07T04:45:00Z</dcterms:modified>
  <cp:category/>
</cp:coreProperties>
</file>