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ffc108e5b8390e21acaba943d3200562027f407"/>
      <w:r>
        <w:t xml:space="preserve">Innspill til planprogram – Detaljregulering for akvakultur i Rognsund</w:t>
      </w:r>
      <w:bookmarkEnd w:id="20"/>
    </w:p>
    <w:p>
      <w:pPr>
        <w:pStyle w:val="FirstParagraph"/>
      </w:pPr>
      <w:r>
        <w:rPr>
          <w:b/>
        </w:rPr>
        <w:t xml:space="preserve">Krav om fullstendig kartlegging, utredning og dokumentasjon av alle relevante forhold</w:t>
      </w:r>
    </w:p>
    <w:p>
      <w:r>
        <w:pict>
          <v:rect style="width:0;height:1.5pt" o:hralign="center" o:hrstd="t" o:hr="t"/>
        </w:pict>
      </w:r>
    </w:p>
    <w:tbl>
      <w:tblPr>
        <w:tblStyle w:val="Table"/>
        <w:tblW w:type="pct" w:w="0.0"/>
        <w:tblLook w:firstRow="1"/>
      </w:tblPr>
      <w:tblGrid/>
      <w:tr>
        <w:trPr>
          <w:cnfStyle w:firstRow="1"/>
        </w:trPr>
        <w:tc>
          <w:tcPr>
            <w:tcBorders>
              <w:bottom w:val="single"/>
            </w:tcBorders>
            <w:vAlign w:val="bottom"/>
          </w:tcPr>
          <w:p>
            <w:pPr>
              <w:pStyle w:val="Compact"/>
              <w:jc w:val="left"/>
            </w:pPr>
            <w:r>
              <w:t xml:space="preserve">Felt</w:t>
            </w:r>
          </w:p>
        </w:tc>
        <w:tc>
          <w:tcPr>
            <w:tcBorders>
              <w:bottom w:val="single"/>
            </w:tcBorders>
            <w:vAlign w:val="bottom"/>
          </w:tcPr>
          <w:p>
            <w:pPr>
              <w:pStyle w:val="Compact"/>
              <w:jc w:val="left"/>
            </w:pPr>
            <w:r>
              <w:t xml:space="preserve">Opplysning</w:t>
            </w:r>
          </w:p>
        </w:tc>
      </w:tr>
      <w:tr>
        <w:tc>
          <w:p>
            <w:pPr>
              <w:pStyle w:val="Compact"/>
              <w:jc w:val="left"/>
            </w:pPr>
            <w:r>
              <w:rPr>
                <w:b/>
              </w:rPr>
              <w:t xml:space="preserve">Til (hovedmottaker)</w:t>
            </w:r>
          </w:p>
        </w:tc>
        <w:tc>
          <w:p>
            <w:pPr>
              <w:pStyle w:val="Compact"/>
              <w:jc w:val="left"/>
            </w:pPr>
            <w:r>
              <w:t xml:space="preserve">Rambøll Norge AS v/ planfaglig konsulent Marie Dølør McDougall –</w:t>
            </w:r>
            <w:r>
              <w:t xml:space="preserve"> </w:t>
            </w:r>
            <w:hyperlink r:id="rId21">
              <w:r>
                <w:rPr>
                  <w:rStyle w:val="Hyperlink"/>
                </w:rPr>
                <w:t xml:space="preserve">marie.mcdougall@ramboll.no</w:t>
              </w:r>
            </w:hyperlink>
            <w:r>
              <w:t xml:space="preserve">, Postboks 1077, 9503 Alta</w:t>
            </w:r>
          </w:p>
        </w:tc>
      </w:tr>
      <w:tr>
        <w:tc>
          <w:p>
            <w:pPr>
              <w:pStyle w:val="Compact"/>
              <w:jc w:val="left"/>
            </w:pPr>
            <w:r>
              <w:rPr>
                <w:b/>
              </w:rPr>
              <w:t xml:space="preserve">Til / kopi</w:t>
            </w:r>
          </w:p>
        </w:tc>
        <w:tc>
          <w:p>
            <w:pPr>
              <w:pStyle w:val="Compact"/>
              <w:jc w:val="left"/>
            </w:pPr>
            <w:r>
              <w:t xml:space="preserve">Alta kommune, planavdelingen (ved relevante mottakere: saksbehandler Ingrid Holtan Fredriksen, avdelingsleder plan Veslemøy Grindvik) –</w:t>
            </w:r>
            <w:r>
              <w:t xml:space="preserve"> </w:t>
            </w:r>
            <w:hyperlink r:id="rId22">
              <w:r>
                <w:rPr>
                  <w:rStyle w:val="Hyperlink"/>
                </w:rPr>
                <w:t xml:space="preserve">postmottak@alta.kommune.no</w:t>
              </w:r>
            </w:hyperlink>
          </w:p>
        </w:tc>
      </w:tr>
      <w:tr>
        <w:tc>
          <w:p>
            <w:pPr>
              <w:pStyle w:val="Compact"/>
              <w:jc w:val="left"/>
            </w:pPr>
            <w:r>
              <w:rPr>
                <w:b/>
              </w:rPr>
              <w:t xml:space="preserve">Kopi</w:t>
            </w:r>
          </w:p>
        </w:tc>
        <w:tc>
          <w:p>
            <w:pPr>
              <w:pStyle w:val="Compact"/>
              <w:jc w:val="left"/>
            </w:pPr>
            <w:r>
              <w:t xml:space="preserve">Statsforvalteren i Troms og Finnmark; Sametinget; Kystverket; Fiskeridirektoratet; NVE; Mattilsynet; Finnmark fylkeskommune; Miljødirektoratet – samt øvrige berørte parter og interessenter</w:t>
            </w:r>
          </w:p>
        </w:tc>
      </w:tr>
      <w:tr>
        <w:tc>
          <w:p>
            <w:pPr>
              <w:pStyle w:val="Compact"/>
              <w:jc w:val="left"/>
            </w:pPr>
            <w:r>
              <w:rPr>
                <w:b/>
              </w:rPr>
              <w:t xml:space="preserve">Sak</w:t>
            </w:r>
          </w:p>
        </w:tc>
        <w:tc>
          <w:p>
            <w:pPr>
              <w:pStyle w:val="Compact"/>
              <w:jc w:val="left"/>
            </w:pPr>
            <w:r>
              <w:t xml:space="preserve">Detaljregulering for akvakultur i Rognsund. PlanID</w:t>
            </w:r>
            <w:r>
              <w:t xml:space="preserve"> </w:t>
            </w:r>
            <w:r>
              <w:rPr>
                <w:b/>
              </w:rPr>
              <w:t xml:space="preserve">20260001</w:t>
            </w:r>
            <w:r>
              <w:t xml:space="preserve">, arkivsak</w:t>
            </w:r>
            <w:r>
              <w:t xml:space="preserve"> </w:t>
            </w:r>
            <w:r>
              <w:rPr>
                <w:b/>
              </w:rPr>
              <w:t xml:space="preserve">2025/7057</w:t>
            </w:r>
            <w:r>
              <w:t xml:space="preserve"> </w:t>
            </w:r>
            <w:r>
              <w:t xml:space="preserve">(Rambøll prosjektnr. 378020670). Varsel om oppstart 11.05.2026.</w:t>
            </w:r>
          </w:p>
        </w:tc>
      </w:tr>
      <w:tr>
        <w:tc>
          <w:p>
            <w:pPr>
              <w:pStyle w:val="Compact"/>
              <w:jc w:val="left"/>
            </w:pPr>
            <w:r>
              <w:rPr>
                <w:b/>
              </w:rPr>
              <w:t xml:space="preserve">Gjelder</w:t>
            </w:r>
          </w:p>
        </w:tc>
        <w:tc>
          <w:p>
            <w:pPr>
              <w:pStyle w:val="Compact"/>
              <w:jc w:val="left"/>
            </w:pPr>
            <w:r>
              <w:t xml:space="preserve">Høring av planprogram –</w:t>
            </w:r>
            <w:r>
              <w:t xml:space="preserve"> </w:t>
            </w:r>
            <w:r>
              <w:rPr>
                <w:b/>
              </w:rPr>
              <w:t xml:space="preserve">høringsfrist 01.07.2026</w:t>
            </w:r>
          </w:p>
        </w:tc>
      </w:tr>
      <w:tr>
        <w:tc>
          <w:p>
            <w:pPr>
              <w:pStyle w:val="Compact"/>
              <w:jc w:val="left"/>
            </w:pPr>
            <w:r>
              <w:rPr>
                <w:b/>
              </w:rPr>
              <w:t xml:space="preserve">Avsender</w:t>
            </w:r>
          </w:p>
        </w:tc>
        <w:tc>
          <w:p>
            <w:pPr>
              <w:pStyle w:val="Compact"/>
              <w:jc w:val="left"/>
            </w:pPr>
            <w:r>
              <w:rPr>
                <w:i/>
              </w:rPr>
              <w:t xml:space="preserve">[Fyll inn: navn / organisasjon / lag / forening]</w:t>
            </w:r>
          </w:p>
        </w:tc>
      </w:tr>
      <w:tr>
        <w:tc>
          <w:p>
            <w:pPr>
              <w:pStyle w:val="Compact"/>
              <w:jc w:val="left"/>
            </w:pPr>
            <w:r>
              <w:rPr>
                <w:b/>
              </w:rPr>
              <w:t xml:space="preserve">Adresse / e-post</w:t>
            </w:r>
          </w:p>
        </w:tc>
        <w:tc>
          <w:p>
            <w:pPr>
              <w:pStyle w:val="Compact"/>
              <w:jc w:val="left"/>
            </w:pPr>
            <w:r>
              <w:rPr>
                <w:i/>
              </w:rPr>
              <w:t xml:space="preserve">[Fyll inn]</w:t>
            </w:r>
          </w:p>
        </w:tc>
      </w:tr>
      <w:tr>
        <w:tc>
          <w:p>
            <w:pPr>
              <w:pStyle w:val="Compact"/>
              <w:jc w:val="left"/>
            </w:pPr>
            <w:r>
              <w:rPr>
                <w:b/>
              </w:rPr>
              <w:t xml:space="preserve">Dato</w:t>
            </w:r>
          </w:p>
        </w:tc>
        <w:tc>
          <w:p>
            <w:pPr>
              <w:pStyle w:val="Compact"/>
              <w:jc w:val="left"/>
            </w:pPr>
            <w:r>
              <w:rPr>
                <w:i/>
              </w:rPr>
              <w:t xml:space="preserve">[Fyll inn]</w:t>
            </w:r>
          </w:p>
        </w:tc>
      </w:tr>
    </w:tbl>
    <w:p>
      <w:r>
        <w:pict>
          <v:rect style="width:0;height:1.5pt" o:hralign="center" o:hrstd="t" o:hr="t"/>
        </w:pict>
      </w:r>
    </w:p>
    <w:p>
      <w:pPr>
        <w:pStyle w:val="Heading2"/>
      </w:pPr>
      <w:bookmarkStart w:id="23" w:name="X2b41e570d713ada6d35118771a545c33f56e6f4"/>
      <w:r>
        <w:t xml:space="preserve">1. Innledning og formål med innspillet</w:t>
      </w:r>
      <w:bookmarkEnd w:id="23"/>
    </w:p>
    <w:p>
      <w:pPr>
        <w:pStyle w:val="FirstParagraph"/>
      </w:pPr>
      <w:r>
        <w:t xml:space="preserve">Undertegnede viser til varsel om oppstart av detaljregulering med konsekvensutredning for akvakultur i Rognsund, og avgir med dette innspill til</w:t>
      </w:r>
      <w:r>
        <w:t xml:space="preserve"> </w:t>
      </w:r>
      <w:r>
        <w:rPr>
          <w:b/>
        </w:rPr>
        <w:t xml:space="preserve">planprogrammet</w:t>
      </w:r>
      <w:r>
        <w:t xml:space="preserve"> </w:t>
      </w:r>
      <w:r>
        <w:t xml:space="preserve">innen fristen 01.07.2026.</w:t>
      </w:r>
    </w:p>
    <w:p>
      <w:pPr>
        <w:pStyle w:val="BodyText"/>
      </w:pPr>
      <w:r>
        <w:t xml:space="preserve">Planprogrammet fastsetter hvilke temaer som skal utredes i den videre planprosessen. Temaer som ikke tas inn i planprogrammet, blir erfaringsmessig heller ikke tilstrekkelig utredet før vedtak. Dette innspillet har derfor ett hovedformål:</w:t>
      </w:r>
      <w:r>
        <w:t xml:space="preserve"> </w:t>
      </w:r>
      <w:r>
        <w:rPr>
          <w:b/>
        </w:rPr>
        <w:t xml:space="preserve">å sikre at planprogrammet og den påfølgende konsekvensutredningen blir så bred, grundig og etterprøvbar som mulig</w:t>
      </w:r>
      <w:r>
        <w:t xml:space="preserve">, slik at beslutninger fattes på et fullstendig kunnskapsgrunnlag.</w:t>
      </w:r>
    </w:p>
    <w:p>
      <w:pPr>
        <w:pStyle w:val="BodyText"/>
      </w:pPr>
      <w:r>
        <w:t xml:space="preserve">Det overordnede hensynet er å</w:t>
      </w:r>
      <w:r>
        <w:t xml:space="preserve"> </w:t>
      </w:r>
      <w:r>
        <w:rPr>
          <w:b/>
        </w:rPr>
        <w:t xml:space="preserve">ta vare på Rognsund for fremtiden</w:t>
      </w:r>
      <w:r>
        <w:t xml:space="preserve"> </w:t>
      </w:r>
      <w:r>
        <w:t xml:space="preserve">– et arktisk fjordsystem med nasjonale og internasjonale naturverdier, sjøsamisk kultur, tradisjonelt fiske, reiseliv og levende lokalsamfunn. Vi tar i dette innspillet ikke stilling til løsninger eller til utfallet av saken. Vi krever at</w:t>
      </w:r>
      <w:r>
        <w:t xml:space="preserve"> </w:t>
      </w:r>
      <w:r>
        <w:rPr>
          <w:b/>
        </w:rPr>
        <w:t xml:space="preserve">alle relevante problemstillinger forbundet med oppdrett blir kartlagt, utredet og dokumentert behørig</w:t>
      </w:r>
      <w:r>
        <w:t xml:space="preserve">, og at</w:t>
      </w:r>
      <w:r>
        <w:t xml:space="preserve"> </w:t>
      </w:r>
      <w:r>
        <w:rPr>
          <w:b/>
        </w:rPr>
        <w:t xml:space="preserve">eventuelle negative konsekvenser som avdekkes, tillegges vekt</w:t>
      </w:r>
      <w:r>
        <w:t xml:space="preserve"> </w:t>
      </w:r>
      <w:r>
        <w:t xml:space="preserve">i den videre saksgangen. Vi krever videre at</w:t>
      </w:r>
      <w:r>
        <w:t xml:space="preserve"> </w:t>
      </w:r>
      <w:r>
        <w:rPr>
          <w:b/>
        </w:rPr>
        <w:t xml:space="preserve">kravene i dette innspillet følges opp</w:t>
      </w:r>
      <w:r>
        <w:t xml:space="preserve">, besvares og innarbeides i planmaterialet.</w:t>
      </w:r>
    </w:p>
    <w:p>
      <w:pPr>
        <w:pStyle w:val="BlockText"/>
      </w:pPr>
      <w:r>
        <w:rPr>
          <w:b/>
        </w:rPr>
        <w:t xml:space="preserve">Presisering:</w:t>
      </w:r>
      <w:r>
        <w:t xml:space="preserve"> </w:t>
      </w:r>
      <w:r>
        <w:t xml:space="preserve">Dette innspillet er et krav om</w:t>
      </w:r>
      <w:r>
        <w:t xml:space="preserve"> </w:t>
      </w:r>
      <w:r>
        <w:rPr>
          <w:i/>
        </w:rPr>
        <w:t xml:space="preserve">utredning og dokumentasjon</w:t>
      </w:r>
      <w:r>
        <w:t xml:space="preserve"> </w:t>
      </w:r>
      <w:r>
        <w:t xml:space="preserve">– ikke et forslag til løsninger. Hensikten er at beslutningstakere skal ha fullstendig oversikt over konsekvensene før det tas stilling til om, og eventuelt hvordan, tiltaket skal gjennomføres.</w:t>
      </w:r>
    </w:p>
    <w:p>
      <w:r>
        <w:pict>
          <v:rect style="width:0;height:1.5pt" o:hralign="center" o:hrstd="t" o:hr="t"/>
        </w:pict>
      </w:r>
    </w:p>
    <w:p>
      <w:pPr>
        <w:pStyle w:val="Heading2"/>
      </w:pPr>
      <w:bookmarkStart w:id="24" w:name="Xd85a3ce987a0df8aaf0e37ef3f63ef7353045d8"/>
      <w:r>
        <w:t xml:space="preserve">2. Overordnede krav til planprogrammet og konsekvensutredningen</w:t>
      </w:r>
      <w:bookmarkEnd w:id="24"/>
    </w:p>
    <w:p>
      <w:pPr>
        <w:pStyle w:val="FirstParagraph"/>
      </w:pPr>
      <w:r>
        <w:t xml:space="preserve">Vi krever at følgende legges til grunn for hele utredningsarbeidet:</w:t>
      </w:r>
    </w:p>
    <w:p>
      <w:pPr>
        <w:numPr>
          <w:ilvl w:val="0"/>
          <w:numId w:val="1001"/>
        </w:numPr>
        <w:pStyle w:val="Compact"/>
      </w:pPr>
      <w:r>
        <w:rPr>
          <w:b/>
        </w:rPr>
        <w:t xml:space="preserve">Kunnskap før vedtak.</w:t>
      </w:r>
      <w:r>
        <w:t xml:space="preserve"> </w:t>
      </w:r>
      <w:r>
        <w:t xml:space="preserve">Sentralt kunnskapsgrunnlag (jf. kapittel 3) skal foreligge og være kvalitetssikret</w:t>
      </w:r>
      <w:r>
        <w:t xml:space="preserve"> </w:t>
      </w:r>
      <w:r>
        <w:rPr>
          <w:i/>
        </w:rPr>
        <w:t xml:space="preserve">før</w:t>
      </w:r>
      <w:r>
        <w:t xml:space="preserve"> </w:t>
      </w:r>
      <w:r>
        <w:t xml:space="preserve">planprogrammet fastsettes og senest før planvedtak – ikke utsettes til etter at rammene er låst.</w:t>
      </w:r>
    </w:p>
    <w:p>
      <w:pPr>
        <w:numPr>
          <w:ilvl w:val="0"/>
          <w:numId w:val="1001"/>
        </w:numPr>
        <w:pStyle w:val="Compact"/>
      </w:pPr>
      <w:r>
        <w:rPr>
          <w:b/>
        </w:rPr>
        <w:t xml:space="preserve">Føre-var-prinsippet.</w:t>
      </w:r>
      <w:r>
        <w:t xml:space="preserve"> </w:t>
      </w:r>
      <w:r>
        <w:t xml:space="preserve">Der kunnskap mangler, skal naturmangfoldloven § 9 (føre-var) og § 8 (kunnskapsgrunnlaget) legges til grunn, slik at usikkerhet ikke kommer tiltaket til gode.</w:t>
      </w:r>
    </w:p>
    <w:p>
      <w:pPr>
        <w:numPr>
          <w:ilvl w:val="0"/>
          <w:numId w:val="1001"/>
        </w:numPr>
        <w:pStyle w:val="Compact"/>
      </w:pPr>
      <w:r>
        <w:rPr>
          <w:b/>
        </w:rPr>
        <w:t xml:space="preserve">Samlet belastning.</w:t>
      </w:r>
      <w:r>
        <w:t xml:space="preserve"> </w:t>
      </w:r>
      <w:r>
        <w:t xml:space="preserve">Alle virkninger skal vurderes ut fra økosystemets samlede belastning, jf. naturmangfoldloven § 10 (se kapittel 3.14 om kumulative effekter).</w:t>
      </w:r>
    </w:p>
    <w:p>
      <w:pPr>
        <w:numPr>
          <w:ilvl w:val="0"/>
          <w:numId w:val="1001"/>
        </w:numPr>
        <w:pStyle w:val="Compact"/>
      </w:pPr>
      <w:r>
        <w:rPr>
          <w:b/>
        </w:rPr>
        <w:t xml:space="preserve">Reelle data, ikke bare modellering.</w:t>
      </w:r>
      <w:r>
        <w:t xml:space="preserve"> </w:t>
      </w:r>
      <w:r>
        <w:t xml:space="preserve">Der det er praktisk mulig skal det innhentes faktiske målinger (strøm, vannkjemi, bunn, arter) og ikke utelukkende modellerte verdier.</w:t>
      </w:r>
    </w:p>
    <w:p>
      <w:pPr>
        <w:numPr>
          <w:ilvl w:val="0"/>
          <w:numId w:val="1001"/>
        </w:numPr>
        <w:pStyle w:val="Compact"/>
      </w:pPr>
      <w:r>
        <w:rPr>
          <w:b/>
        </w:rPr>
        <w:t xml:space="preserve">Nullalternativet og alternative driftsformer utredes på lik linje.</w:t>
      </w:r>
      <w:r>
        <w:t xml:space="preserve"> </w:t>
      </w:r>
      <w:r>
        <w:t xml:space="preserve">Konsekvensutredningen skal sammenligne reelle alternativer, ikke bare ulike plasseringer av samme løsning (se kapittel 3.4).</w:t>
      </w:r>
    </w:p>
    <w:p>
      <w:pPr>
        <w:numPr>
          <w:ilvl w:val="0"/>
          <w:numId w:val="1001"/>
        </w:numPr>
        <w:pStyle w:val="Compact"/>
      </w:pPr>
      <w:r>
        <w:rPr>
          <w:b/>
        </w:rPr>
        <w:t xml:space="preserve">Anerkjent metodikk.</w:t>
      </w:r>
      <w:r>
        <w:t xml:space="preserve"> </w:t>
      </w:r>
      <w:r>
        <w:t xml:space="preserve">Vi krever at Miljødirektoratets metodikk</w:t>
      </w:r>
      <w:r>
        <w:t xml:space="preserve"> </w:t>
      </w:r>
      <w:r>
        <w:rPr>
          <w:b/>
        </w:rPr>
        <w:t xml:space="preserve">M-1941</w:t>
      </w:r>
      <w:r>
        <w:t xml:space="preserve"> </w:t>
      </w:r>
      <w:r>
        <w:t xml:space="preserve">(med feltarbeid) benyttes for alle relevante KU-temaer, og at valg av metode begrunnes der annen metode foreslås (se kapittel 4).</w:t>
      </w:r>
    </w:p>
    <w:p>
      <w:pPr>
        <w:numPr>
          <w:ilvl w:val="0"/>
          <w:numId w:val="1001"/>
        </w:numPr>
        <w:pStyle w:val="Compact"/>
      </w:pPr>
      <w:r>
        <w:rPr>
          <w:b/>
        </w:rPr>
        <w:t xml:space="preserve">Uavhengig fagkvalitetssikring.</w:t>
      </w:r>
      <w:r>
        <w:t xml:space="preserve"> </w:t>
      </w:r>
      <w:r>
        <w:t xml:space="preserve">Sentrale utredninger bør kvalitetssikres av uavhengige fagmiljøer for å sikre tillit til resultatene.</w:t>
      </w:r>
    </w:p>
    <w:p>
      <w:pPr>
        <w:numPr>
          <w:ilvl w:val="0"/>
          <w:numId w:val="1001"/>
        </w:numPr>
        <w:pStyle w:val="Compact"/>
      </w:pPr>
      <w:r>
        <w:rPr>
          <w:b/>
        </w:rPr>
        <w:t xml:space="preserve">Etterprøvbarhet og åpenhet.</w:t>
      </w:r>
      <w:r>
        <w:t xml:space="preserve"> </w:t>
      </w:r>
      <w:r>
        <w:t xml:space="preserve">Datagrunnlag, metode og forutsetninger skal dokumenteres slik at utredningene kan etterprøves av allmennheten og fagmyndigheter.</w:t>
      </w:r>
    </w:p>
    <w:p>
      <w:r>
        <w:pict>
          <v:rect style="width:0;height:1.5pt" o:hralign="center" o:hrstd="t" o:hr="t"/>
        </w:pict>
      </w:r>
    </w:p>
    <w:p>
      <w:pPr>
        <w:pStyle w:val="Heading2"/>
      </w:pPr>
      <w:bookmarkStart w:id="25" w:name="Xbed22afc493d887ce4e8d98cb8324afc33791ec"/>
      <w:r>
        <w:t xml:space="preserve">3. Tematiske krav om utredning og dokumentasjon</w:t>
      </w:r>
      <w:bookmarkEnd w:id="25"/>
    </w:p>
    <w:p>
      <w:pPr>
        <w:pStyle w:val="FirstParagraph"/>
      </w:pPr>
      <w:r>
        <w:t xml:space="preserve">For hvert tema under krever vi at forholdet</w:t>
      </w:r>
      <w:r>
        <w:t xml:space="preserve"> </w:t>
      </w:r>
      <w:r>
        <w:rPr>
          <w:b/>
        </w:rPr>
        <w:t xml:space="preserve">kartlegges, utredes og dokumenteres</w:t>
      </w:r>
      <w:r>
        <w:t xml:space="preserve">, og at</w:t>
      </w:r>
      <w:r>
        <w:t xml:space="preserve"> </w:t>
      </w:r>
      <w:r>
        <w:rPr>
          <w:b/>
        </w:rPr>
        <w:t xml:space="preserve">avdekkede negative konsekvenser tillegges vekt</w:t>
      </w:r>
      <w:r>
        <w:t xml:space="preserve"> </w:t>
      </w:r>
      <w:r>
        <w:t xml:space="preserve">i saksgangen.</w:t>
      </w:r>
    </w:p>
    <w:p>
      <w:pPr>
        <w:pStyle w:val="Heading3"/>
      </w:pPr>
      <w:bookmarkStart w:id="26" w:name="X577950cecde9f4e65f8997da313efe771285416"/>
      <w:r>
        <w:t xml:space="preserve">3.1 Villaks, lakselus, rømming og genetisk innkryssing</w:t>
      </w:r>
      <w:bookmarkEnd w:id="26"/>
    </w:p>
    <w:p>
      <w:pPr>
        <w:numPr>
          <w:ilvl w:val="0"/>
          <w:numId w:val="1002"/>
        </w:numPr>
        <w:pStyle w:val="Compact"/>
      </w:pPr>
      <w:r>
        <w:t xml:space="preserve">Konsekvenser for villaks i</w:t>
      </w:r>
      <w:r>
        <w:t xml:space="preserve"> </w:t>
      </w:r>
      <w:r>
        <w:rPr>
          <w:b/>
        </w:rPr>
        <w:t xml:space="preserve">Altavassdraget</w:t>
      </w:r>
      <w:r>
        <w:t xml:space="preserve"> </w:t>
      </w:r>
      <w:r>
        <w:t xml:space="preserve">(nasjonal lakseelv) og</w:t>
      </w:r>
      <w:r>
        <w:t xml:space="preserve"> </w:t>
      </w:r>
      <w:r>
        <w:rPr>
          <w:b/>
        </w:rPr>
        <w:t xml:space="preserve">Repparfjordelva</w:t>
      </w:r>
      <w:r>
        <w:t xml:space="preserve"> </w:t>
      </w:r>
      <w:r>
        <w:t xml:space="preserve">(begge innenfor influensområdet, 60 km), med vekt på at Altabestanden allerede er vurdert til</w:t>
      </w:r>
      <w:r>
        <w:t xml:space="preserve"> </w:t>
      </w:r>
      <w:r>
        <w:rPr>
          <w:i/>
        </w:rPr>
        <w:t xml:space="preserve">moderat tilstand</w:t>
      </w:r>
      <w:r>
        <w:t xml:space="preserve"> </w:t>
      </w:r>
      <w:r>
        <w:t xml:space="preserve">under kvalitetsnormen for villaks.</w:t>
      </w:r>
    </w:p>
    <w:p>
      <w:pPr>
        <w:numPr>
          <w:ilvl w:val="0"/>
          <w:numId w:val="1002"/>
        </w:numPr>
        <w:pStyle w:val="Compact"/>
      </w:pPr>
      <w:r>
        <w:rPr>
          <w:b/>
        </w:rPr>
        <w:t xml:space="preserve">Lakselusmodellering</w:t>
      </w:r>
      <w:r>
        <w:t xml:space="preserve"> </w:t>
      </w:r>
      <w:r>
        <w:t xml:space="preserve">for vill laksefisk i hele influensområdet, og smoltens utvandringsruter gjennom Rognsund (én av tre hovedruter, sammen med Stjernsundet og Vargsundet).</w:t>
      </w:r>
    </w:p>
    <w:p>
      <w:pPr>
        <w:numPr>
          <w:ilvl w:val="0"/>
          <w:numId w:val="1002"/>
        </w:numPr>
        <w:pStyle w:val="Compact"/>
      </w:pPr>
      <w:r>
        <w:t xml:space="preserve">Konsekvenser for</w:t>
      </w:r>
      <w:r>
        <w:t xml:space="preserve"> </w:t>
      </w:r>
      <w:r>
        <w:rPr>
          <w:b/>
        </w:rPr>
        <w:t xml:space="preserve">sjøørret og sjørøye</w:t>
      </w:r>
      <w:r>
        <w:t xml:space="preserve">, som er like følsomme for lakselus som laks, men ofte underkommunisert.</w:t>
      </w:r>
    </w:p>
    <w:p>
      <w:pPr>
        <w:numPr>
          <w:ilvl w:val="0"/>
          <w:numId w:val="1002"/>
        </w:numPr>
        <w:pStyle w:val="Compact"/>
      </w:pPr>
      <w:r>
        <w:rPr>
          <w:b/>
        </w:rPr>
        <w:t xml:space="preserve">Rømming og genetisk innkryssing</w:t>
      </w:r>
      <w:r>
        <w:t xml:space="preserve"> </w:t>
      </w:r>
      <w:r>
        <w:t xml:space="preserve">i ville bestander, vurdert opp mot klimaframskrivninger med hyppigere ekstremvær.</w:t>
      </w:r>
    </w:p>
    <w:p>
      <w:pPr>
        <w:numPr>
          <w:ilvl w:val="0"/>
          <w:numId w:val="1002"/>
        </w:numPr>
        <w:pStyle w:val="Compact"/>
      </w:pPr>
      <w:r>
        <w:t xml:space="preserve">At Rognsund vurderes inkludert i overvåkingsprogram for lakselus på vill fisk (f.eks. NALO), og at</w:t>
      </w:r>
      <w:r>
        <w:t xml:space="preserve"> </w:t>
      </w:r>
      <w:r>
        <w:rPr>
          <w:b/>
        </w:rPr>
        <w:t xml:space="preserve">DNA-overvåking</w:t>
      </w:r>
      <w:r>
        <w:t xml:space="preserve"> </w:t>
      </w:r>
      <w:r>
        <w:t xml:space="preserve">av rømt fisk ved Altaelvas innløp utredes som dokumentasjonstiltak.</w:t>
      </w:r>
    </w:p>
    <w:p>
      <w:pPr>
        <w:pStyle w:val="Heading3"/>
      </w:pPr>
      <w:bookmarkStart w:id="27" w:name="X85388d3c068f05e145432645cc6b2360784c3ca"/>
      <w:r>
        <w:t xml:space="preserve">3.2 Vannmiljø, vannforskriften, resipient og strøm</w:t>
      </w:r>
      <w:bookmarkEnd w:id="27"/>
    </w:p>
    <w:p>
      <w:pPr>
        <w:numPr>
          <w:ilvl w:val="0"/>
          <w:numId w:val="1003"/>
        </w:numPr>
        <w:pStyle w:val="Compact"/>
      </w:pPr>
      <w:r>
        <w:rPr>
          <w:b/>
        </w:rPr>
        <w:t xml:space="preserve">Kjemisk tilstand</w:t>
      </w:r>
      <w:r>
        <w:t xml:space="preserve"> </w:t>
      </w:r>
      <w:r>
        <w:t xml:space="preserve">i Rognsundet, Store Kufjorden og Innerpollen er i dag</w:t>
      </w:r>
      <w:r>
        <w:t xml:space="preserve"> </w:t>
      </w:r>
      <w:r>
        <w:rPr>
          <w:i/>
        </w:rPr>
        <w:t xml:space="preserve">ukjent</w:t>
      </w:r>
      <w:r>
        <w:t xml:space="preserve">. Vi krever at kjemisk tilstand kartlegges, slik at vannforskriften</w:t>
      </w:r>
      <w:r>
        <w:t xml:space="preserve"> </w:t>
      </w:r>
      <w:r>
        <w:rPr>
          <w:b/>
        </w:rPr>
        <w:t xml:space="preserve">§ 12</w:t>
      </w:r>
      <w:r>
        <w:t xml:space="preserve"> </w:t>
      </w:r>
      <w:r>
        <w:t xml:space="preserve">(vilkår for ny aktivitet) kan vurderes på reelt grunnlag.</w:t>
      </w:r>
    </w:p>
    <w:p>
      <w:pPr>
        <w:numPr>
          <w:ilvl w:val="0"/>
          <w:numId w:val="1003"/>
        </w:numPr>
        <w:pStyle w:val="Compact"/>
      </w:pPr>
      <w:r>
        <w:rPr>
          <w:b/>
        </w:rPr>
        <w:t xml:space="preserve">Reelle strømmålinger</w:t>
      </w:r>
      <w:r>
        <w:t xml:space="preserve"> </w:t>
      </w:r>
      <w:r>
        <w:t xml:space="preserve">på de aktuelle lokalitetene (ikke kun modellering), som grunnlag for å vurdere spredning av partikler, næringssalter og lakselus.</w:t>
      </w:r>
    </w:p>
    <w:p>
      <w:pPr>
        <w:numPr>
          <w:ilvl w:val="0"/>
          <w:numId w:val="1003"/>
        </w:numPr>
        <w:pStyle w:val="Compact"/>
      </w:pPr>
      <w:r>
        <w:rPr>
          <w:b/>
        </w:rPr>
        <w:t xml:space="preserve">Resipientkapasitet</w:t>
      </w:r>
      <w:r>
        <w:t xml:space="preserve"> </w:t>
      </w:r>
      <w:r>
        <w:t xml:space="preserve">og vannutskifting, herunder at deler av fjordsystemet er registrert som</w:t>
      </w:r>
      <w:r>
        <w:t xml:space="preserve"> </w:t>
      </w:r>
      <w:r>
        <w:rPr>
          <w:b/>
        </w:rPr>
        <w:t xml:space="preserve">fjorder med sjelden utskifting av bassengvann</w:t>
      </w:r>
      <w:r>
        <w:t xml:space="preserve"> </w:t>
      </w:r>
      <w:r>
        <w:t xml:space="preserve">– et forhold som er kritisk for fjordens evne til å tåle organisk belastning.</w:t>
      </w:r>
    </w:p>
    <w:p>
      <w:pPr>
        <w:pStyle w:val="Heading3"/>
      </w:pPr>
      <w:bookmarkStart w:id="28" w:name="X75e46eeea6fa1ac56b724177949b605d6a88a22"/>
      <w:r>
        <w:t xml:space="preserve">3.3 Utslipp, bunnpåvirkning og marine naturtyper</w:t>
      </w:r>
      <w:bookmarkEnd w:id="28"/>
    </w:p>
    <w:p>
      <w:pPr>
        <w:numPr>
          <w:ilvl w:val="0"/>
          <w:numId w:val="1004"/>
        </w:numPr>
        <w:pStyle w:val="Compact"/>
      </w:pPr>
      <w:r>
        <w:rPr>
          <w:b/>
        </w:rPr>
        <w:t xml:space="preserve">Utslipp av næringssalter og organisk materiale</w:t>
      </w:r>
      <w:r>
        <w:t xml:space="preserve"> </w:t>
      </w:r>
      <w:r>
        <w:t xml:space="preserve">fra anleggene (fôrrester, fekalier), og virkning på fjordens vannkvalitet og bunn.</w:t>
      </w:r>
    </w:p>
    <w:p>
      <w:pPr>
        <w:numPr>
          <w:ilvl w:val="0"/>
          <w:numId w:val="1004"/>
        </w:numPr>
        <w:pStyle w:val="Compact"/>
      </w:pPr>
      <w:r>
        <w:rPr>
          <w:b/>
        </w:rPr>
        <w:t xml:space="preserve">Bunntilstand</w:t>
      </w:r>
      <w:r>
        <w:t xml:space="preserve"> </w:t>
      </w:r>
      <w:r>
        <w:t xml:space="preserve">under og rundt anleggene, med</w:t>
      </w:r>
      <w:r>
        <w:t xml:space="preserve"> </w:t>
      </w:r>
      <w:r>
        <w:rPr>
          <w:b/>
        </w:rPr>
        <w:t xml:space="preserve">baseline-måling etter NS 9410</w:t>
      </w:r>
      <w:r>
        <w:t xml:space="preserve"> </w:t>
      </w:r>
      <w:r>
        <w:t xml:space="preserve">før eventuell oppstart og overvåking deretter, særlig på hardbunn med liten tidligere tilførsel.</w:t>
      </w:r>
    </w:p>
    <w:p>
      <w:pPr>
        <w:numPr>
          <w:ilvl w:val="0"/>
          <w:numId w:val="1004"/>
        </w:numPr>
        <w:pStyle w:val="Compact"/>
      </w:pPr>
      <w:r>
        <w:rPr>
          <w:b/>
        </w:rPr>
        <w:t xml:space="preserve">Kobber</w:t>
      </w:r>
      <w:r>
        <w:t xml:space="preserve"> </w:t>
      </w:r>
      <w:r>
        <w:t xml:space="preserve">(notimpregnering) og opphopning i sediment.</w:t>
      </w:r>
    </w:p>
    <w:p>
      <w:pPr>
        <w:numPr>
          <w:ilvl w:val="0"/>
          <w:numId w:val="1004"/>
        </w:numPr>
        <w:pStyle w:val="Compact"/>
      </w:pPr>
      <w:r>
        <w:t xml:space="preserve">Sårbare</w:t>
      </w:r>
      <w:r>
        <w:t xml:space="preserve"> </w:t>
      </w:r>
      <w:r>
        <w:rPr>
          <w:b/>
        </w:rPr>
        <w:t xml:space="preserve">marine naturtyper</w:t>
      </w:r>
      <w:r>
        <w:t xml:space="preserve">, herunder</w:t>
      </w:r>
      <w:r>
        <w:t xml:space="preserve"> </w:t>
      </w:r>
      <w:r>
        <w:rPr>
          <w:b/>
        </w:rPr>
        <w:t xml:space="preserve">mergel-/ruglbunn</w:t>
      </w:r>
      <w:r>
        <w:t xml:space="preserve"> </w:t>
      </w:r>
      <w:r>
        <w:t xml:space="preserve">(kalkalgen</w:t>
      </w:r>
      <w:r>
        <w:t xml:space="preserve"> </w:t>
      </w:r>
      <w:r>
        <w:rPr>
          <w:i/>
        </w:rPr>
        <w:t xml:space="preserve">Phymatolithon calcareum</w:t>
      </w:r>
      <w:r>
        <w:t xml:space="preserve">, rødlistet VU), skjell-, svamp- og tareforekomster, samt eventuelle korallforekomster – og hvordan disse påvirkes av nedslamming og organisk belastning.</w:t>
      </w:r>
    </w:p>
    <w:p>
      <w:pPr>
        <w:pStyle w:val="Heading3"/>
      </w:pPr>
      <w:bookmarkStart w:id="29" w:name="X1ac8dedcc4989700415a92e5257326d4fb20af0"/>
      <w:r>
        <w:t xml:space="preserve">3.4 Driftsform og teknologi (krav om utredning, ikke om løsning)</w:t>
      </w:r>
      <w:bookmarkEnd w:id="29"/>
    </w:p>
    <w:p>
      <w:pPr>
        <w:numPr>
          <w:ilvl w:val="0"/>
          <w:numId w:val="1005"/>
        </w:numPr>
        <w:pStyle w:val="Compact"/>
      </w:pPr>
      <w:r>
        <w:t xml:space="preserve">At konsekvensutredningen</w:t>
      </w:r>
      <w:r>
        <w:t xml:space="preserve"> </w:t>
      </w:r>
      <w:r>
        <w:rPr>
          <w:b/>
        </w:rPr>
        <w:t xml:space="preserve">sammenligner ulike driftsformer</w:t>
      </w:r>
      <w:r>
        <w:t xml:space="preserve"> </w:t>
      </w:r>
      <w:r>
        <w:t xml:space="preserve">– åpne merder mot lukket, semilukket, nedsenkbar og landbasert teknologi – med hensyn til lus, rømming, utslipp, energibruk, areal og fiskevelferd.</w:t>
      </w:r>
    </w:p>
    <w:p>
      <w:pPr>
        <w:numPr>
          <w:ilvl w:val="0"/>
          <w:numId w:val="1005"/>
        </w:numPr>
        <w:pStyle w:val="Compact"/>
      </w:pPr>
      <w:r>
        <w:t xml:space="preserve">At minst ett alternativ basert på driftsform som samler opp utslipp og reduserer lusepåslag, utredes på lik linje med dagens åpne merder og med nullalternativet.</w:t>
      </w:r>
    </w:p>
    <w:p>
      <w:pPr>
        <w:numPr>
          <w:ilvl w:val="0"/>
          <w:numId w:val="1005"/>
        </w:numPr>
        <w:pStyle w:val="Compact"/>
      </w:pPr>
      <w:r>
        <w:rPr>
          <w:i/>
        </w:rPr>
        <w:t xml:space="preserve">Vi tar ikke stilling til hvilken løsning som bør velges; vi krever at konsekvensene av de ulike driftsformene dokumenteres slik at valget kan tas på et opplyst grunnlag.</w:t>
      </w:r>
    </w:p>
    <w:p>
      <w:pPr>
        <w:pStyle w:val="Heading3"/>
      </w:pPr>
      <w:bookmarkStart w:id="30" w:name="Xfd2241d8fca03c0839d0396d201a8db97ace770"/>
      <w:r>
        <w:t xml:space="preserve">3.5 Gyteområder og marine ressurser</w:t>
      </w:r>
      <w:bookmarkEnd w:id="30"/>
    </w:p>
    <w:p>
      <w:pPr>
        <w:numPr>
          <w:ilvl w:val="0"/>
          <w:numId w:val="1006"/>
        </w:numPr>
        <w:pStyle w:val="Compact"/>
      </w:pPr>
      <w:r>
        <w:t xml:space="preserve">Registrerte</w:t>
      </w:r>
      <w:r>
        <w:t xml:space="preserve"> </w:t>
      </w:r>
      <w:r>
        <w:rPr>
          <w:b/>
        </w:rPr>
        <w:t xml:space="preserve">gyteområder for torsk</w:t>
      </w:r>
      <w:r>
        <w:t xml:space="preserve"> </w:t>
      </w:r>
      <w:r>
        <w:t xml:space="preserve">(Sanden, Nordbukta, Store Kufjord) og gytefelt vurdert som «lokalt viktig» av Havforskningsinstituttet.</w:t>
      </w:r>
    </w:p>
    <w:p>
      <w:pPr>
        <w:numPr>
          <w:ilvl w:val="0"/>
          <w:numId w:val="1006"/>
        </w:numPr>
        <w:pStyle w:val="Compact"/>
      </w:pPr>
      <w:r>
        <w:rPr>
          <w:b/>
        </w:rPr>
        <w:t xml:space="preserve">Egglarvedrift</w:t>
      </w:r>
      <w:r>
        <w:t xml:space="preserve"> </w:t>
      </w:r>
      <w:r>
        <w:t xml:space="preserve">(lodde, sild, torsk, hyse, sei, uer) og</w:t>
      </w:r>
      <w:r>
        <w:t xml:space="preserve"> </w:t>
      </w:r>
      <w:r>
        <w:rPr>
          <w:b/>
        </w:rPr>
        <w:t xml:space="preserve">særlig verdifulle områder (SVO)</w:t>
      </w:r>
      <w:r>
        <w:t xml:space="preserve"> </w:t>
      </w:r>
      <w:r>
        <w:t xml:space="preserve">for fisk i og rundt Rognsund.</w:t>
      </w:r>
    </w:p>
    <w:p>
      <w:pPr>
        <w:numPr>
          <w:ilvl w:val="0"/>
          <w:numId w:val="1006"/>
        </w:numPr>
        <w:pStyle w:val="Compact"/>
      </w:pPr>
      <w:r>
        <w:t xml:space="preserve">Konsekvenser for</w:t>
      </w:r>
      <w:r>
        <w:t xml:space="preserve"> </w:t>
      </w:r>
      <w:r>
        <w:rPr>
          <w:b/>
        </w:rPr>
        <w:t xml:space="preserve">dyreplankton</w:t>
      </w:r>
      <w:r>
        <w:t xml:space="preserve"> </w:t>
      </w:r>
      <w:r>
        <w:t xml:space="preserve">og produksjonsgrunnlaget i næringskjeden.</w:t>
      </w:r>
    </w:p>
    <w:p>
      <w:pPr>
        <w:pStyle w:val="Heading3"/>
      </w:pPr>
      <w:bookmarkStart w:id="31" w:name="X9e8f79a51feee373c2cbed9d921444a305c9c32"/>
      <w:r>
        <w:t xml:space="preserve">3.6 Sjøfugl og rødlistede arter</w:t>
      </w:r>
      <w:bookmarkEnd w:id="31"/>
    </w:p>
    <w:p>
      <w:pPr>
        <w:numPr>
          <w:ilvl w:val="0"/>
          <w:numId w:val="1007"/>
        </w:numPr>
        <w:pStyle w:val="Compact"/>
      </w:pPr>
      <w:r>
        <w:rPr>
          <w:b/>
        </w:rPr>
        <w:t xml:space="preserve">Fuglekartlegging i hekkesesong</w:t>
      </w:r>
      <w:r>
        <w:t xml:space="preserve"> </w:t>
      </w:r>
      <w:r>
        <w:t xml:space="preserve">ved fagkyndig, med vekt på rødlistede arter.</w:t>
      </w:r>
    </w:p>
    <w:p>
      <w:pPr>
        <w:numPr>
          <w:ilvl w:val="0"/>
          <w:numId w:val="1007"/>
        </w:numPr>
        <w:pStyle w:val="Compact"/>
      </w:pPr>
      <w:r>
        <w:t xml:space="preserve">Et områdeuttrekk fra Artsdatabanken/Artskart dokumenterer</w:t>
      </w:r>
      <w:r>
        <w:t xml:space="preserve"> </w:t>
      </w:r>
      <w:r>
        <w:rPr>
          <w:b/>
        </w:rPr>
        <w:t xml:space="preserve">476 funn av 61 rødlistede taksa</w:t>
      </w:r>
      <w:r>
        <w:t xml:space="preserve"> </w:t>
      </w:r>
      <w:r>
        <w:t xml:space="preserve">i Rognsundområdet, herunder sjøfugl i de strengeste kategoriene:</w:t>
      </w:r>
      <w:r>
        <w:t xml:space="preserve"> </w:t>
      </w:r>
      <w:r>
        <w:rPr>
          <w:b/>
        </w:rPr>
        <w:t xml:space="preserve">hettemåke og lomvi (kritisk truet, CR)</w:t>
      </w:r>
      <w:r>
        <w:t xml:space="preserve">; krykkje, makrellterne, storspove og lunde (sterkt truet, EN); ærfugl, gråmåke, fiskemåke, tyvjo og alke (sårbar, VU); storskarv, tjeld, teist, rødstilk m.fl. (nær truet, NT). Vi krever at disse funnene legges eksplisitt til grunn og oppdateres med feltkartlegging.</w:t>
      </w:r>
    </w:p>
    <w:p>
      <w:pPr>
        <w:numPr>
          <w:ilvl w:val="0"/>
          <w:numId w:val="1007"/>
        </w:numPr>
        <w:pStyle w:val="Compact"/>
      </w:pPr>
      <w:r>
        <w:rPr>
          <w:b/>
        </w:rPr>
        <w:t xml:space="preserve">Truede karplanter</w:t>
      </w:r>
      <w:r>
        <w:t xml:space="preserve"> </w:t>
      </w:r>
      <w:r>
        <w:t xml:space="preserve">på land (Seiland/Stjernøya), herunder den lokalt endemiske</w:t>
      </w:r>
      <w:r>
        <w:t xml:space="preserve"> </w:t>
      </w:r>
      <w:r>
        <w:rPr>
          <w:b/>
        </w:rPr>
        <w:t xml:space="preserve">stjernøyvalmuen</w:t>
      </w:r>
      <w:r>
        <w:t xml:space="preserve"> </w:t>
      </w:r>
      <w:r>
        <w:t xml:space="preserve">(EN) og flere EN/VU/NT-fjellplanter, samt de identifiserte «hotspotene» ved</w:t>
      </w:r>
      <w:r>
        <w:t xml:space="preserve"> </w:t>
      </w:r>
      <w:r>
        <w:rPr>
          <w:b/>
        </w:rPr>
        <w:t xml:space="preserve">Mjånes</w:t>
      </w:r>
      <w:r>
        <w:t xml:space="preserve"> </w:t>
      </w:r>
      <w:r>
        <w:t xml:space="preserve">og</w:t>
      </w:r>
      <w:r>
        <w:t xml:space="preserve"> </w:t>
      </w:r>
      <w:r>
        <w:rPr>
          <w:b/>
        </w:rPr>
        <w:t xml:space="preserve">Kremmervika/Daudingsberget</w:t>
      </w:r>
      <w:r>
        <w:t xml:space="preserve">.</w:t>
      </w:r>
    </w:p>
    <w:p>
      <w:pPr>
        <w:pStyle w:val="Heading3"/>
      </w:pPr>
      <w:bookmarkStart w:id="32" w:name="X8ac541f87f41e9bc602ab7a61ad6c88e0d23a75"/>
      <w:r>
        <w:t xml:space="preserve">3.7 Sjøpattedyr og undervannsstøy</w:t>
      </w:r>
      <w:bookmarkEnd w:id="32"/>
    </w:p>
    <w:p>
      <w:pPr>
        <w:numPr>
          <w:ilvl w:val="0"/>
          <w:numId w:val="1008"/>
        </w:numPr>
        <w:pStyle w:val="Compact"/>
      </w:pPr>
      <w:r>
        <w:t xml:space="preserve">Påvirkning på</w:t>
      </w:r>
      <w:r>
        <w:t xml:space="preserve"> </w:t>
      </w:r>
      <w:r>
        <w:rPr>
          <w:b/>
        </w:rPr>
        <w:t xml:space="preserve">hval og sjøpattedyr</w:t>
      </w:r>
      <w:r>
        <w:t xml:space="preserve">. Altafjord-/Rognsundsystemet er registrert som beite- og hårfellingsområde for flere hvalarter (bl.a.</w:t>
      </w:r>
      <w:r>
        <w:t xml:space="preserve"> </w:t>
      </w:r>
      <w:r>
        <w:rPr>
          <w:b/>
        </w:rPr>
        <w:t xml:space="preserve">knølhval</w:t>
      </w:r>
      <w:r>
        <w:t xml:space="preserve"> </w:t>
      </w:r>
      <w:r>
        <w:t xml:space="preserve">og</w:t>
      </w:r>
      <w:r>
        <w:t xml:space="preserve"> </w:t>
      </w:r>
      <w:r>
        <w:rPr>
          <w:b/>
        </w:rPr>
        <w:t xml:space="preserve">vågehval</w:t>
      </w:r>
      <w:r>
        <w:t xml:space="preserve">), og Altafjorden er et internasjonalt kjent hvalområde (spekkhogger, knølhval, finnhval). I tillegg er mer stedbundne arter som</w:t>
      </w:r>
      <w:r>
        <w:t xml:space="preserve"> </w:t>
      </w:r>
      <w:r>
        <w:rPr>
          <w:b/>
        </w:rPr>
        <w:t xml:space="preserve">kvitnos</w:t>
      </w:r>
      <w:r>
        <w:t xml:space="preserve"> </w:t>
      </w:r>
      <w:r>
        <w:t xml:space="preserve">og</w:t>
      </w:r>
      <w:r>
        <w:t xml:space="preserve"> </w:t>
      </w:r>
      <w:r>
        <w:rPr>
          <w:b/>
        </w:rPr>
        <w:t xml:space="preserve">nise</w:t>
      </w:r>
      <w:r>
        <w:t xml:space="preserve"> </w:t>
      </w:r>
      <w:r>
        <w:t xml:space="preserve">til stede i Rognsund hele året.</w:t>
      </w:r>
      <w:r>
        <w:t xml:space="preserve"> </w:t>
      </w:r>
      <w:r>
        <w:rPr>
          <w:b/>
        </w:rPr>
        <w:t xml:space="preserve">Havert</w:t>
      </w:r>
      <w:r>
        <w:t xml:space="preserve"> </w:t>
      </w:r>
      <w:r>
        <w:t xml:space="preserve">og</w:t>
      </w:r>
      <w:r>
        <w:t xml:space="preserve"> </w:t>
      </w:r>
      <w:r>
        <w:rPr>
          <w:b/>
        </w:rPr>
        <w:t xml:space="preserve">ringsel</w:t>
      </w:r>
      <w:r>
        <w:t xml:space="preserve"> </w:t>
      </w:r>
      <w:r>
        <w:t xml:space="preserve">(begge rødlistet VU) er registrert i området.</w:t>
      </w:r>
    </w:p>
    <w:p>
      <w:pPr>
        <w:numPr>
          <w:ilvl w:val="0"/>
          <w:numId w:val="1008"/>
        </w:numPr>
        <w:pStyle w:val="Compact"/>
      </w:pPr>
      <w:r>
        <w:rPr>
          <w:b/>
        </w:rPr>
        <w:t xml:space="preserve">Undervannsstøy</w:t>
      </w:r>
      <w:r>
        <w:t xml:space="preserve"> </w:t>
      </w:r>
      <w:r>
        <w:t xml:space="preserve">fra anlegg (fôrflåter, fortøyninger, båttrafikk) og virkning på sjøpattedyrenes kommunikasjon, beiting og atferd – utredet med sertifisert akustisk fagkompetanse.</w:t>
      </w:r>
    </w:p>
    <w:p>
      <w:pPr>
        <w:numPr>
          <w:ilvl w:val="0"/>
          <w:numId w:val="1008"/>
        </w:numPr>
        <w:pStyle w:val="Compact"/>
      </w:pPr>
      <w:r>
        <w:rPr>
          <w:b/>
        </w:rPr>
        <w:t xml:space="preserve">Kollisjonsrisiko</w:t>
      </w:r>
      <w:r>
        <w:t xml:space="preserve"> </w:t>
      </w:r>
      <w:r>
        <w:t xml:space="preserve">mellom båttrafikk til/fra anlegg og sjøpattedyr.</w:t>
      </w:r>
    </w:p>
    <w:p>
      <w:pPr>
        <w:pStyle w:val="Heading3"/>
      </w:pPr>
      <w:bookmarkStart w:id="33" w:name="Xd554f2f22b30b7034fe121a17ec1f4b87c0fd39"/>
      <w:r>
        <w:t xml:space="preserve">3.8 Tradisjonelt fiske og kystflåtens fiskefelt</w:t>
      </w:r>
      <w:bookmarkEnd w:id="33"/>
    </w:p>
    <w:p>
      <w:pPr>
        <w:numPr>
          <w:ilvl w:val="0"/>
          <w:numId w:val="1009"/>
        </w:numPr>
        <w:pStyle w:val="Compact"/>
      </w:pPr>
      <w:r>
        <w:t xml:space="preserve">Konsekvenser for</w:t>
      </w:r>
      <w:r>
        <w:t xml:space="preserve"> </w:t>
      </w:r>
      <w:r>
        <w:rPr>
          <w:b/>
        </w:rPr>
        <w:t xml:space="preserve">tradisjonelt fiske</w:t>
      </w:r>
      <w:r>
        <w:t xml:space="preserve"> </w:t>
      </w:r>
      <w:r>
        <w:t xml:space="preserve">og kystflåtens tilgang til mye brukte fiskefelt i Rognsund (aktive og passive redskaper), herunder registrerte</w:t>
      </w:r>
      <w:r>
        <w:t xml:space="preserve"> </w:t>
      </w:r>
      <w:r>
        <w:rPr>
          <w:b/>
        </w:rPr>
        <w:t xml:space="preserve">fiskeplasser</w:t>
      </w:r>
      <w:r>
        <w:t xml:space="preserve"> </w:t>
      </w:r>
      <w:r>
        <w:t xml:space="preserve">og</w:t>
      </w:r>
      <w:r>
        <w:t xml:space="preserve"> </w:t>
      </w:r>
      <w:r>
        <w:rPr>
          <w:b/>
        </w:rPr>
        <w:t xml:space="preserve">låssettingsplasser</w:t>
      </w:r>
      <w:r>
        <w:t xml:space="preserve"> </w:t>
      </w:r>
      <w:r>
        <w:t xml:space="preserve">(Fiskeridirektoratets kystnære fiskeridata).</w:t>
      </w:r>
    </w:p>
    <w:p>
      <w:pPr>
        <w:numPr>
          <w:ilvl w:val="0"/>
          <w:numId w:val="1009"/>
        </w:numPr>
        <w:pStyle w:val="Compact"/>
      </w:pPr>
      <w:r>
        <w:t xml:space="preserve">Arealbeslag og fortrengning av fiske, og at</w:t>
      </w:r>
      <w:r>
        <w:t xml:space="preserve"> </w:t>
      </w:r>
      <w:r>
        <w:rPr>
          <w:b/>
        </w:rPr>
        <w:t xml:space="preserve">Fiskeridirektoratet</w:t>
      </w:r>
      <w:r>
        <w:t xml:space="preserve"> </w:t>
      </w:r>
      <w:r>
        <w:t xml:space="preserve">gis reell anledning til å uttale seg.</w:t>
      </w:r>
    </w:p>
    <w:p>
      <w:pPr>
        <w:pStyle w:val="Heading3"/>
      </w:pPr>
      <w:bookmarkStart w:id="34" w:name="Xb7d8332a44073b99700b7940bafa01154d95c08"/>
      <w:r>
        <w:t xml:space="preserve">3.9 Sjøsamiske interesser og reindrift</w:t>
      </w:r>
      <w:bookmarkEnd w:id="34"/>
    </w:p>
    <w:p>
      <w:pPr>
        <w:numPr>
          <w:ilvl w:val="0"/>
          <w:numId w:val="1010"/>
        </w:numPr>
        <w:pStyle w:val="Compact"/>
      </w:pPr>
      <w:r>
        <w:rPr>
          <w:b/>
        </w:rPr>
        <w:t xml:space="preserve">Sjøsamisk fiske og kultur</w:t>
      </w:r>
      <w:r>
        <w:t xml:space="preserve"> </w:t>
      </w:r>
      <w:r>
        <w:t xml:space="preserve">utredet som eget deltema – hele Rognsund ligger i et sjøsamisk område med bosetting i lange tider.</w:t>
      </w:r>
    </w:p>
    <w:p>
      <w:pPr>
        <w:numPr>
          <w:ilvl w:val="0"/>
          <w:numId w:val="1010"/>
        </w:numPr>
        <w:pStyle w:val="Compact"/>
      </w:pPr>
      <w:r>
        <w:rPr>
          <w:b/>
        </w:rPr>
        <w:t xml:space="preserve">Reindrift</w:t>
      </w:r>
      <w:r>
        <w:t xml:space="preserve"> </w:t>
      </w:r>
      <w:r>
        <w:t xml:space="preserve">i berørte distrikter</w:t>
      </w:r>
      <w:r>
        <w:t xml:space="preserve"> </w:t>
      </w:r>
      <w:r>
        <w:rPr>
          <w:b/>
        </w:rPr>
        <w:t xml:space="preserve">24A Oarje-Sievju</w:t>
      </w:r>
      <w:r>
        <w:t xml:space="preserve"> </w:t>
      </w:r>
      <w:r>
        <w:t xml:space="preserve">og</w:t>
      </w:r>
      <w:r>
        <w:t xml:space="preserve"> </w:t>
      </w:r>
      <w:r>
        <w:rPr>
          <w:b/>
        </w:rPr>
        <w:t xml:space="preserve">25 Stierdná</w:t>
      </w:r>
      <w:r>
        <w:t xml:space="preserve">, herunder støypåvirkning.</w:t>
      </w:r>
    </w:p>
    <w:p>
      <w:pPr>
        <w:numPr>
          <w:ilvl w:val="0"/>
          <w:numId w:val="1010"/>
        </w:numPr>
        <w:pStyle w:val="Compact"/>
      </w:pPr>
      <w:r>
        <w:t xml:space="preserve">At</w:t>
      </w:r>
      <w:r>
        <w:t xml:space="preserve"> </w:t>
      </w:r>
      <w:r>
        <w:rPr>
          <w:b/>
        </w:rPr>
        <w:t xml:space="preserve">konsultasjon etter sameloven § 4-4</w:t>
      </w:r>
      <w:r>
        <w:t xml:space="preserve"> </w:t>
      </w:r>
      <w:r>
        <w:t xml:space="preserve">gjennomføres, og at Sametingets planveileder (ut til 1 nautisk mil) legges til grunn.</w:t>
      </w:r>
    </w:p>
    <w:p>
      <w:pPr>
        <w:pStyle w:val="Heading3"/>
      </w:pPr>
      <w:bookmarkStart w:id="35" w:name="Xa26769e7644e7e125c31b7b3f7df18488f8268a"/>
      <w:r>
        <w:t xml:space="preserve">3.10 Verneområder og landskap</w:t>
      </w:r>
      <w:bookmarkEnd w:id="35"/>
    </w:p>
    <w:p>
      <w:pPr>
        <w:numPr>
          <w:ilvl w:val="0"/>
          <w:numId w:val="1011"/>
        </w:numPr>
        <w:pStyle w:val="Compact"/>
      </w:pPr>
      <w:r>
        <w:t xml:space="preserve">Visuell påvirkning på</w:t>
      </w:r>
      <w:r>
        <w:t xml:space="preserve"> </w:t>
      </w:r>
      <w:r>
        <w:rPr>
          <w:b/>
        </w:rPr>
        <w:t xml:space="preserve">Seiland nasjonalpark</w:t>
      </w:r>
      <w:r>
        <w:t xml:space="preserve"> </w:t>
      </w:r>
      <w:r>
        <w:t xml:space="preserve">(alpint landskap, IUCN II, tilstøtende), dokumentert med</w:t>
      </w:r>
      <w:r>
        <w:t xml:space="preserve"> </w:t>
      </w:r>
      <w:r>
        <w:rPr>
          <w:b/>
        </w:rPr>
        <w:t xml:space="preserve">3D-modell og visualiseringer</w:t>
      </w:r>
      <w:r>
        <w:t xml:space="preserve"> </w:t>
      </w:r>
      <w:r>
        <w:t xml:space="preserve">fra ulike vinkler, slik kommunen har bedt om.</w:t>
      </w:r>
    </w:p>
    <w:p>
      <w:pPr>
        <w:numPr>
          <w:ilvl w:val="0"/>
          <w:numId w:val="1011"/>
        </w:numPr>
        <w:pStyle w:val="Compact"/>
      </w:pPr>
      <w:r>
        <w:t xml:space="preserve">Indirekte virkninger på</w:t>
      </w:r>
      <w:r>
        <w:t xml:space="preserve"> </w:t>
      </w:r>
      <w:r>
        <w:rPr>
          <w:b/>
        </w:rPr>
        <w:t xml:space="preserve">Lopphavet marine verneområde</w:t>
      </w:r>
      <w:r>
        <w:t xml:space="preserve">.</w:t>
      </w:r>
    </w:p>
    <w:p>
      <w:pPr>
        <w:numPr>
          <w:ilvl w:val="0"/>
          <w:numId w:val="1011"/>
        </w:numPr>
        <w:pStyle w:val="Compact"/>
      </w:pPr>
      <w:r>
        <w:t xml:space="preserve">Landskapsvirkning og påvirkning på opplevelseskvaliteter, siktlinjer og kystlandskapet.</w:t>
      </w:r>
    </w:p>
    <w:p>
      <w:pPr>
        <w:pStyle w:val="Heading3"/>
      </w:pPr>
      <w:bookmarkStart w:id="36" w:name="Xaeffac1a75eac4325650d1a1752dbea2acde7a1"/>
      <w:r>
        <w:t xml:space="preserve">3.11 Forholdet til overordnet plan (FFNFA / KPA)</w:t>
      </w:r>
      <w:bookmarkEnd w:id="36"/>
    </w:p>
    <w:p>
      <w:pPr>
        <w:numPr>
          <w:ilvl w:val="0"/>
          <w:numId w:val="1012"/>
        </w:numPr>
        <w:pStyle w:val="Compact"/>
      </w:pPr>
      <w:r>
        <w:t xml:space="preserve">Avklaring av forholdet til</w:t>
      </w:r>
      <w:r>
        <w:t xml:space="preserve"> </w:t>
      </w:r>
      <w:r>
        <w:rPr>
          <w:b/>
        </w:rPr>
        <w:t xml:space="preserve">kommuneplanens arealdel (KPA) § 6.2.2</w:t>
      </w:r>
      <w:r>
        <w:t xml:space="preserve">, som fastslår at oppdrett av anadrome fiskearter ikke er tillatt i FFNFA-områder. Den sørlige lokaliteten ligger i et slikt område, og planinitiativet er merket «</w:t>
      </w:r>
      <w:r>
        <w:rPr>
          <w:b/>
        </w:rPr>
        <w:t xml:space="preserve">strider med overordnet/gjeldende plan</w:t>
      </w:r>
      <w:r>
        <w:t xml:space="preserve">».</w:t>
      </w:r>
    </w:p>
    <w:p>
      <w:pPr>
        <w:numPr>
          <w:ilvl w:val="0"/>
          <w:numId w:val="1012"/>
        </w:numPr>
        <w:pStyle w:val="Compact"/>
      </w:pPr>
      <w:r>
        <w:t xml:space="preserve">At motstriden med overordnet plan utredes og avklares juridisk før planarbeidet føres videre.</w:t>
      </w:r>
    </w:p>
    <w:p>
      <w:pPr>
        <w:pStyle w:val="Heading3"/>
      </w:pPr>
      <w:bookmarkStart w:id="37" w:name="X8191a29560ca43aebab2b14a64082f026488dd7"/>
      <w:r>
        <w:t xml:space="preserve">3.12 Farled, sikkerhet og hvit lyktesektor</w:t>
      </w:r>
      <w:bookmarkEnd w:id="37"/>
    </w:p>
    <w:p>
      <w:pPr>
        <w:numPr>
          <w:ilvl w:val="0"/>
          <w:numId w:val="1013"/>
        </w:numPr>
        <w:pStyle w:val="Compact"/>
      </w:pPr>
      <w:r>
        <w:rPr>
          <w:b/>
        </w:rPr>
        <w:t xml:space="preserve">Hvit lyktesektor</w:t>
      </w:r>
      <w:r>
        <w:t xml:space="preserve"> </w:t>
      </w:r>
      <w:r>
        <w:t xml:space="preserve">fra Mjånes fyr og forholdet til faste installasjoner, med endelig vurdering fra</w:t>
      </w:r>
      <w:r>
        <w:t xml:space="preserve"> </w:t>
      </w:r>
      <w:r>
        <w:rPr>
          <w:b/>
        </w:rPr>
        <w:t xml:space="preserve">Kystverket</w:t>
      </w:r>
      <w:r>
        <w:t xml:space="preserve">.</w:t>
      </w:r>
    </w:p>
    <w:p>
      <w:pPr>
        <w:numPr>
          <w:ilvl w:val="0"/>
          <w:numId w:val="1013"/>
        </w:numPr>
        <w:pStyle w:val="Compact"/>
      </w:pPr>
      <w:r>
        <w:t xml:space="preserve">Sikkerhet for</w:t>
      </w:r>
      <w:r>
        <w:t xml:space="preserve"> </w:t>
      </w:r>
      <w:r>
        <w:rPr>
          <w:b/>
        </w:rPr>
        <w:t xml:space="preserve">farled og ferdsel</w:t>
      </w:r>
      <w:r>
        <w:t xml:space="preserve"> </w:t>
      </w:r>
      <w:r>
        <w:t xml:space="preserve">(rutegående trafikk, yrkes- og fritidsbåter, kajakk).</w:t>
      </w:r>
    </w:p>
    <w:p>
      <w:pPr>
        <w:pStyle w:val="Heading3"/>
      </w:pPr>
      <w:bookmarkStart w:id="38" w:name="Xb45c3f33f26a221e513702c3b0262eeae90c179"/>
      <w:r>
        <w:t xml:space="preserve">3.13 Skred, flodbølge og samfunnssikkerhet</w:t>
      </w:r>
      <w:bookmarkEnd w:id="38"/>
    </w:p>
    <w:p>
      <w:pPr>
        <w:numPr>
          <w:ilvl w:val="0"/>
          <w:numId w:val="1014"/>
        </w:numPr>
        <w:pStyle w:val="Compact"/>
      </w:pPr>
      <w:r>
        <w:rPr>
          <w:b/>
        </w:rPr>
        <w:t xml:space="preserve">Skredfare</w:t>
      </w:r>
      <w:r>
        <w:t xml:space="preserve"> </w:t>
      </w:r>
      <w:r>
        <w:t xml:space="preserve">(snøskred, steinsprang) og risiko for</w:t>
      </w:r>
      <w:r>
        <w:t xml:space="preserve"> </w:t>
      </w:r>
      <w:r>
        <w:rPr>
          <w:b/>
        </w:rPr>
        <w:t xml:space="preserve">flodbølge</w:t>
      </w:r>
      <w:r>
        <w:t xml:space="preserve"> </w:t>
      </w:r>
      <w:r>
        <w:t xml:space="preserve">som kan ramme både anlegg og</w:t>
      </w:r>
      <w:r>
        <w:t xml:space="preserve"> </w:t>
      </w:r>
      <w:r>
        <w:rPr>
          <w:b/>
        </w:rPr>
        <w:t xml:space="preserve">bebyggelse/infrastruktur på land</w:t>
      </w:r>
      <w:r>
        <w:t xml:space="preserve"> </w:t>
      </w:r>
      <w:r>
        <w:t xml:space="preserve">– registrert skred ved Hestneset/Hestneselva (2010).</w:t>
      </w:r>
    </w:p>
    <w:p>
      <w:pPr>
        <w:numPr>
          <w:ilvl w:val="0"/>
          <w:numId w:val="1014"/>
        </w:numPr>
        <w:pStyle w:val="Compact"/>
      </w:pPr>
      <w:r>
        <w:t xml:space="preserve">At</w:t>
      </w:r>
      <w:r>
        <w:t xml:space="preserve"> </w:t>
      </w:r>
      <w:r>
        <w:rPr>
          <w:b/>
        </w:rPr>
        <w:t xml:space="preserve">ROS-analysen</w:t>
      </w:r>
      <w:r>
        <w:t xml:space="preserve"> </w:t>
      </w:r>
      <w:r>
        <w:t xml:space="preserve">utvides til å omfatte konsekvenser for lokalsamfunn ved flodbølge, og at den følger DSBs veileder.</w:t>
      </w:r>
    </w:p>
    <w:p>
      <w:pPr>
        <w:pStyle w:val="Heading3"/>
      </w:pPr>
      <w:bookmarkStart w:id="39" w:name="X318678004e046bfd755a60a3173b104eb3c1538"/>
      <w:r>
        <w:t xml:space="preserve">3.14 Kumulative effekter og biomasse</w:t>
      </w:r>
      <w:bookmarkEnd w:id="39"/>
    </w:p>
    <w:p>
      <w:pPr>
        <w:numPr>
          <w:ilvl w:val="0"/>
          <w:numId w:val="1015"/>
        </w:numPr>
        <w:pStyle w:val="Compact"/>
      </w:pPr>
      <w:r>
        <w:rPr>
          <w:b/>
        </w:rPr>
        <w:t xml:space="preserve">Samlet belastning</w:t>
      </w:r>
      <w:r>
        <w:t xml:space="preserve"> </w:t>
      </w:r>
      <w:r>
        <w:t xml:space="preserve">fra alle anlegg i Rognsund – fem eksisterende SalMar-lokaliteter + to nye +</w:t>
      </w:r>
      <w:r>
        <w:t xml:space="preserve"> </w:t>
      </w:r>
      <w:r>
        <w:rPr>
          <w:b/>
        </w:rPr>
        <w:t xml:space="preserve">Kime Akvas torskeoppdrett</w:t>
      </w:r>
      <w:r>
        <w:t xml:space="preserve"> </w:t>
      </w:r>
      <w:r>
        <w:t xml:space="preserve">– utredet samlet, jf. naturmangfoldloven § 10.</w:t>
      </w:r>
    </w:p>
    <w:p>
      <w:pPr>
        <w:numPr>
          <w:ilvl w:val="0"/>
          <w:numId w:val="1015"/>
        </w:numPr>
        <w:pStyle w:val="Compact"/>
      </w:pPr>
      <w:r>
        <w:t xml:space="preserve">Dokumentasjon av hva «</w:t>
      </w:r>
      <w:r>
        <w:rPr>
          <w:b/>
        </w:rPr>
        <w:t xml:space="preserve">samme biomasse</w:t>
      </w:r>
      <w:r>
        <w:t xml:space="preserve">» reelt innebærer, og hvordan total belastning sikres mot å øke over tid (forholdet mellom intensjon og juridisk binding).</w:t>
      </w:r>
    </w:p>
    <w:p>
      <w:pPr>
        <w:pStyle w:val="Heading3"/>
      </w:pPr>
      <w:bookmarkStart w:id="40" w:name="Xcff57753e21746c8167336d1f0a6b17e2121871"/>
      <w:r>
        <w:t xml:space="preserve">3.15 Friluftsliv, reiseliv, folkehelse og lysforurensning</w:t>
      </w:r>
      <w:bookmarkEnd w:id="40"/>
    </w:p>
    <w:p>
      <w:pPr>
        <w:numPr>
          <w:ilvl w:val="0"/>
          <w:numId w:val="1016"/>
        </w:numPr>
        <w:pStyle w:val="Compact"/>
      </w:pPr>
      <w:r>
        <w:t xml:space="preserve">Konsekvenser for</w:t>
      </w:r>
      <w:r>
        <w:t xml:space="preserve"> </w:t>
      </w:r>
      <w:r>
        <w:rPr>
          <w:b/>
        </w:rPr>
        <w:t xml:space="preserve">friluftsliv og reiseliv</w:t>
      </w:r>
      <w:r>
        <w:t xml:space="preserve"> </w:t>
      </w:r>
      <w:r>
        <w:t xml:space="preserve">(guidede turer, hvalsafari, mørkehimmel-/nordlysturisme), tilgang til sjøområdet og opplevelsesverdi.</w:t>
      </w:r>
    </w:p>
    <w:p>
      <w:pPr>
        <w:numPr>
          <w:ilvl w:val="0"/>
          <w:numId w:val="1016"/>
        </w:numPr>
        <w:pStyle w:val="Compact"/>
      </w:pPr>
      <w:r>
        <w:rPr>
          <w:b/>
        </w:rPr>
        <w:t xml:space="preserve">Lys- og lydforurensning</w:t>
      </w:r>
      <w:r>
        <w:t xml:space="preserve"> </w:t>
      </w:r>
      <w:r>
        <w:t xml:space="preserve">fra anlegg og hensynssoner for dette, herunder virkning på nattehimmel og naturopplevelse.</w:t>
      </w:r>
    </w:p>
    <w:p>
      <w:pPr>
        <w:numPr>
          <w:ilvl w:val="0"/>
          <w:numId w:val="1016"/>
        </w:numPr>
        <w:pStyle w:val="Compact"/>
      </w:pPr>
      <w:r>
        <w:rPr>
          <w:b/>
        </w:rPr>
        <w:t xml:space="preserve">Folkehelse</w:t>
      </w:r>
      <w:r>
        <w:t xml:space="preserve"> </w:t>
      </w:r>
      <w:r>
        <w:t xml:space="preserve">og bomiljø, herunder trygghet og trivsel.</w:t>
      </w:r>
    </w:p>
    <w:p>
      <w:pPr>
        <w:pStyle w:val="Heading3"/>
      </w:pPr>
      <w:bookmarkStart w:id="41" w:name="X31d64ced74bd965e1b61e098187367f7635daef"/>
      <w:r>
        <w:t xml:space="preserve">3.16 Klima, ekstremvær og beredskap</w:t>
      </w:r>
      <w:bookmarkEnd w:id="41"/>
    </w:p>
    <w:p>
      <w:pPr>
        <w:numPr>
          <w:ilvl w:val="0"/>
          <w:numId w:val="1017"/>
        </w:numPr>
        <w:pStyle w:val="Compact"/>
      </w:pPr>
      <w:r>
        <w:rPr>
          <w:b/>
        </w:rPr>
        <w:t xml:space="preserve">Rømningsrisiko</w:t>
      </w:r>
      <w:r>
        <w:t xml:space="preserve"> </w:t>
      </w:r>
      <w:r>
        <w:t xml:space="preserve">og driftssikkerhet vurdert opp mot</w:t>
      </w:r>
      <w:r>
        <w:t xml:space="preserve"> </w:t>
      </w:r>
      <w:r>
        <w:rPr>
          <w:b/>
        </w:rPr>
        <w:t xml:space="preserve">klimaframskrivninger</w:t>
      </w:r>
      <w:r>
        <w:t xml:space="preserve"> </w:t>
      </w:r>
      <w:r>
        <w:t xml:space="preserve">(økt frekvens av ekstremvær, marine hetebølger).</w:t>
      </w:r>
    </w:p>
    <w:p>
      <w:pPr>
        <w:numPr>
          <w:ilvl w:val="0"/>
          <w:numId w:val="1017"/>
        </w:numPr>
        <w:pStyle w:val="Compact"/>
      </w:pPr>
      <w:r>
        <w:rPr>
          <w:b/>
        </w:rPr>
        <w:t xml:space="preserve">Beredskap</w:t>
      </w:r>
      <w:r>
        <w:t xml:space="preserve"> </w:t>
      </w:r>
      <w:r>
        <w:t xml:space="preserve">ved akutt forurensning, rømming og masseutslipp, og håndtering av dødfisk/ensilasje.</w:t>
      </w:r>
    </w:p>
    <w:p>
      <w:pPr>
        <w:pStyle w:val="Heading3"/>
      </w:pPr>
      <w:bookmarkStart w:id="42" w:name="X527cdf0b1192aa36cd9e5f211c9bbe238295b8b"/>
      <w:r>
        <w:t xml:space="preserve">3.17 Kulturminner i sjø og marinarkeologi</w:t>
      </w:r>
      <w:bookmarkEnd w:id="42"/>
    </w:p>
    <w:p>
      <w:pPr>
        <w:numPr>
          <w:ilvl w:val="0"/>
          <w:numId w:val="1018"/>
        </w:numPr>
        <w:pStyle w:val="Compact"/>
      </w:pPr>
      <w:r>
        <w:rPr>
          <w:b/>
        </w:rPr>
        <w:t xml:space="preserve">Marinarkeologisk</w:t>
      </w:r>
      <w:r>
        <w:t xml:space="preserve"> </w:t>
      </w:r>
      <w:r>
        <w:t xml:space="preserve">kartlegging av kulturminner i sjø (i dag ukjent/lavt kunnskapsnivå), i samråd med de tre involverte myndighetene (Finnmark fylkeskommune, Sametinget, UiT Norges arktiske universitetsmuseum).</w:t>
      </w:r>
    </w:p>
    <w:p>
      <w:pPr>
        <w:pStyle w:val="Heading3"/>
      </w:pPr>
      <w:bookmarkStart w:id="43" w:name="Xce32b5b51618bce182a4347f4998fc2af9ce43b"/>
      <w:r>
        <w:t xml:space="preserve">3.18 Fiskehelse, sykdom, legemidler og dyrevelferd</w:t>
      </w:r>
      <w:bookmarkEnd w:id="43"/>
    </w:p>
    <w:p>
      <w:pPr>
        <w:numPr>
          <w:ilvl w:val="0"/>
          <w:numId w:val="1019"/>
        </w:numPr>
        <w:pStyle w:val="Compact"/>
      </w:pPr>
      <w:r>
        <w:rPr>
          <w:b/>
        </w:rPr>
        <w:t xml:space="preserve">Smitte- og sykdomsrisiko</w:t>
      </w:r>
      <w:r>
        <w:t xml:space="preserve"> </w:t>
      </w:r>
      <w:r>
        <w:t xml:space="preserve">(bl.a. PD, ILA) og spredning til vill fisk og mellom anlegg.</w:t>
      </w:r>
    </w:p>
    <w:p>
      <w:pPr>
        <w:numPr>
          <w:ilvl w:val="0"/>
          <w:numId w:val="1019"/>
        </w:numPr>
        <w:pStyle w:val="Compact"/>
      </w:pPr>
      <w:r>
        <w:t xml:space="preserve">Bruk og spredning av</w:t>
      </w:r>
      <w:r>
        <w:t xml:space="preserve"> </w:t>
      </w:r>
      <w:r>
        <w:rPr>
          <w:b/>
        </w:rPr>
        <w:t xml:space="preserve">legemidler og avlusningsmidler</w:t>
      </w:r>
      <w:r>
        <w:t xml:space="preserve">, og virkning på ikke-målarter (reker, skjell, andre krepsdyr).</w:t>
      </w:r>
    </w:p>
    <w:p>
      <w:pPr>
        <w:numPr>
          <w:ilvl w:val="0"/>
          <w:numId w:val="1019"/>
        </w:numPr>
        <w:pStyle w:val="Compact"/>
      </w:pPr>
      <w:r>
        <w:rPr>
          <w:b/>
        </w:rPr>
        <w:t xml:space="preserve">Fiskevelferd</w:t>
      </w:r>
      <w:r>
        <w:t xml:space="preserve"> </w:t>
      </w:r>
      <w:r>
        <w:t xml:space="preserve">og dødelighet, jf. dyrevelferdsloven.</w:t>
      </w:r>
    </w:p>
    <w:p>
      <w:pPr>
        <w:pStyle w:val="Heading3"/>
      </w:pPr>
      <w:bookmarkStart w:id="44" w:name="X7d6f348f820618bf45f7aafe0c7a211a5314e6f"/>
      <w:r>
        <w:t xml:space="preserve">3.19 Forholdet til nasjonalt regelverk i endring</w:t>
      </w:r>
      <w:bookmarkEnd w:id="44"/>
    </w:p>
    <w:p>
      <w:pPr>
        <w:numPr>
          <w:ilvl w:val="0"/>
          <w:numId w:val="1020"/>
        </w:numPr>
        <w:pStyle w:val="Compact"/>
      </w:pPr>
      <w:r>
        <w:t xml:space="preserve">At plan og konsekvensutredning</w:t>
      </w:r>
      <w:r>
        <w:t xml:space="preserve"> </w:t>
      </w:r>
      <w:r>
        <w:rPr>
          <w:b/>
        </w:rPr>
        <w:t xml:space="preserve">tar høyde for retningen i nasjonal havbrukspolitikk</w:t>
      </w:r>
      <w:r>
        <w:t xml:space="preserve"> </w:t>
      </w:r>
      <w:r>
        <w:t xml:space="preserve">(Meld. St. 24 (2024–2025) «Fremtidens havbruk» med Stortingets behandling), herunder miljøbetingelser, lusekvoter, tapsavgift og miljøteknologiordninger – slik at planen ikke baseres på utdaterte forutsetninger.</w:t>
      </w:r>
    </w:p>
    <w:p>
      <w:pPr>
        <w:pStyle w:val="Heading3"/>
      </w:pPr>
      <w:bookmarkStart w:id="45" w:name="Xc7bdcce6c46fbba421d413a026a1e3f89fede14"/>
      <w:r>
        <w:t xml:space="preserve">3.20 Svakheter i planinitiativets § 10-vurdering</w:t>
      </w:r>
      <w:bookmarkEnd w:id="45"/>
    </w:p>
    <w:p>
      <w:pPr>
        <w:numPr>
          <w:ilvl w:val="0"/>
          <w:numId w:val="1021"/>
        </w:numPr>
        <w:pStyle w:val="Compact"/>
      </w:pPr>
      <w:r>
        <w:t xml:space="preserve">At forhåndskonklusjoner (f.eks. om at nasjonalparken «ikke påvirkes negativt») og selvmotsigelser (f.eks. at vannkvalitetsmål «ikke er overskredet» samtidig som kjemisk tilstand er ukjent)</w:t>
      </w:r>
      <w:r>
        <w:t xml:space="preserve"> </w:t>
      </w:r>
      <w:r>
        <w:rPr>
          <w:b/>
        </w:rPr>
        <w:t xml:space="preserve">rettes opp</w:t>
      </w:r>
      <w:r>
        <w:t xml:space="preserve"> </w:t>
      </w:r>
      <w:r>
        <w:t xml:space="preserve">og at § 10-vurderingen oppdateres før planprogrammet fastsettes.</w:t>
      </w:r>
    </w:p>
    <w:p>
      <w:r>
        <w:pict>
          <v:rect style="width:0;height:1.5pt" o:hralign="center" o:hrstd="t" o:hr="t"/>
        </w:pict>
      </w:r>
    </w:p>
    <w:p>
      <w:pPr>
        <w:pStyle w:val="Heading2"/>
      </w:pPr>
      <w:bookmarkStart w:id="46" w:name="Xf0c3ca32b3a1e30005528361461e72a61e170fa"/>
      <w:r>
        <w:t xml:space="preserve">4. Krav om metode og kvalitetssikring</w:t>
      </w:r>
      <w:bookmarkEnd w:id="46"/>
    </w:p>
    <w:p>
      <w:pPr>
        <w:numPr>
          <w:ilvl w:val="0"/>
          <w:numId w:val="1022"/>
        </w:numPr>
        <w:pStyle w:val="Compact"/>
      </w:pPr>
      <w:r>
        <w:t xml:space="preserve">Vi krever at</w:t>
      </w:r>
      <w:r>
        <w:t xml:space="preserve"> </w:t>
      </w:r>
      <w:r>
        <w:rPr>
          <w:b/>
        </w:rPr>
        <w:t xml:space="preserve">M-1941</w:t>
      </w:r>
      <w:r>
        <w:t xml:space="preserve"> </w:t>
      </w:r>
      <w:r>
        <w:t xml:space="preserve">benyttes for alle relevante KU-temaer (naturmangfold, landskap, kulturmiljø, friluftsliv, tradisjonelt fiske, befolkning/samfunn), og at eventuell bruk av forenklet metode (f.eks. V712 eller temanotat) begrunnes særskilt og synliggjøres.</w:t>
      </w:r>
    </w:p>
    <w:p>
      <w:pPr>
        <w:numPr>
          <w:ilvl w:val="0"/>
          <w:numId w:val="1022"/>
        </w:numPr>
        <w:pStyle w:val="Compact"/>
      </w:pPr>
      <w:r>
        <w:t xml:space="preserve">Vi krever at</w:t>
      </w:r>
      <w:r>
        <w:t xml:space="preserve"> </w:t>
      </w:r>
      <w:r>
        <w:rPr>
          <w:b/>
        </w:rPr>
        <w:t xml:space="preserve">feltarbeid</w:t>
      </w:r>
      <w:r>
        <w:t xml:space="preserve"> </w:t>
      </w:r>
      <w:r>
        <w:t xml:space="preserve">gjennomføres der metoden forutsetter det (bl.a. fuglekartlegging i hekketid og ROV-kartlegging av havbunn).</w:t>
      </w:r>
    </w:p>
    <w:p>
      <w:pPr>
        <w:numPr>
          <w:ilvl w:val="0"/>
          <w:numId w:val="1022"/>
        </w:numPr>
        <w:pStyle w:val="Compact"/>
      </w:pPr>
      <w:r>
        <w:t xml:space="preserve">Vi ber om at det vurderes</w:t>
      </w:r>
      <w:r>
        <w:t xml:space="preserve"> </w:t>
      </w:r>
      <w:r>
        <w:rPr>
          <w:b/>
        </w:rPr>
        <w:t xml:space="preserve">uavhengig fagkvalitetssikring</w:t>
      </w:r>
      <w:r>
        <w:t xml:space="preserve"> </w:t>
      </w:r>
      <w:r>
        <w:t xml:space="preserve">av de mest sentrale utredningene (villaks/lakselus, vannmiljø, marint naturmangfold, undervannsstøy).</w:t>
      </w:r>
    </w:p>
    <w:p>
      <w:r>
        <w:pict>
          <v:rect style="width:0;height:1.5pt" o:hralign="center" o:hrstd="t" o:hr="t"/>
        </w:pict>
      </w:r>
    </w:p>
    <w:p>
      <w:pPr>
        <w:pStyle w:val="Heading2"/>
      </w:pPr>
      <w:bookmarkStart w:id="47" w:name="Xf9abf540b7154572ce2ec41d61d7e44721586d9"/>
      <w:r>
        <w:t xml:space="preserve">5. Krav om prosess, medvirkning og innsyn</w:t>
      </w:r>
      <w:bookmarkEnd w:id="47"/>
    </w:p>
    <w:p>
      <w:pPr>
        <w:numPr>
          <w:ilvl w:val="0"/>
          <w:numId w:val="1023"/>
        </w:numPr>
        <w:pStyle w:val="Compact"/>
      </w:pPr>
      <w:r>
        <w:t xml:space="preserve">At</w:t>
      </w:r>
      <w:r>
        <w:t xml:space="preserve"> </w:t>
      </w:r>
      <w:r>
        <w:rPr>
          <w:b/>
        </w:rPr>
        <w:t xml:space="preserve">folkemøter</w:t>
      </w:r>
      <w:r>
        <w:t xml:space="preserve"> </w:t>
      </w:r>
      <w:r>
        <w:t xml:space="preserve">i bygdene avholdes på en måte som gir reell medvirkning, og at berørte parter og lag/foreninger inviteres.</w:t>
      </w:r>
    </w:p>
    <w:p>
      <w:pPr>
        <w:numPr>
          <w:ilvl w:val="0"/>
          <w:numId w:val="1023"/>
        </w:numPr>
        <w:pStyle w:val="Compact"/>
      </w:pPr>
      <w:r>
        <w:t xml:space="preserve">At</w:t>
      </w:r>
      <w:r>
        <w:t xml:space="preserve"> </w:t>
      </w:r>
      <w:r>
        <w:rPr>
          <w:b/>
        </w:rPr>
        <w:t xml:space="preserve">konsultasjon etter sameloven kap. 4</w:t>
      </w:r>
      <w:r>
        <w:t xml:space="preserve"> </w:t>
      </w:r>
      <w:r>
        <w:t xml:space="preserve">gjennomføres for samiske og sjøsamiske interesser.</w:t>
      </w:r>
    </w:p>
    <w:p>
      <w:pPr>
        <w:numPr>
          <w:ilvl w:val="0"/>
          <w:numId w:val="1023"/>
        </w:numPr>
        <w:pStyle w:val="Compact"/>
      </w:pPr>
      <w:r>
        <w:t xml:space="preserve">At det gis</w:t>
      </w:r>
      <w:r>
        <w:t xml:space="preserve"> </w:t>
      </w:r>
      <w:r>
        <w:rPr>
          <w:b/>
        </w:rPr>
        <w:t xml:space="preserve">innsyn etter offentleglova § 25</w:t>
      </w:r>
      <w:r>
        <w:t xml:space="preserve"> </w:t>
      </w:r>
      <w:r>
        <w:t xml:space="preserve">i alle relevante saksdokumenter, herunder korrespondanse og innrapporterte miljøundersøkelser, slik at allmennheten kan følge prosessen.</w:t>
      </w:r>
    </w:p>
    <w:p>
      <w:pPr>
        <w:numPr>
          <w:ilvl w:val="0"/>
          <w:numId w:val="1023"/>
        </w:numPr>
        <w:pStyle w:val="Compact"/>
      </w:pPr>
      <w:r>
        <w:t xml:space="preserve">At berørte</w:t>
      </w:r>
      <w:r>
        <w:t xml:space="preserve"> </w:t>
      </w:r>
      <w:r>
        <w:rPr>
          <w:b/>
        </w:rPr>
        <w:t xml:space="preserve">sektormyndigheter</w:t>
      </w:r>
      <w:r>
        <w:t xml:space="preserve"> </w:t>
      </w:r>
      <w:r>
        <w:t xml:space="preserve">(Statsforvalteren, Sametinget, Kystverket, Fiskeridirektoratet, NVE, Mattilsynet, Finnmark fylkeskommune) gis reell anledning til å vurdere saken, herunder eventuell innsigelse.</w:t>
      </w:r>
    </w:p>
    <w:p>
      <w:r>
        <w:pict>
          <v:rect style="width:0;height:1.5pt" o:hralign="center" o:hrstd="t" o:hr="t"/>
        </w:pict>
      </w:r>
    </w:p>
    <w:p>
      <w:pPr>
        <w:pStyle w:val="Heading2"/>
      </w:pPr>
      <w:bookmarkStart w:id="48" w:name="X08b60b4d90f51cf0878b851d3de0e92f28272cf"/>
      <w:r>
        <w:t xml:space="preserve">6. Krav om oppfølging og vektlegging</w:t>
      </w:r>
      <w:bookmarkEnd w:id="48"/>
    </w:p>
    <w:p>
      <w:pPr>
        <w:pStyle w:val="FirstParagraph"/>
      </w:pPr>
      <w:r>
        <w:t xml:space="preserve">Vi krever at:</w:t>
      </w:r>
    </w:p>
    <w:p>
      <w:pPr>
        <w:numPr>
          <w:ilvl w:val="0"/>
          <w:numId w:val="1024"/>
        </w:numPr>
        <w:pStyle w:val="Compact"/>
      </w:pPr>
      <w:r>
        <w:rPr>
          <w:b/>
        </w:rPr>
        <w:t xml:space="preserve">Alle momenter i dette innspillet vurderes og besvares</w:t>
      </w:r>
      <w:r>
        <w:t xml:space="preserve">, og at det fremgår av planmaterialet hvordan hvert tema er fulgt opp.</w:t>
      </w:r>
    </w:p>
    <w:p>
      <w:pPr>
        <w:numPr>
          <w:ilvl w:val="0"/>
          <w:numId w:val="1024"/>
        </w:numPr>
        <w:pStyle w:val="Compact"/>
      </w:pPr>
      <w:r>
        <w:rPr>
          <w:b/>
        </w:rPr>
        <w:t xml:space="preserve">Eventuelle negative konsekvenser som avdekkes, tillegges vekt</w:t>
      </w:r>
      <w:r>
        <w:t xml:space="preserve"> </w:t>
      </w:r>
      <w:r>
        <w:t xml:space="preserve">i den videre saksgangen og i den endelige avveiningen – ikke bare registreres.</w:t>
      </w:r>
    </w:p>
    <w:p>
      <w:pPr>
        <w:numPr>
          <w:ilvl w:val="0"/>
          <w:numId w:val="1024"/>
        </w:numPr>
        <w:pStyle w:val="Compact"/>
      </w:pPr>
      <w:r>
        <w:t xml:space="preserve">Der utredninger viser at et forhold ikke er tilstrekkelig kjent, skal</w:t>
      </w:r>
      <w:r>
        <w:t xml:space="preserve"> </w:t>
      </w:r>
      <w:r>
        <w:rPr>
          <w:b/>
        </w:rPr>
        <w:t xml:space="preserve">føre-var-prinsippet</w:t>
      </w:r>
      <w:r>
        <w:t xml:space="preserve"> </w:t>
      </w:r>
      <w:r>
        <w:t xml:space="preserve">anvendes.</w:t>
      </w:r>
    </w:p>
    <w:p>
      <w:pPr>
        <w:numPr>
          <w:ilvl w:val="0"/>
          <w:numId w:val="1024"/>
        </w:numPr>
        <w:pStyle w:val="Compact"/>
      </w:pPr>
      <w:r>
        <w:t xml:space="preserve">Vi mottar</w:t>
      </w:r>
      <w:r>
        <w:t xml:space="preserve"> </w:t>
      </w:r>
      <w:r>
        <w:rPr>
          <w:b/>
        </w:rPr>
        <w:t xml:space="preserve">bekreftelse på at innspillet er mottatt</w:t>
      </w:r>
      <w:r>
        <w:t xml:space="preserve"> </w:t>
      </w:r>
      <w:r>
        <w:t xml:space="preserve">og inngår i det offentlige planmaterialet.</w:t>
      </w:r>
    </w:p>
    <w:p>
      <w:r>
        <w:pict>
          <v:rect style="width:0;height:1.5pt" o:hralign="center" o:hrstd="t" o:hr="t"/>
        </w:pict>
      </w:r>
    </w:p>
    <w:p>
      <w:pPr>
        <w:pStyle w:val="Heading2"/>
      </w:pPr>
      <w:bookmarkStart w:id="49" w:name="Xf2c0b5fabdd4939808589728b56b054daf729ec"/>
      <w:r>
        <w:t xml:space="preserve">7. Avslutning</w:t>
      </w:r>
      <w:bookmarkEnd w:id="49"/>
    </w:p>
    <w:p>
      <w:pPr>
        <w:pStyle w:val="FirstParagraph"/>
      </w:pPr>
      <w:r>
        <w:t xml:space="preserve">Rognsund er et fjordsystem med store og til dels sårbare naturverdier, levende sjøsamisk kultur, aktivt fiske og et reiseliv som er avhengig av en ren og uberørt natur. Beslutninger som påvirker fjorden for generasjoner framover, må bygge på et fullstendig og etterprøvbart kunnskapsgrunnlag.</w:t>
      </w:r>
    </w:p>
    <w:p>
      <w:pPr>
        <w:pStyle w:val="BodyText"/>
      </w:pPr>
      <w:r>
        <w:t xml:space="preserve">Vi ber om at planprogrammet utvides og presiseres i tråd med kravene over, slik at konsekvensutredningen belyser</w:t>
      </w:r>
      <w:r>
        <w:t xml:space="preserve"> </w:t>
      </w:r>
      <w:r>
        <w:rPr>
          <w:b/>
        </w:rPr>
        <w:t xml:space="preserve">alle</w:t>
      </w:r>
      <w:r>
        <w:t xml:space="preserve"> </w:t>
      </w:r>
      <w:r>
        <w:t xml:space="preserve">relevante problemstillinger forbundet med oppdrett i Rognsund – og at det som avdekkes, faktisk tillegges vekt. På den måten kan vi</w:t>
      </w:r>
      <w:r>
        <w:t xml:space="preserve"> </w:t>
      </w:r>
      <w:r>
        <w:rPr>
          <w:b/>
        </w:rPr>
        <w:t xml:space="preserve">ta vare på Rognsund for fremtiden</w:t>
      </w:r>
      <w:r>
        <w:t xml:space="preserve">.</w:t>
      </w:r>
    </w:p>
    <w:p>
      <w:pPr>
        <w:pStyle w:val="BodyText"/>
      </w:pPr>
      <w:r>
        <w:t xml:space="preserve">Med vennlig hilsen</w:t>
      </w:r>
    </w:p>
    <w:p>
      <w:pPr>
        <w:pStyle w:val="BodyText"/>
      </w:pPr>
      <w:r>
        <w:rPr>
          <w:i/>
        </w:rPr>
        <w:t xml:space="preserve">[Avsender / organisasjon]</w:t>
      </w:r>
    </w:p>
    <w:p>
      <w:r>
        <w:pict>
          <v:rect style="width:0;height:1.5pt" o:hralign="center" o:hrstd="t" o:hr="t"/>
        </w:pict>
      </w:r>
    </w:p>
    <w:p>
      <w:pPr>
        <w:pStyle w:val="Heading2"/>
      </w:pPr>
      <w:bookmarkStart w:id="50" w:name="vedlegg-og-kunnskapsgrunnlag"/>
      <w:r>
        <w:t xml:space="preserve">Vedlegg og kunnskapsgrunnlag</w:t>
      </w:r>
      <w:bookmarkEnd w:id="50"/>
    </w:p>
    <w:p>
      <w:pPr>
        <w:pStyle w:val="FirstParagraph"/>
      </w:pPr>
      <w:r>
        <w:t xml:space="preserve">Dette innspillet bygger på offentlig tilgjengelig planmateriale og åpne fagkilder, blant annet:</w:t>
      </w:r>
    </w:p>
    <w:p>
      <w:pPr>
        <w:numPr>
          <w:ilvl w:val="0"/>
          <w:numId w:val="1025"/>
        </w:numPr>
        <w:pStyle w:val="Compact"/>
      </w:pPr>
      <w:r>
        <w:t xml:space="preserve">Planinitiativ, oppstartsmøtereferat og planprogram (Rambøll/SalMar, 2025–2026).</w:t>
      </w:r>
    </w:p>
    <w:p>
      <w:pPr>
        <w:numPr>
          <w:ilvl w:val="0"/>
          <w:numId w:val="1025"/>
        </w:numPr>
        <w:pStyle w:val="Compact"/>
      </w:pPr>
      <w:r>
        <w:t xml:space="preserve">Kommuneplanens arealdel for Alta 2021–2040 (§ 6.2.2 m.fl.).</w:t>
      </w:r>
    </w:p>
    <w:p>
      <w:pPr>
        <w:numPr>
          <w:ilvl w:val="0"/>
          <w:numId w:val="1025"/>
        </w:numPr>
        <w:pStyle w:val="Compact"/>
      </w:pPr>
      <w:r>
        <w:t xml:space="preserve">Havforskningsinstituttet: Risikorapport norsk fiskeoppdrett 2025.</w:t>
      </w:r>
    </w:p>
    <w:p>
      <w:pPr>
        <w:numPr>
          <w:ilvl w:val="0"/>
          <w:numId w:val="1025"/>
        </w:numPr>
        <w:pStyle w:val="Compact"/>
      </w:pPr>
      <w:r>
        <w:t xml:space="preserve">Artsdatabanken / Artskart: områdeuttrekk av rødlistede arter for Rognsund (476 funn, 61 taksa; eksport 17.06.2026).</w:t>
      </w:r>
    </w:p>
    <w:p>
      <w:pPr>
        <w:numPr>
          <w:ilvl w:val="0"/>
          <w:numId w:val="1025"/>
        </w:numPr>
        <w:pStyle w:val="Compact"/>
      </w:pPr>
      <w:r>
        <w:t xml:space="preserve">Fiskeridirektoratets kartportal (kystnære fiskeridata, gyteområder, fiskeplasser, akvakulturregister).</w:t>
      </w:r>
    </w:p>
    <w:p>
      <w:pPr>
        <w:numPr>
          <w:ilvl w:val="0"/>
          <w:numId w:val="1025"/>
        </w:numPr>
        <w:pStyle w:val="Compact"/>
      </w:pPr>
      <w:r>
        <w:t xml:space="preserve">Vann-Nett (vannforekomster i Rognsund), naturmangfoldloven, vannforskriften, sameloven, plan- og bygningsloven.</w:t>
      </w:r>
    </w:p>
    <w:p>
      <w:pPr>
        <w:numPr>
          <w:ilvl w:val="0"/>
          <w:numId w:val="1025"/>
        </w:numPr>
        <w:pStyle w:val="Compact"/>
      </w:pPr>
      <w:r>
        <w:t xml:space="preserve">En utvidet faglig sammenstilling med kart og kilder finnes i prosjektets</w:t>
      </w:r>
      <w:r>
        <w:t xml:space="preserve"> </w:t>
      </w:r>
      <w:r>
        <w:rPr>
          <w:rStyle w:val="VerbatimChar"/>
        </w:rPr>
        <w:t xml:space="preserve">PLAN-SAMMENSTILLING.md</w:t>
      </w:r>
      <w:r>
        <w:t xml:space="preserve">.</w:t>
      </w:r>
    </w:p>
    <w:p>
      <w:pPr>
        <w:pStyle w:val="BlockText"/>
      </w:pPr>
      <w:r>
        <w:t xml:space="preserve">Avsender står fritt til å forkorte, utdype eller velge ut de temaene man selv er mest opptatt av. Alle innspill teller med i den samlede vurderingen.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1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mailto:marie.mcdougall@ramboll.no" TargetMode="External" /><Relationship Type="http://schemas.openxmlformats.org/officeDocument/2006/relationships/hyperlink" Id="rId22" Target="mailto:postmottak@alta.kommune.no" TargetMode="External" /></Relationships>
</file>

<file path=word/_rels/footnotes.xml.rels><?xml version="1.0" encoding="UTF-8"?>
<Relationships xmlns="http://schemas.openxmlformats.org/package/2006/relationships"><Relationship Type="http://schemas.openxmlformats.org/officeDocument/2006/relationships/hyperlink" Id="rId21" Target="mailto:marie.mcdougall@ramboll.no" TargetMode="External" /><Relationship Type="http://schemas.openxmlformats.org/officeDocument/2006/relationships/hyperlink" Id="rId22" Target="mailto:postmottak@alta.kommune.n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2026-06-30T14:26:10Z</dcterms:created>
  <dcterms:modified xsi:type="dcterms:W3CDTF">2026-06-30T14:26:10Z</dcterms:modified>
</cp:coreProperties>
</file>

<file path=docProps/custom.xml><?xml version="1.0" encoding="utf-8"?>
<Properties xmlns="http://schemas.openxmlformats.org/officeDocument/2006/custom-properties" xmlns:vt="http://schemas.openxmlformats.org/officeDocument/2006/docPropsVTypes"/>
</file>