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2937"/>
          <w:sz w:val="44"/>
          <w:szCs w:val="44"/>
        </w:rPr>
        <w:t xml:space="preserve">Hawk &amp; Dove</w:t>
      </w:r>
    </w:p>
    <w:p>
      <w:pPr>
        <w:spacing w:after="60"/>
      </w:pPr>
      <w:r>
        <w:rPr>
          <w:color w:val="4B5563"/>
          <w:sz w:val="28"/>
          <w:szCs w:val="28"/>
        </w:rPr>
        <w:t xml:space="preserve">Hoja de ruta del proyecto</w:t>
      </w:r>
    </w:p>
    <w:p>
      <w:pPr>
        <w:pBdr>
          <w:bottom w:val="single" w:color="0F6E56" w:sz="8" w:space="6"/>
        </w:pBdr>
        <w:spacing w:after="220"/>
      </w:pPr>
      <w:r>
        <w:rPr>
          <w:color w:val="6B7280"/>
          <w:sz w:val="18"/>
          <w:szCs w:val="18"/>
        </w:rPr>
        <w:t xml:space="preserve">Taller B5-T4 · Startup FinTech basada en IA multimodal · Entrega: jueves 8 de octubre de 2026, 18:00</w:t>
      </w:r>
    </w:p>
    <w:p>
      <w:pPr>
        <w:pStyle w:val="Heading1"/>
        <w:keepNext/>
      </w:pPr>
      <w:r>
        <w:t xml:space="preserve">1. La idea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Herramienta B2B para mesas de tesorería, renta fija y ALM que analiza las ruedas de prensa del BCE combinando </w:t>
      </w:r>
      <w:r>
        <w:rPr>
          <w:b/>
          <w:bCs/>
          <w:color w:val="262626"/>
          <w:sz w:val="20"/>
          <w:szCs w:val="20"/>
        </w:rPr>
        <w:t xml:space="preserve">qué se dice</w:t>
      </w:r>
      <w:r>
        <w:rPr>
          <w:color w:val="262626"/>
          <w:sz w:val="20"/>
          <w:szCs w:val="20"/>
        </w:rPr>
        <w:t xml:space="preserve"> y </w:t>
      </w:r>
      <w:r>
        <w:rPr>
          <w:b/>
          <w:bCs/>
          <w:color w:val="262626"/>
          <w:sz w:val="20"/>
          <w:szCs w:val="20"/>
        </w:rPr>
        <w:t xml:space="preserve">cómo se dice</w:t>
      </w:r>
      <w:r>
        <w:rPr>
          <w:color w:val="262626"/>
          <w:sz w:val="20"/>
          <w:szCs w:val="20"/>
        </w:rPr>
        <w:t xml:space="preserve">. El mercado no reacciona solo al texto: la evidencia académica muestra que el tono de voz y la expresión facial del banquero central refuerzan o diluyen el mensaje. La mayoría de herramientas solo analiza el texto; nosotros añadimos voz e imagen.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A partir del vídeo de una rueda de prensa, la app transcribe, separa hablantes, clasifica cada frase como hawkish o dovish, mide el tono de voz y la expresión facial, lee los gráficos de proyecciones y genera un informe con citas, una píldora de audio y un chat por texto o voz sobre el histórico.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  <w:tblHeader w:val="false"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Entrada</w:t>
            </w:r>
          </w:p>
        </w:tc>
        <w:tc>
          <w:tcPr>
            <w:tcW w:type="dxa" w:w="8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Vídeo, audio, texto (transcripciones), imagen (gráficos de proyecciones) y voz del usuario.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Salida</w:t>
            </w:r>
          </w:p>
        </w:tc>
        <w:tc>
          <w:tcPr>
            <w:tcW w:type="dxa" w:w="8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Texto (informe y respuestas), audio sintetizado (píldora y respuestas habladas), visualizaciones y vídeo (salto al minuto citado).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Idioma</w:t>
            </w:r>
          </w:p>
        </w:tc>
        <w:tc>
          <w:tcPr>
            <w:tcW w:type="dxa" w:w="8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Salidas en inglés: la fuente está en inglés, los modelos rinden mejor y el usuario profesional trabaja en inglés. El español queda como extensión opcional.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Modelos</w:t>
            </w:r>
          </w:p>
        </w:tc>
        <w:tc>
          <w:tcPr>
            <w:tcW w:type="dxa" w:w="8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Solo preentrenados, preferentemente de Hugging Face: en local si el tamaño lo permite y por API si no.</w:t>
            </w:r>
          </w:p>
        </w:tc>
      </w:tr>
    </w:tbl>
    <w:p>
      <w:pPr>
        <w:pStyle w:val="Heading1"/>
        <w:keepNext/>
      </w:pPr>
      <w:r>
        <w:t xml:space="preserve">2. Qué nos van a valorar y cómo lo cubrimos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Criterio del enunciado</w:t>
            </w:r>
          </w:p>
        </w:tc>
        <w:tc>
          <w:tcPr>
            <w:tcW w:type="dxa" w:w="6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Cómo lo cubrimos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Más modalidades, integradas con sentido</w:t>
            </w:r>
          </w:p>
        </w:tc>
        <w:tc>
          <w:tcPr>
            <w:tcW w:type="dxa" w:w="6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Cinco de entrada y cuatro de salida, todas justificadas por el caso de uso.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Cadena de modelos especializados frente a uno monolítico</w:t>
            </w:r>
          </w:p>
        </w:tc>
        <w:tc>
          <w:tcPr>
            <w:tcW w:type="dxa" w:w="6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Ocho etapas encadenadas (ASR, diarización, voz, cara, gráficos, postura, LLM y TTS), más un RAG para el chat.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Probar varios modelos en cada fase (insistencia del profesor)</w:t>
            </w:r>
          </w:p>
        </w:tc>
        <w:tc>
          <w:tcPr>
            <w:tcW w:type="dxa" w:w="6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Dos o tres candidatos por etapa, comparados con una plantilla común (sección 8).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MVP operativo y usable</w:t>
            </w:r>
          </w:p>
        </w:tc>
        <w:tc>
          <w:tcPr>
            <w:tcW w:type="dxa" w:w="6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App en Streamlit sobre resultados precalculados, robusta en la demo.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Despliegue plug-and-play</w:t>
            </w:r>
          </w:p>
        </w:tc>
        <w:tc>
          <w:tcPr>
            <w:tcW w:type="dxa" w:w="6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requirements.txt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y script de arranque directo.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README, arquitectura y viabilidad</w:t>
            </w:r>
          </w:p>
        </w:tc>
        <w:tc>
          <w:tcPr>
            <w:tcW w:type="dxa" w:w="6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Diagramas, capturas y análisis de costes, latencia, regulación y monetización.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Código modular</w:t>
            </w:r>
          </w:p>
        </w:tc>
        <w:tc>
          <w:tcPr>
            <w:tcW w:type="dxa" w:w="6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Capas separadas: conexión con modelos, lógica de negocio e interfaz.</w:t>
            </w:r>
          </w:p>
        </w:tc>
      </w:tr>
    </w:tbl>
    <w:p>
      <w:pPr>
        <w:pStyle w:val="Heading1"/>
        <w:keepNext/>
        <w:pageBreakBefore/>
      </w:pPr>
      <w:r>
        <w:t xml:space="preserve">3. Cómo se verá la aplicación</w:t>
      </w:r>
    </w:p>
    <w:p>
      <w:pPr>
        <w:keepNext/>
        <w:spacing w:after="0" w:before="60" w:line="240" w:lineRule="auto"/>
        <w:jc w:val="center"/>
      </w:pPr>
      <w:r>
        <w:drawing>
          <wp:inline distT="0" distB="0" distL="0" distR="0">
            <wp:extent cx="4333875" cy="6305550"/>
            <wp:effectExtent t="0" r="0" b="0" l="0"/>
            <wp:docPr id="1" name="img/mockup.png" descr="img/mockup.png" title="img/mo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i/>
          <w:iCs/>
          <w:color w:val="6B7280"/>
          <w:sz w:val="17"/>
          <w:szCs w:val="17"/>
        </w:rPr>
        <w:t xml:space="preserve">Maqueta orientativa; valores y textos ilustrativos.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Cada pieza sale de un bloque. La línea temporal combina postura (B2), tono de voz (B1) y expresión facial (B3) y avanza con el vídeo; al pulsar una frase o una cita, el vídeo salta a ese minuto. La píldora es el audio generado por B1, las proyecciones las extrae B3 y el chat usa tres funciones en vivo (sección 6). Las pestañas Histórico y Benchmarks muestran la evolución entre ruedas de prensa y los resultados de las comparativas de modelos.</w:t>
      </w:r>
    </w:p>
    <w:p>
      <w:pPr>
        <w:pStyle w:val="Heading1"/>
        <w:keepNext/>
        <w:pageBreakBefore/>
      </w:pPr>
      <w:r>
        <w:t xml:space="preserve">4. Con qué datos trabajamos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Rueda de prensa de referencia: </w:t>
      </w:r>
      <w:r>
        <w:rPr>
          <w:b/>
          <w:bCs/>
          <w:color w:val="262626"/>
          <w:sz w:val="20"/>
          <w:szCs w:val="20"/>
        </w:rPr>
        <w:t xml:space="preserve">10 de septiembre de 2026</w:t>
      </w:r>
      <w:r>
        <w:rPr>
          <w:color w:val="262626"/>
          <w:sz w:val="20"/>
          <w:szCs w:val="20"/>
        </w:rPr>
        <w:t xml:space="preserve">, la más reciente. Incluye proyecciones del staff, así que cubre también la modalidad de imagen. No hace falta pasar todas las ruedas por todos los modelos: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38"/>
        <w:gridCol w:w="3300"/>
      </w:tblGrid>
      <w:tr>
        <w:trPr>
          <w:cantSplit/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Uso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Qué se procesa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Desarrollo y benchmarks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Solo la rueda de referencia, más los datos de referencia de cada etapa (p. ej., frases etiquetadas del dataset WCB).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Todos construyen y comparan sobre el mismo evento.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Demo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Pipeline completo sobre 6-10 ruedas recientes, una sola vez y con los modelos ganadores.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Comparaciones como «tono de voz vs. su media» necesitan varias ruedas.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Histórico (chat y evolución)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Solo texto: transcripciones oficiales de las ~55 ruedas de la era Lagarde.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Indexar y clasificar texto es barato y no requiere procesar vídeo.</w:t>
            </w:r>
          </w:p>
        </w:tc>
      </w:tr>
    </w:tbl>
    <w:p>
      <w:pPr>
        <w:pStyle w:val="Heading1"/>
        <w:keepNext/>
      </w:pPr>
      <w:r>
        <w:t xml:space="preserve">5. Los tres bloques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Cada bloque decide con libertad qué modelos prueba, cómo los compara y qué extras añade. Solo se acuerda lo que entra y sale de cada uno (sección 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900"/>
        <w:gridCol w:w="2938"/>
        <w:gridCol w:w="2150"/>
      </w:tblGrid>
      <w:tr>
        <w:trPr>
          <w:tblHeader/>
        </w:trPr>
        <w:tc>
          <w:tcPr>
            <w:tcW w:type="dxa" w:w="1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Bloque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Qué hace</w:t>
            </w:r>
          </w:p>
        </w:tc>
        <w:tc>
          <w:tcPr>
            <w:tcW w:type="dxa" w:w="2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Tipos de modelos (candidatos)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1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3C3489"/>
                <w:sz w:val="18"/>
                <w:szCs w:val="18"/>
              </w:rPr>
              <w:t xml:space="preserve">B1 · Audio</w:t>
            </w:r>
          </w:p>
          <w:p>
            <w:pPr>
              <w:spacing w:after="0"/>
            </w:pPr>
            <w:r>
              <w:rPr>
                <w:i/>
                <w:iCs/>
                <w:color w:val="3C3489"/>
                <w:sz w:val="17"/>
                <w:szCs w:val="17"/>
              </w:rPr>
              <w:t xml:space="preserve">Qué se dice, quién lo dice y cómo suena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Transcripción con tiempos y hablantes.</w:t>
            </w:r>
          </w:p>
          <w:p>
            <w:pPr>
              <w:spacing w:after="5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Tono de voz de la presidenta.</w:t>
            </w:r>
          </w:p>
          <w:p>
            <w:pPr>
              <w:spacing w:after="5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Voz de las salidas: voz sintética genérica, nunca imitando a la presidenta.</w:t>
            </w:r>
          </w:p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Transcripción de las consultas habladas del usuario.</w:t>
            </w:r>
          </w:p>
        </w:tc>
        <w:tc>
          <w:tcPr>
            <w:tcW w:type="dxa" w:w="2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ASR: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Whisper large-v3 / turbo, distil-whisper, Parakeet.</w:t>
            </w:r>
          </w:p>
          <w:p>
            <w:pPr>
              <w:spacing w:after="5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Diarización: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pyannote, NeMo.</w:t>
            </w:r>
          </w:p>
          <w:p>
            <w:pPr>
              <w:spacing w:after="5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Emoción de voz: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wav2vec2 (audEERING), emotion2vec+, openSMILE.</w:t>
            </w:r>
          </w:p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TTS: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Kokoro, Chatterbox, Parler-TTS.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transcript.csv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voice.csv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briefing.mp3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Funciones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voz_a_texto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texto_a_voz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085041"/>
                <w:sz w:val="18"/>
                <w:szCs w:val="18"/>
              </w:rPr>
              <w:t xml:space="preserve">B2 · Texto y razonamiento</w:t>
            </w:r>
          </w:p>
          <w:p>
            <w:pPr>
              <w:spacing w:after="0"/>
            </w:pPr>
            <w:r>
              <w:rPr>
                <w:i/>
                <w:iCs/>
                <w:color w:val="085041"/>
                <w:sz w:val="17"/>
                <w:szCs w:val="17"/>
              </w:rPr>
              <w:t xml:space="preserve">Qué significa y qué hay que contar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Postura hawkish/dovish por frase.</w:t>
            </w:r>
          </w:p>
          <w:p>
            <w:pPr>
              <w:spacing w:after="5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Combinación de señales por tiempo.</w:t>
            </w:r>
          </w:p>
          <w:p>
            <w:pPr>
              <w:spacing w:after="5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Informe con citas y reglas fijas de compliance: sin recomendaciones de inversión y con citas obligatorias.</w:t>
            </w:r>
          </w:p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Respuestas sobre el histórico (RAG).</w:t>
            </w:r>
          </w:p>
        </w:tc>
        <w:tc>
          <w:tcPr>
            <w:tcW w:type="dxa" w:w="2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Postura: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RoBERTa del WCB, FinBERT, LLM zero-shot.</w:t>
            </w:r>
          </w:p>
          <w:p>
            <w:pPr>
              <w:spacing w:after="5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Síntesis: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LLMs abiertos frente a API.</w:t>
            </w:r>
          </w:p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RAG: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embeddings (BGE, E5) y LLM.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stance.csv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summary.json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, índice del histórico.</w:t>
            </w:r>
          </w:p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Función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responder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712B13"/>
                <w:sz w:val="18"/>
                <w:szCs w:val="18"/>
              </w:rPr>
              <w:t xml:space="preserve">B3 · Visión y producto</w:t>
            </w:r>
          </w:p>
          <w:p>
            <w:pPr>
              <w:spacing w:after="0"/>
            </w:pPr>
            <w:r>
              <w:rPr>
                <w:i/>
                <w:iCs/>
                <w:color w:val="712B13"/>
                <w:sz w:val="17"/>
                <w:szCs w:val="17"/>
              </w:rPr>
              <w:t xml:space="preserve">Qué se ve y cómo se presenta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Expresión facial de la presidenta. Versión mínima obligatoria: sin ella, el vídeo sería solo audio.</w:t>
            </w:r>
          </w:p>
          <w:p>
            <w:pPr>
              <w:spacing w:after="5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Datos de los gráficos de proyecciones.</w:t>
            </w:r>
          </w:p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La aplicación.</w:t>
            </w:r>
          </w:p>
        </w:tc>
        <w:tc>
          <w:tcPr>
            <w:tcW w:type="dxa" w:w="2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Cara: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py-feat, HSEmotion, DeepFace.</w:t>
            </w:r>
          </w:p>
          <w:p>
            <w:pPr>
              <w:spacing w:after="5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Gráficos: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Qwen-VL, Florence-2, DePlot.</w:t>
            </w:r>
          </w:p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App: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 Streamlit.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52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face.csv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6"/>
                <w:szCs w:val="16"/>
              </w:rPr>
              <w:t xml:space="preserve">projections.csv</w:t>
            </w: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.</w:t>
            </w:r>
          </w:p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La app.</w:t>
            </w:r>
          </w:p>
        </w:tc>
      </w:tr>
    </w:tbl>
    <w:p>
      <w:pPr>
        <w:spacing w:after="80"/>
      </w:pPr>
    </w:p>
    <w:p>
      <w:pPr>
        <w:spacing w:after="80" w:before="60"/>
      </w:pPr>
      <w:r>
        <w:rPr>
          <w:b/>
          <w:bCs/>
          <w:color w:val="262626"/>
          <w:sz w:val="20"/>
          <w:szCs w:val="20"/>
        </w:rPr>
        <w:t xml:space="preserve">Responsables:</w:t>
      </w:r>
      <w:r>
        <w:rPr>
          <w:color w:val="262626"/>
          <w:sz w:val="20"/>
          <w:szCs w:val="20"/>
        </w:rPr>
        <w:t xml:space="preserve">  B1 ____________________   B2 ____________________   B3 ____________________</w:t>
      </w:r>
    </w:p>
    <w:p>
      <w:pPr>
        <w:spacing w:after="100"/>
      </w:pPr>
      <w:r>
        <w:rPr>
          <w:b/>
          <w:bCs/>
          <w:color w:val="262626"/>
          <w:sz w:val="20"/>
          <w:szCs w:val="20"/>
        </w:rPr>
        <w:t xml:space="preserve">Extras, para quien acabe antes:</w:t>
      </w:r>
      <w:r>
        <w:rPr>
          <w:color w:val="262626"/>
          <w:sz w:val="20"/>
          <w:szCs w:val="20"/>
        </w:rPr>
        <w:t xml:space="preserve"> baseline omni (Qwen2.5-Omni) frente a la cascada, salida en español y validación del tono contra la reacción del mercado (EA-MPD).</w:t>
      </w:r>
    </w:p>
    <w:p>
      <w:pPr>
        <w:keepNext/>
        <w:pageBreakBefore/>
        <w:spacing w:after="0" w:before="60" w:line="240" w:lineRule="auto"/>
        <w:jc w:val="center"/>
      </w:pPr>
      <w:r>
        <w:drawing>
          <wp:inline distT="0" distB="0" distL="0" distR="0">
            <wp:extent cx="5715000" cy="5438775"/>
            <wp:effectExtent t="0" r="0" b="0" l="0"/>
            <wp:docPr id="1" name="img/flujo_bloques.png" descr="img/flujo_bloques.png" title="img/flujo_bloq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i/>
          <w:iCs/>
          <w:color w:val="6B7280"/>
          <w:sz w:val="17"/>
          <w:szCs w:val="17"/>
        </w:rPr>
        <w:t xml:space="preserve">Flujo de modelos por bloque y entregas entre bloques al procesar una rueda de prensa.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Solo dos piezas necesitan resultados de otros bloques: la combinación de señales (B2) y la app (B3). Ambas se programan contra los ficheros de ejemplo y funcionan sin cambios cuando llegan los reales, así que nadie tiene que esperar a nadie.</w:t>
      </w:r>
    </w:p>
    <w:p>
      <w:pPr>
        <w:keepNext/>
        <w:spacing w:after="0" w:before="60" w:line="240" w:lineRule="auto"/>
        <w:jc w:val="center"/>
      </w:pPr>
      <w:r>
        <w:drawing>
          <wp:inline distT="0" distB="0" distL="0" distR="0">
            <wp:extent cx="5715000" cy="1143000"/>
            <wp:effectExtent t="0" r="0" b="0" l="0"/>
            <wp:docPr id="1" name="img/flujo_chat.png" descr="img/flujo_chat.png" title="img/flujo_ch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i/>
          <w:iCs/>
          <w:color w:val="6B7280"/>
          <w:sz w:val="17"/>
          <w:szCs w:val="17"/>
        </w:rPr>
        <w:t xml:space="preserve">Chat en vivo: se calcula en el momento de la pregunta y responde sobre las ruedas ya procesadas, no sobre ruedas futuras.</w:t>
      </w:r>
    </w:p>
    <w:p>
      <w:pPr>
        <w:pStyle w:val="Heading1"/>
        <w:keepNext/>
        <w:pageBreakBefore/>
      </w:pPr>
      <w:r>
        <w:t xml:space="preserve">6. Lo que tiene que ser igual en los tres bloques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El tiempo como clave común.</w:t>
      </w:r>
      <w:r>
        <w:rPr>
          <w:color w:val="262626"/>
          <w:sz w:val="20"/>
          <w:szCs w:val="20"/>
        </w:rPr>
        <w:t xml:space="preserve"> Todo resultado sobre el evento lleva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start</w:t>
      </w:r>
      <w:r>
        <w:rPr>
          <w:color w:val="262626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end</w:t>
      </w:r>
      <w:r>
        <w:rPr>
          <w:color w:val="262626"/>
          <w:sz w:val="20"/>
          <w:szCs w:val="20"/>
        </w:rPr>
        <w:t xml:space="preserve"> en segundos desde el inicio del vídeo, como los subtítulos de una película. Cada bloque elige su granularidad (frase, ventana o segundo) y el cruce se hace por solapamiento temporal: todo lo que cae en el mismo intervalo habla del mismo momento.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Intercambio por ficheros.</w:t>
      </w:r>
      <w:r>
        <w:rPr>
          <w:color w:val="262626"/>
          <w:sz w:val="20"/>
          <w:szCs w:val="20"/>
        </w:rPr>
        <w:t xml:space="preserve"> Cada bloque escribe sus resultados en CSV o JSON en la carpeta del evento. Nadie importa código de otro bloque y la app solo lee esa carpeta.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Tres funciones para el chat en vivo</w:t>
      </w:r>
      <w:r>
        <w:rPr>
          <w:color w:val="262626"/>
          <w:sz w:val="20"/>
          <w:szCs w:val="20"/>
        </w:rPr>
        <w:t xml:space="preserve">, con entrada y salida acordadas: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voz_a_texto(audio) → texto</w:t>
      </w:r>
      <w:r>
        <w:rPr>
          <w:color w:val="262626"/>
          <w:sz w:val="20"/>
          <w:szCs w:val="20"/>
        </w:rPr>
        <w:t xml:space="preserve"> (B1),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responder(pregunta) → respuesta + citas</w:t>
      </w:r>
      <w:r>
        <w:rPr>
          <w:color w:val="262626"/>
          <w:sz w:val="20"/>
          <w:szCs w:val="20"/>
        </w:rPr>
        <w:t xml:space="preserve"> (B2) y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texto_a_voz(texto) → audio</w:t>
      </w:r>
      <w:r>
        <w:rPr>
          <w:color w:val="262626"/>
          <w:sz w:val="20"/>
          <w:szCs w:val="20"/>
        </w:rPr>
        <w:t xml:space="preserve"> (B1).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Ejemplos primero.</w:t>
      </w:r>
      <w:r>
        <w:rPr>
          <w:color w:val="262626"/>
          <w:sz w:val="20"/>
          <w:szCs w:val="20"/>
        </w:rPr>
        <w:t xml:space="preserve"> Lo primero que hace cada bloque es compartir un fichero de ejemplo de su salida, aunque sea con valores inventados, y una versión provisional de sus funciones. A partir de ahí, el formato solo cambia avisando.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Mismo entorno.</w:t>
      </w:r>
      <w:r>
        <w:rPr>
          <w:color w:val="262626"/>
          <w:sz w:val="20"/>
          <w:szCs w:val="20"/>
        </w:rPr>
        <w:t xml:space="preserve"> Python 3.11. Cada bloque declara sus dependencias; la app solo lleva los modelos ganadores y lo de benchmark va aparte. Antes de integrar, se prueba la instalación conjunta en un entorno limpio.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Código en capas</w:t>
      </w:r>
      <w:r>
        <w:rPr>
          <w:color w:val="262626"/>
          <w:sz w:val="20"/>
          <w:szCs w:val="20"/>
        </w:rPr>
        <w:t xml:space="preserve"> dentro de cada bloque: conexión con modelos, lógica e interfaz. Cada etapa admite varios backends (local o API) detrás de la misma función, lo que sirve para el benchmark y para hardware distinto. MLX solo funciona en Mac, así que cada backend local necesita una alternativa multiplataforma.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Misma plantilla de benchmark</w:t>
      </w:r>
      <w:r>
        <w:rPr>
          <w:color w:val="262626"/>
          <w:sz w:val="20"/>
          <w:szCs w:val="20"/>
        </w:rPr>
        <w:t xml:space="preserve"> (sección 8).</w:t>
      </w:r>
    </w:p>
    <w:p>
      <w:pPr>
        <w:pStyle w:val="Heading1"/>
        <w:keepNext/>
      </w:pPr>
      <w:r>
        <w:t xml:space="preserve">7. La carpeta del evento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data/events/2026-09-10/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transcript.csv    B1   start, end, speaker, section, text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voice.csv         B1   start, end, arousal, valence, dominance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briefing.mp3      B1   píldora generada a partir de summary.json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stance.csv        B2   start, end, label, p_hawkish, p_neutral, p_dovish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summary.json      B2   score, label, briefing, citations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face.csv          B3   start, end, face_detected, valence, arousal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└── projections.csv   B3   variable, year, value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262626"/>
          <w:sz w:val="20"/>
          <w:szCs w:val="20"/>
        </w:rPr>
        <w:t xml:space="preserve">Ejemplo: la frase dicha entre el minuto 23:41 y el 23:52 aparece como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1421.0, 1432.0</w:t>
      </w:r>
      <w:r>
        <w:rPr>
          <w:color w:val="262626"/>
          <w:sz w:val="20"/>
          <w:szCs w:val="20"/>
        </w:rPr>
        <w:t xml:space="preserve"> en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transcript.csv</w:t>
      </w:r>
      <w:r>
        <w:rPr>
          <w:color w:val="262626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voice.csv</w:t>
      </w:r>
      <w:r>
        <w:rPr>
          <w:color w:val="262626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stance.csv</w:t>
      </w:r>
      <w:r>
        <w:rPr>
          <w:color w:val="262626"/>
          <w:sz w:val="20"/>
          <w:szCs w:val="20"/>
        </w:rPr>
        <w:t xml:space="preserve">, mientras que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face.csv</w:t>
      </w:r>
      <w:r>
        <w:rPr>
          <w:color w:val="262626"/>
          <w:sz w:val="20"/>
          <w:szCs w:val="20"/>
        </w:rPr>
        <w:t xml:space="preserve"> tiene una fila por segundo dentro de ese intervalo. Los nombres de columnas los decide cada bloque; solo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start</w:t>
      </w:r>
      <w:r>
        <w:rPr>
          <w:color w:val="262626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end</w:t>
      </w:r>
      <w:r>
        <w:rPr>
          <w:color w:val="262626"/>
          <w:sz w:val="20"/>
          <w:szCs w:val="20"/>
        </w:rPr>
        <w:t xml:space="preserve"> son obligatorios.</w:t>
      </w:r>
    </w:p>
    <w:p>
      <w:pPr>
        <w:pStyle w:val="Heading1"/>
        <w:keepNext/>
      </w:pPr>
      <w:r>
        <w:t xml:space="preserve">8. Plantilla de benchmark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Un notebook por etapa en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benchmarks/</w:t>
      </w:r>
      <w:r>
        <w:rPr>
          <w:color w:val="262626"/>
          <w:sz w:val="20"/>
          <w:szCs w:val="20"/>
        </w:rPr>
        <w:t xml:space="preserve">, con la decisión argumentada en markdown y siempre los mismos apartados: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4038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Apartado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Qué incluye</w:t>
            </w:r>
          </w:p>
        </w:tc>
        <w:tc>
          <w:tcPr>
            <w:tcW w:type="dxa" w:w="4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Ejemplo (transcripción)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Candidatos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Los 2-3 modelos que se comparan</w:t>
            </w:r>
          </w:p>
        </w:tc>
        <w:tc>
          <w:tcPr>
            <w:tcW w:type="dxa" w:w="4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Whisper large-v3, Whisper turbo, distil-whisper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Datos de referencia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La «respuesta correcta» contra la que se mide</w:t>
            </w:r>
          </w:p>
        </w:tc>
        <w:tc>
          <w:tcPr>
            <w:tcW w:type="dxa" w:w="4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Transcripción oficial del BCE de esa rueda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Métrica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Cómo se mide la calidad</w:t>
            </w:r>
          </w:p>
        </w:tc>
        <w:tc>
          <w:tcPr>
            <w:tcW w:type="dxa" w:w="4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WER: porcentaje de palabras erróneas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Resultados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La métrica de cada candidato</w:t>
            </w:r>
          </w:p>
        </w:tc>
        <w:tc>
          <w:tcPr>
            <w:tcW w:type="dxa" w:w="4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6,1 % / 6,8 % / 9,4 % (ilustrativo)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Decisión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Qué modelo entra en la app y por qué</w:t>
            </w:r>
          </w:p>
        </w:tc>
        <w:tc>
          <w:tcPr>
            <w:tcW w:type="dxa" w:w="4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Turbo: casi igual de preciso y mucho más rápido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Latencia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Cuánto tarda en procesar</w:t>
            </w:r>
          </w:p>
        </w:tc>
        <w:tc>
          <w:tcPr>
            <w:tcW w:type="dxa" w:w="4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Minutos por hora de audio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Memoria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RAM o VRAM necesaria</w:t>
            </w:r>
          </w:p>
        </w:tc>
        <w:tc>
          <w:tcPr>
            <w:tcW w:type="dxa" w:w="4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¿Cabe en un portátil o requiere API?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262626"/>
          <w:sz w:val="20"/>
          <w:szCs w:val="20"/>
        </w:rPr>
        <w:t xml:space="preserve">Latencia y memoria alimentan directamente el apartado de costes y latencias del README.</w:t>
      </w:r>
    </w:p>
    <w:p>
      <w:pPr>
        <w:pStyle w:val="Heading1"/>
        <w:keepNext/>
        <w:pageBreakBefore/>
      </w:pPr>
      <w:r>
        <w:t xml:space="preserve">9. Estructura del repositorio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hawk-and-dove/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README.md               Arquitectura, flujo de datos, capturas y viabilidad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requirements.txt        Dependencias de la app (solo modelos ganadores)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requirements-bench.txt  Dependencias extra de los benchmarks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.env.example            Claves de API necesarias, sin valores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run.sh / run.bat        Arranque directo de la app (Mac/Linux y Windows)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config.yaml             Modelo elegido por etapa y rutas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src/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audio/              B1: models/ (un backend por candidato) + lógica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text/               B2: models/ + lógica (postura, combinación, informe, RAG)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vision/             B3: models/ + lógica (cara, gráficos)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app/                Interfaz Streamlit (solo lee data/)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└── pipeline.py         Encadena los bloques para procesar una rueda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scripts/                Descarga de vídeos y transcripciones, procesado por lotes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benchmarks/             Un notebook por etapa + results/ (CSV y gráficos)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data/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events/&lt;fecha&gt;/     Resultados de cada rueda procesada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└── history/            Transcripciones oficiales e índice del RAG</w:t>
            </w:r>
          </w:p>
          <w:p>
            <w:pPr>
              <w:spacing w:after="0" w:line="245" w:lineRule="auto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└── docs/                   Diagramas y capturas para el README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262626"/>
          <w:sz w:val="20"/>
          <w:szCs w:val="20"/>
        </w:rPr>
        <w:t xml:space="preserve">Vídeos y audios quedan fuera de git y se descargan con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scripts/</w:t>
      </w:r>
      <w:r>
        <w:rPr>
          <w:color w:val="262626"/>
          <w:sz w:val="20"/>
          <w:szCs w:val="20"/>
        </w:rPr>
        <w:t xml:space="preserve">; los CSV y JSON de las ruedas procesadas sí se suben, para que la demo funcione nada más clonar. Docker en Mac no usa la GPU de Apple, por eso optamos por </w:t>
      </w:r>
      <w:r>
        <w:rPr>
          <w:rFonts w:ascii="Consolas" w:cs="Consolas" w:eastAsia="Consolas" w:hAnsi="Consolas"/>
          <w:color w:val="262626"/>
          <w:sz w:val="18"/>
          <w:szCs w:val="18"/>
        </w:rPr>
        <w:t xml:space="preserve">requirements.txt</w:t>
      </w:r>
      <w:r>
        <w:rPr>
          <w:color w:val="262626"/>
          <w:sz w:val="20"/>
          <w:szCs w:val="20"/>
        </w:rPr>
        <w:t xml:space="preserve"> y scripts de arranque.</w:t>
      </w:r>
    </w:p>
    <w:p>
      <w:pPr>
        <w:pStyle w:val="Heading1"/>
        <w:keepNext/>
      </w:pPr>
      <w:r>
        <w:t xml:space="preserve">10. Fases de trabajo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Ejemplos de formato:</w:t>
      </w:r>
      <w:r>
        <w:rPr>
          <w:color w:val="262626"/>
          <w:sz w:val="20"/>
          <w:szCs w:val="20"/>
        </w:rPr>
        <w:t xml:space="preserve"> cada bloque comparte su fichero de ejemplo y sus funciones provisionales lo antes posible; es lo que desbloquea a los demás.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Construcción y benchmark</w:t>
      </w:r>
      <w:r>
        <w:rPr>
          <w:color w:val="262626"/>
          <w:sz w:val="20"/>
          <w:szCs w:val="20"/>
        </w:rPr>
        <w:t xml:space="preserve"> de cada bloque sobre la rueda de referencia.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Procesado de 6-10 ruedas</w:t>
      </w:r>
      <w:r>
        <w:rPr>
          <w:color w:val="262626"/>
          <w:sz w:val="20"/>
          <w:szCs w:val="20"/>
        </w:rPr>
        <w:t xml:space="preserve"> con los modelos ganadores, carga del histórico de texto e integración en la app.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262626"/>
          <w:sz w:val="20"/>
          <w:szCs w:val="20"/>
        </w:rPr>
        <w:t xml:space="preserve">README, demo grabada</w:t>
      </w:r>
      <w:r>
        <w:rPr>
          <w:color w:val="262626"/>
          <w:sz w:val="20"/>
          <w:szCs w:val="20"/>
        </w:rPr>
        <w:t xml:space="preserve"> (respaldo de la demo en vivo) </w:t>
      </w:r>
      <w:r>
        <w:rPr>
          <w:b/>
          <w:bCs/>
          <w:color w:val="262626"/>
          <w:sz w:val="20"/>
          <w:szCs w:val="20"/>
        </w:rPr>
        <w:t xml:space="preserve">y entrega.</w:t>
      </w:r>
    </w:p>
    <w:p>
      <w:pPr>
        <w:spacing w:after="0" w:before="80"/>
      </w:pPr>
      <w:r>
        <w:rPr>
          <w:color w:val="262626"/>
          <w:sz w:val="20"/>
          <w:szCs w:val="20"/>
        </w:rPr>
        <w:t xml:space="preserve">Única fecha fija: </w:t>
      </w:r>
      <w:r>
        <w:rPr>
          <w:b/>
          <w:bCs/>
          <w:color w:val="262626"/>
          <w:sz w:val="20"/>
          <w:szCs w:val="20"/>
        </w:rPr>
        <w:t xml:space="preserve">jueves 8 de octubre, 18:00</w:t>
      </w:r>
      <w:r>
        <w:rPr>
          <w:color w:val="262626"/>
          <w:sz w:val="20"/>
          <w:szCs w:val="20"/>
        </w:rPr>
        <w:t xml:space="preserve">. Conviene reservar margen suficiente para las fases 3 y 4. Regla de oro: primero el mínimo de cada bloque funcionando de extremo a extremo; los extras, después.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6"/>
        <w:szCs w:val="16"/>
      </w:rPr>
      <w:t xml:space="preserve">Hawk &amp; Dove · Hoja de ruta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F293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0"/>
        <w:szCs w:val="20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10" w:before="300"/>
      <w:outlineLvl w:val="0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03963f80bb1a8e18d48618e99561a286f98a90.png"/><Relationship Id="rId9" Type="http://schemas.openxmlformats.org/officeDocument/2006/relationships/image" Target="media/5be8d3e732fbe4b5806ec619b962a934d0a0eb41.png"/><Relationship Id="rId10" Type="http://schemas.openxmlformats.org/officeDocument/2006/relationships/image" Target="media/d171f141aeea84b463e8e4bc3837f584fba3be0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Hawk &amp; Dove · Hoja de ruta del proyecto</dc:title>
  <dc:creator>Hawk &amp; Dove</dc:creator>
  <cp:lastModifiedBy>Un-named</cp:lastModifiedBy>
  <cp:revision>1</cp:revision>
  <dcterms:created xsi:type="dcterms:W3CDTF">2026-10-04T20:50:42.019Z</dcterms:created>
  <dcterms:modified xsi:type="dcterms:W3CDTF">2026-10-04T20:50:42.019Z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