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1C0" w:rsidRDefault="00D041C0" w:rsidP="002C632D">
      <w:pPr>
        <w:pStyle w:val="Heading1"/>
        <w:spacing w:line="240" w:lineRule="auto"/>
        <w:jc w:val="center"/>
      </w:pPr>
      <w:r>
        <w:t>GEF5 Project Concept Note</w:t>
      </w:r>
    </w:p>
    <w:p w:rsidR="00830607" w:rsidRDefault="00D041C0" w:rsidP="002C632D">
      <w:pPr>
        <w:pStyle w:val="Heading1"/>
        <w:spacing w:line="240" w:lineRule="auto"/>
        <w:jc w:val="center"/>
      </w:pPr>
      <w:r>
        <w:t>Very H</w:t>
      </w:r>
      <w:r w:rsidR="00830607" w:rsidRPr="00830607">
        <w:t xml:space="preserve">igh </w:t>
      </w:r>
      <w:r>
        <w:t>R</w:t>
      </w:r>
      <w:r w:rsidR="00830607" w:rsidRPr="00830607">
        <w:t xml:space="preserve">esolution </w:t>
      </w:r>
      <w:r>
        <w:t>R</w:t>
      </w:r>
      <w:r w:rsidR="00830607" w:rsidRPr="00830607">
        <w:t xml:space="preserve">emote </w:t>
      </w:r>
      <w:r>
        <w:t>S</w:t>
      </w:r>
      <w:r w:rsidR="00830607" w:rsidRPr="00830607">
        <w:t xml:space="preserve">ensing of </w:t>
      </w:r>
      <w:r>
        <w:t>C</w:t>
      </w:r>
      <w:r w:rsidR="00830607" w:rsidRPr="00830607">
        <w:t xml:space="preserve">arbon </w:t>
      </w:r>
      <w:r>
        <w:t>S</w:t>
      </w:r>
      <w:r w:rsidR="00830607" w:rsidRPr="00830607">
        <w:t>tocks in Subtropical Thicket</w:t>
      </w:r>
    </w:p>
    <w:p w:rsidR="00D041C0" w:rsidRPr="00D041C0" w:rsidRDefault="00D041C0" w:rsidP="002C632D">
      <w:pPr>
        <w:spacing w:line="240" w:lineRule="auto"/>
      </w:pPr>
    </w:p>
    <w:p w:rsidR="00996FA9" w:rsidRPr="00D041C0" w:rsidRDefault="00996FA9" w:rsidP="002C632D">
      <w:pPr>
        <w:pStyle w:val="Heading5"/>
        <w:spacing w:line="240" w:lineRule="auto"/>
        <w:jc w:val="center"/>
      </w:pPr>
      <w:r w:rsidRPr="00D041C0">
        <w:t xml:space="preserve">PhD in </w:t>
      </w:r>
      <w:r w:rsidRPr="00D041C0">
        <w:rPr>
          <w:rStyle w:val="IntenseEmphasis"/>
          <w:i w:val="0"/>
          <w:iCs w:val="0"/>
          <w:color w:val="2E74B5" w:themeColor="accent1" w:themeShade="BF"/>
        </w:rPr>
        <w:t xml:space="preserve">Geography and Environmental Studies, </w:t>
      </w:r>
      <w:r w:rsidRPr="00D041C0">
        <w:t>Stellenbosch University</w:t>
      </w:r>
    </w:p>
    <w:p w:rsidR="00830607" w:rsidRPr="00D041C0" w:rsidRDefault="003702A7" w:rsidP="002C632D">
      <w:pPr>
        <w:pStyle w:val="Heading5"/>
        <w:spacing w:line="240" w:lineRule="auto"/>
        <w:jc w:val="center"/>
      </w:pPr>
      <w:proofErr w:type="spellStart"/>
      <w:r w:rsidRPr="00D041C0">
        <w:t>Dug</w:t>
      </w:r>
      <w:r w:rsidR="00D041C0" w:rsidRPr="00D041C0">
        <w:rPr>
          <w:rStyle w:val="IntenseEmphasis"/>
          <w:i w:val="0"/>
          <w:iCs w:val="0"/>
          <w:color w:val="2E74B5" w:themeColor="accent1" w:themeShade="BF"/>
        </w:rPr>
        <w:t>a</w:t>
      </w:r>
      <w:r w:rsidRPr="00D041C0">
        <w:t>l</w:t>
      </w:r>
      <w:proofErr w:type="spellEnd"/>
      <w:r w:rsidRPr="00D041C0">
        <w:t xml:space="preserve"> Harris</w:t>
      </w:r>
    </w:p>
    <w:p w:rsidR="00830607" w:rsidRDefault="00830607" w:rsidP="002C632D">
      <w:pPr>
        <w:spacing w:line="240" w:lineRule="auto"/>
      </w:pPr>
    </w:p>
    <w:p w:rsidR="003F06D7" w:rsidRDefault="00B86F73" w:rsidP="002C632D">
      <w:pPr>
        <w:pStyle w:val="Heading1"/>
        <w:spacing w:line="240" w:lineRule="auto"/>
      </w:pPr>
      <w:r w:rsidRPr="00B86F73">
        <w:t>Problem Identification</w:t>
      </w:r>
    </w:p>
    <w:p w:rsidR="002C632D" w:rsidRDefault="00C57F54" w:rsidP="002C632D">
      <w:pPr>
        <w:pStyle w:val="NoSpacing"/>
      </w:pPr>
      <w:r>
        <w:t>Subtropical Thicket has been degraded by overgrazing over much its range</w:t>
      </w:r>
      <w:r w:rsidR="007D6E24">
        <w:t xml:space="preserve"> </w:t>
      </w:r>
      <w:r w:rsidR="007D6E24">
        <w:fldChar w:fldCharType="begin" w:fldLock="1"/>
      </w:r>
      <w:r w:rsidR="003B7364">
        <w:instrText>ADDIN CSL_CITATION { "citationItems" : [ { "id" : "ITEM-1", "itemData" : { "DOI" : "10.1007/s00267-008-9228-x", "author" : [ { "dropping-particle" : "", "family" : "Thompson", "given" : "Mark", "non-dropping-particle" : "", "parse-names" : false, "suffix" : "" }, { "dropping-particle" : "", "family" : "Vlok", "given" : "Jan", "non-dropping-particle" : "", "parse-names" : false, "suffix" : "" }, { "dropping-particle" : "", "family" : "Rouget", "given" : "Mathieu", "non-dropping-particle" : "", "parse-names" : false, "suffix" : "" }, { "dropping-particle" : "", "family" : "Hoffman", "given" : "M T", "non-dropping-particle" : "", "parse-names" : false, "suffix" : "" }, { "dropping-particle" : "", "family" : "Cowling", "given" : "Richard M.", "non-dropping-particle" : "", "parse-names" : false, "suffix" : "" } ], "container-title" : "Environmental Management", "id" : "ITEM-1", "issued" : { "date-parts" : [ [ "2009" ] ] }, "page" : "585-596", "title" : "Mapping grazing-induced degradation in a semi-arid environment: A rapid and cost effective approach for assessment and monitoring", "type" : "article-journal", "volume" : "43" }, "uris" : [ "http://www.mendeley.com/documents/?uuid=6525d2d7-956c-4168-b520-935b815bd299" ] } ], "mendeley" : { "formattedCitation" : "(Thompson et al. 2009)", "plainTextFormattedCitation" : "(Thompson et al. 2009)", "previouslyFormattedCitation" : "(Thompson et al. 2009)" }, "properties" : { "noteIndex" : 0 }, "schema" : "https://github.com/citation-style-language/schema/raw/master/csl-citation.json" }</w:instrText>
      </w:r>
      <w:r w:rsidR="007D6E24">
        <w:fldChar w:fldCharType="separate"/>
      </w:r>
      <w:r w:rsidR="003B7364" w:rsidRPr="003B7364">
        <w:rPr>
          <w:noProof/>
        </w:rPr>
        <w:t>(Thompson et al. 2009)</w:t>
      </w:r>
      <w:r w:rsidR="007D6E24">
        <w:fldChar w:fldCharType="end"/>
      </w:r>
      <w:r>
        <w:t xml:space="preserve">. There is significant interest and a growing body of research in thicket restoration through the planting of </w:t>
      </w:r>
      <w:proofErr w:type="spellStart"/>
      <w:r w:rsidRPr="00C57F54">
        <w:rPr>
          <w:i/>
        </w:rPr>
        <w:t>Portulacaria</w:t>
      </w:r>
      <w:proofErr w:type="spellEnd"/>
      <w:r w:rsidRPr="00C57F54">
        <w:rPr>
          <w:i/>
        </w:rPr>
        <w:t xml:space="preserve"> </w:t>
      </w:r>
      <w:proofErr w:type="spellStart"/>
      <w:r w:rsidRPr="00C57F54">
        <w:rPr>
          <w:i/>
        </w:rPr>
        <w:t>afra</w:t>
      </w:r>
      <w:proofErr w:type="spellEnd"/>
      <w:r>
        <w:t xml:space="preserve"> (</w:t>
      </w:r>
      <w:proofErr w:type="spellStart"/>
      <w:r>
        <w:t>Spekboom</w:t>
      </w:r>
      <w:proofErr w:type="spellEnd"/>
      <w:r>
        <w:t>)</w:t>
      </w:r>
      <w:r w:rsidR="003B7364">
        <w:t xml:space="preserve"> </w:t>
      </w:r>
      <w:r w:rsidR="003B7364">
        <w:fldChar w:fldCharType="begin" w:fldLock="1"/>
      </w:r>
      <w:r w:rsidR="005C69D6">
        <w:instrText>ADDIN CSL_CITATION { "citationItems" : [ { "id" : "ITEM-1", "itemData" : { "author" : [ { "dropping-particle" : "", "family" : "Mills", "given" : "Anthony J.", "non-dropping-particle" : "", "parse-names" : false, "suffix" : "" }, { "dropping-particle" : "", "family" : "Blignaut", "given" : "JN", "non-dropping-particle" : "", "parse-names" : false, "suffix" : "" }, { "dropping-particle" : "", "family" : "Cowling", "given" : "Richard M.", "non-dropping-particle" : "", "parse-names" : false, "suffix" : "" }, { "dropping-particle" : "", "family" : "Knipe", "given" : "A", "non-dropping-particle" : "", "parse-names" : false, "suffix" : "" }, { "dropping-particle" : "", "family" : "Marais", "given" : "C", "non-dropping-particle" : "", "parse-names" : false, "suffix" : "" }, { "dropping-particle" : "", "family" : "Marais", "given" : "S", "non-dropping-particle" : "", "parse-names" : false, "suffix" : "" }, { "dropping-particle" : "", "family" : "Pierce", "given" : "SM", "non-dropping-particle" : "", "parse-names" : false, "suffix" : "" }, { "dropping-particle" : "", "family" : "Powell", "given" : "M", "non-dropping-particle" : "", "parse-names" : false, "suffix" : "" }, { "dropping-particle" : "", "family" : "Sigwela", "given" : "AM", "non-dropping-particle" : "", "parse-names" : false, "suffix" : "" }, { "dropping-particle" : "", "family" : "Skowno", "given" : "A", "non-dropping-particle" : "", "parse-names" : false, "suffix" : "" } ], "collection-title" : "Series", "container-title" : "Published by Climate Action Partnership, Cape Town, and Wilderness Foundation, Port Elizabeth", "id" : "ITEM-1", "issued" : { "date-parts" : [ [ "2010" ] ] }, "note" : "Awesome marketing type summary of the field and practical implementation issues. Including carbon trading and REDD details, existing restoration projects.", "number" : "1234", "number-of-pages" : "1-38", "publisher" : "Climate Action Partnership, Cape Town and Wilderness Foundation, Port Elizabeth.", "title" : "Investing in sustainability. Restoring degraded thicket, creating jobs, capturing carbon and earning green credit.", "type" : "book" }, "uris" : [ "http://www.mendeley.com/documents/?uuid=70bce4a8-a575-4391-a1c5-9ddeec7dc8f0" ] }, { "id" : "ITEM-2", "itemData" : { "author" : [ { "dropping-particle" : "", "family" : "Marais", "given" : "C", "non-dropping-particle" : "", "parse-names" : false, "suffix" : "" }, { "dropping-particle" : "", "family" : "Cowling", "given" : "Richard M.", "non-dropping-particle" : "", "parse-names" : false, "suffix" : "" }, { "dropping-particle" : "", "family" : "Powell", "given" : "M", "non-dropping-particle" : "", "parse-names" : false, "suffix" : "" } ], "container-title" : "XIII World Forestry Congress", "id" : "ITEM-2", "issue" : "October", "issued" : { "date-parts" : [ [ "2009" ] ] }, "note" : "Very nice overview of research to date and general issues. Good practical look at economic and social issues of restoration.\nDescribes the current institutional infrastructure around restoration research etc\nGood intro that summarises all prev work by Mills, Cowling etc. \nStill a lot of work to be done on investigating how to restore and how restoring spekboom will help other plants.\nIn terms of costs, profitability is not clear", "page" : "1-13", "publisher-place" : "Buenos Aires, Argentina", "title" : "Establishing the platform for a carbon sequestration market in South Africa: The Working for Woodlands Subtropical Thicket Restoration Programme", "type" : "paper-conference" }, "uris" : [ "http://www.mendeley.com/documents/?uuid=979e0e7e-1170-42fb-b2c1-19a7083d245a" ] } ], "mendeley" : { "formattedCitation" : "(Mills et al. 2010; Marais, Cowling &amp; Powell 2009)", "plainTextFormattedCitation" : "(Mills et al. 2010; Marais, Cowling &amp; Powell 2009)", "previouslyFormattedCitation" : "(Mills et al. 2010; Marais, Cowling &amp; Powell 2009)" }, "properties" : { "noteIndex" : 0 }, "schema" : "https://github.com/citation-style-language/schema/raw/master/csl-citation.json" }</w:instrText>
      </w:r>
      <w:r w:rsidR="003B7364">
        <w:fldChar w:fldCharType="separate"/>
      </w:r>
      <w:r w:rsidR="006D27FB" w:rsidRPr="006D27FB">
        <w:rPr>
          <w:noProof/>
        </w:rPr>
        <w:t>(Mills et al. 2010; Marais, Cowling &amp; Powell 2009)</w:t>
      </w:r>
      <w:r w:rsidR="003B7364">
        <w:fldChar w:fldCharType="end"/>
      </w:r>
      <w:r>
        <w:t xml:space="preserve">. </w:t>
      </w:r>
      <w:r w:rsidR="003B7364">
        <w:t xml:space="preserve"> </w:t>
      </w:r>
      <w:r>
        <w:t xml:space="preserve">Restoration projects will generate employment, restore ecosystem services and produce carbon credits that can be traded to offset restoration costs. There is a need for spatial information, in the form of total above-ground carbon (TAGC) stock and </w:t>
      </w:r>
      <w:r w:rsidRPr="00C57F54">
        <w:rPr>
          <w:i/>
        </w:rPr>
        <w:t xml:space="preserve">P. </w:t>
      </w:r>
      <w:proofErr w:type="spellStart"/>
      <w:r w:rsidRPr="00C57F54">
        <w:rPr>
          <w:i/>
        </w:rPr>
        <w:t>afra</w:t>
      </w:r>
      <w:proofErr w:type="spellEnd"/>
      <w:r>
        <w:t xml:space="preserve"> canopy cover maps, to support the planning and monitoring of restoration projects. </w:t>
      </w:r>
    </w:p>
    <w:p w:rsidR="002C632D" w:rsidRDefault="00C57F54" w:rsidP="002C632D">
      <w:pPr>
        <w:pStyle w:val="NoSpacing"/>
      </w:pPr>
      <w:r>
        <w:br/>
        <w:t>Restoration is planned for large areas of the Little Karoo and Eastern Cape. Map scales of at least 1:10000 are required to provide sufficient accuracy for farm-level restoration planning. The production of detailed, carbon stock and canopy cover maps using manual methods at these scales is prohibitively time-consuming and expensive, particularly for large areas</w:t>
      </w:r>
      <w:r w:rsidR="003B7364">
        <w:t xml:space="preserve"> </w:t>
      </w:r>
      <w:r w:rsidR="00684CFD">
        <w:fldChar w:fldCharType="begin" w:fldLock="1"/>
      </w:r>
      <w:r w:rsidR="00684CFD">
        <w:instrText>ADDIN CSL_CITATION { "citationItems" : [ { "id" : "ITEM-1", "itemData" : { "author" : [ { "dropping-particle" : "", "family" : "Eisfelder", "given" : "Christina", "non-dropping-particle" : "", "parse-names" : false, "suffix" : "" }, { "dropping-particle" : "", "family" : "Kuenzer", "given" : "Claudia", "non-dropping-particle" : "", "parse-names" : false, "suffix" : "" }, { "dropping-particle" : "", "family" : "Dech", "given" : "Stefan", "non-dropping-particle" : "", "parse-names" : false, "suffix" : "" } ], "container-title" : "International Journal of Remote Sensing", "id" : "ITEM-1", "issue" : "9", "issued" : { "date-parts" : [ [ "2012" ] ] }, "note" : "THIS IS HUGE - VERY NB PAPER FOR ME\nGood summary and v relevant to my work.\nMost studies at low-med res. Soil background a problem. Spatial and temporal inconsistencies. \nArtid lands vulnerable, cover 1/3 of land. Low spatial res an issue. No mention of SPOT is a little worrying. Seems like Thompson followed a pretty standard approach. Multi-temporal approach is common. NDVI and similar VI's also very common. An eg of pan-sharpening. Not much mention of SPOT. Very little VHR work.\nCombining fractional cover + height was succesful. Conclusion is to try use physical rather than empirical models.\nSome of the problems reported here can be avoided in my project i.e. soil mixing shouldn't be a problem with VHR, senescent veg/ phenological changes are less of an issue with evergreen P. afra.\nRadar promising for spatial/temporal transferability for obvious reasons!!\n\n\nNot thoroughly read.", "page" : "2937\u20132984", "title" : "Derivation of biomass information for semi-arid areas using remote-sensing data", "type" : "article-journal", "volume" : "33" }, "uris" : [ "http://www.mendeley.com/documents/?uuid=0c2b21a5-07d2-4331-a168-618b2a13fe65" ] }, { "id" : "ITEM-2", "itemData" : { "author" : [ { "dropping-particle" : "", "family" : "Powell", "given" : "Michael John", "non-dropping-particle" : "", "parse-names" : false, "suffix" : "" } ], "collection-title" : "Series", "id" : "ITEM-2", "issued" : { "date-parts" : [ [ "2009" ] ] }, "note" : "with the 25 m2 and 625 m2 being the outer grid for the DST/ST and OL, respectively. The outer grid was used to employ allometry, within which 4 m2 grids were laid for sampling all herbaceous biomass, and a 0.25 m2 plot was laid out for litter sampling", "number" : "MSc. thesis", "publisher-place" : "Master's thesis. Grahamstown: Rhodes University, Department of Environmental Science", "title" : "Restoration of degraded subtropical thickets in the Baviaanskloof Megareserve, South Africa", "type" : "report" }, "uris" : [ "http://www.mendeley.com/documents/?uuid=d717f24d-d825-48c5-af2e-4f650755204e" ] }, { "id" : "ITEM-3", "itemData" : { "DOI" : "10.1080/01431160500486732", "ISSN" : "0143-1161", "author" : [ { "dropping-particle" : "", "family" : "Lu", "given" : "Dengsheng", "non-dropping-particle" : "", "parse-names" : false, "suffix" : "" } ], "container-title" : "International Journal of Remote Sensing", "id" : "ITEM-3", "issue" : "7", "issued" : { "date-parts" : [ [ "2006", "4" ] ] }, "note" : "Another good summary of the value of biomass estimations and review of existing methods. Mainly for forest. Looks at VHR.\nLooks at transferability and calibration issues a little\nTalks a bit about texture\n\n\nNot thoroughly read.", "page" : "1297-1328", "title" : "The potential and challenge of remote sensing based biomass estimation", "type" : "article-journal", "volume" : "27" }, "uris" : [ "http://www.mendeley.com/documents/?uuid=d5ffc955-7f41-4292-bad0-89f8a2ea53a6" ] } ], "mendeley" : { "formattedCitation" : "(Eisfelder, Kuenzer &amp; Dech 2012; Powell 2009; Lu 2006)", "plainTextFormattedCitation" : "(Eisfelder, Kuenzer &amp; Dech 2012; Powell 2009; Lu 2006)", "previouslyFormattedCitation" : "(Eisfelder, Kuenzer &amp; Dech 2012; Powell 2009; Lu 2006)" }, "properties" : { "noteIndex" : 0 }, "schema" : "https://github.com/citation-style-language/schema/raw/master/csl-citation.json" }</w:instrText>
      </w:r>
      <w:r w:rsidR="00684CFD">
        <w:fldChar w:fldCharType="separate"/>
      </w:r>
      <w:r w:rsidR="00684CFD" w:rsidRPr="00684CFD">
        <w:rPr>
          <w:noProof/>
        </w:rPr>
        <w:t>(Eisfelder, Kuenzer &amp; Dech 2012; Powell 2009; Lu 2006)</w:t>
      </w:r>
      <w:r w:rsidR="00684CFD">
        <w:fldChar w:fldCharType="end"/>
      </w:r>
      <w:r>
        <w:t xml:space="preserve">. </w:t>
      </w:r>
    </w:p>
    <w:p w:rsidR="009F5202" w:rsidRDefault="00C57F54" w:rsidP="002C632D">
      <w:pPr>
        <w:pStyle w:val="NoSpacing"/>
      </w:pPr>
      <w:r>
        <w:br/>
      </w:r>
      <w:r w:rsidR="001C5A2E">
        <w:t>While receiving increasing attention, use of very high resolution (VHR) imagery for estimation of environmental variables is still fairly uncommon, especially over large areas such as the Little Karoo or Eastern Cape</w:t>
      </w:r>
      <w:r w:rsidR="00684CFD">
        <w:t xml:space="preserve"> </w:t>
      </w:r>
      <w:r w:rsidR="00684CFD">
        <w:fldChar w:fldCharType="begin" w:fldLock="1"/>
      </w:r>
      <w:r w:rsidR="00CD2748">
        <w:instrText>ADDIN CSL_CITATION { "citationItems" : [ { "id" : "ITEM-1", "itemData" : { "author" : [ { "dropping-particle" : "", "family" : "Eisfelder", "given" : "Christina", "non-dropping-particle" : "", "parse-names" : false, "suffix" : "" }, { "dropping-particle" : "", "family" : "Kuenzer", "given" : "Claudia", "non-dropping-particle" : "", "parse-names" : false, "suffix" : "" }, { "dropping-particle" : "", "family" : "Dech", "given" : "Stefan", "non-dropping-particle" : "", "parse-names" : false, "suffix" : "" } ], "container-title" : "International Journal of Remote Sensing", "id" : "ITEM-1", "issue" : "9", "issued" : { "date-parts" : [ [ "2012" ] ] }, "note" : "THIS IS HUGE - VERY NB PAPER FOR ME\nGood summary and v relevant to my work.\nMost studies at low-med res. Soil background a problem. Spatial and temporal inconsistencies. \nArtid lands vulnerable, cover 1/3 of land. Low spatial res an issue. No mention of SPOT is a little worrying. Seems like Thompson followed a pretty standard approach. Multi-temporal approach is common. NDVI and similar VI's also very common. An eg of pan-sharpening. Not much mention of SPOT. Very little VHR work.\nCombining fractional cover + height was succesful. Conclusion is to try use physical rather than empirical models.\nSome of the problems reported here can be avoided in my project i.e. soil mixing shouldn't be a problem with VHR, senescent veg/ phenological changes are less of an issue with evergreen P. afra.\nRadar promising for spatial/temporal transferability for obvious reasons!!\n\n\nNot thoroughly read.", "page" : "2937\u20132984", "title" : "Derivation of biomass information for semi-arid areas using remote-sensing data", "type" : "article-journal", "volume" : "33" }, "uris" : [ "http://www.mendeley.com/documents/?uuid=0c2b21a5-07d2-4331-a168-618b2a13fe65" ] }, { "id" : "ITEM-2", "itemData" : { "DOI" : "10.1080/01431160500486732", "ISSN" : "0143-1161", "author" : [ { "dropping-particle" : "", "family" : "Lu", "given" : "Dengsheng", "non-dropping-particle" : "", "parse-names" : false, "suffix" : "" } ], "container-title" : "International Journal of Remote Sensing", "id" : "ITEM-2", "issue" : "7", "issued" : { "date-parts" : [ [ "2006", "4" ] ] }, "note" : "Another good summary of the value of biomass estimations and review of existing methods. Mainly for forest. Looks at VHR.\nLooks at transferability and calibration issues a little\nTalks a bit about texture\n\n\nNot thoroughly read.", "page" : "1297-1328", "title" : "The potential and challenge of remote sensing based biomass estimation", "type" : "article-journal", "volume" : "27" }, "uris" : [ "http://www.mendeley.com/documents/?uuid=d5ffc955-7f41-4292-bad0-89f8a2ea53a6" ] } ], "mendeley" : { "formattedCitation" : "(Eisfelder, Kuenzer &amp; Dech 2012; Lu 2006)", "plainTextFormattedCitation" : "(Eisfelder, Kuenzer &amp; Dech 2012; Lu 2006)", "previouslyFormattedCitation" : "(Eisfelder, Kuenzer &amp; Dech 2012; Lu 2006)" }, "properties" : { "noteIndex" : 0 }, "schema" : "https://github.com/citation-style-language/schema/raw/master/csl-citation.json" }</w:instrText>
      </w:r>
      <w:r w:rsidR="00684CFD">
        <w:fldChar w:fldCharType="separate"/>
      </w:r>
      <w:r w:rsidR="00684CFD" w:rsidRPr="00684CFD">
        <w:rPr>
          <w:noProof/>
        </w:rPr>
        <w:t>(Eisfelder, Kuenzer &amp; Dech 2012; Lu 2006)</w:t>
      </w:r>
      <w:r w:rsidR="00684CFD">
        <w:fldChar w:fldCharType="end"/>
      </w:r>
      <w:r w:rsidR="001C5A2E">
        <w:t xml:space="preserve">.  Possible sources of VHR </w:t>
      </w:r>
      <w:r w:rsidR="00996FA9">
        <w:t xml:space="preserve">imagery are commercial satellite programs such as the </w:t>
      </w:r>
      <w:proofErr w:type="spellStart"/>
      <w:r w:rsidR="00996FA9">
        <w:t>WorldView</w:t>
      </w:r>
      <w:proofErr w:type="spellEnd"/>
      <w:r w:rsidR="007841C6">
        <w:t xml:space="preserve"> series of</w:t>
      </w:r>
      <w:r w:rsidR="00996FA9">
        <w:t xml:space="preserve"> satellites operated by </w:t>
      </w:r>
      <w:proofErr w:type="spellStart"/>
      <w:proofErr w:type="gramStart"/>
      <w:r w:rsidR="00757D6B">
        <w:t>DigitalGlobe</w:t>
      </w:r>
      <w:proofErr w:type="spellEnd"/>
      <w:r w:rsidR="00CD2748">
        <w:t xml:space="preserve"> </w:t>
      </w:r>
      <w:r w:rsidR="00757D6B">
        <w:t xml:space="preserve"> or</w:t>
      </w:r>
      <w:proofErr w:type="gramEnd"/>
      <w:r w:rsidR="00757D6B">
        <w:t xml:space="preserve"> </w:t>
      </w:r>
      <w:r w:rsidR="0096120A">
        <w:t xml:space="preserve">aerial imagery from </w:t>
      </w:r>
      <w:r>
        <w:t>the Chief Directorate: National Geo-spatial information (NGI)</w:t>
      </w:r>
      <w:r w:rsidR="00757D6B">
        <w:t>.  NGI</w:t>
      </w:r>
      <w:r>
        <w:t xml:space="preserve"> routinely acquires VHR multi-spectral data with national coverage. This imagery represents a rich source of information, but to date it has only been used for topographical mapping and photo-interpretation, and has not been exploited for </w:t>
      </w:r>
      <w:r w:rsidR="00996FA9">
        <w:t>quantitative remote sensing</w:t>
      </w:r>
      <w:r>
        <w:t>.</w:t>
      </w:r>
      <w:r w:rsidR="001C5A2E">
        <w:t xml:space="preserve">  </w:t>
      </w:r>
      <w:r>
        <w:br/>
      </w:r>
      <w:r>
        <w:br/>
        <w:t xml:space="preserve">An automated or semi-automated image analysis technique that is robust to the inherent temporal, topographic and radiometric variations in VHR imagery is needed to monitor TAGC and </w:t>
      </w:r>
      <w:r w:rsidRPr="00C57F54">
        <w:rPr>
          <w:i/>
        </w:rPr>
        <w:t xml:space="preserve">P. </w:t>
      </w:r>
      <w:proofErr w:type="spellStart"/>
      <w:r w:rsidRPr="00C57F54">
        <w:rPr>
          <w:i/>
        </w:rPr>
        <w:t>afra</w:t>
      </w:r>
      <w:proofErr w:type="spellEnd"/>
      <w:r>
        <w:t xml:space="preserve"> canopy cover dynamics in the Subtropical Thicket biome.</w:t>
      </w:r>
    </w:p>
    <w:p w:rsidR="00B73B95" w:rsidRDefault="00B73B95" w:rsidP="002C632D">
      <w:pPr>
        <w:pStyle w:val="NoSpacing"/>
      </w:pPr>
    </w:p>
    <w:p w:rsidR="00C57F54" w:rsidRDefault="00101798" w:rsidP="002C632D">
      <w:pPr>
        <w:pStyle w:val="Heading1"/>
        <w:spacing w:line="240" w:lineRule="auto"/>
      </w:pPr>
      <w:r>
        <w:t>Aims and Objectives</w:t>
      </w:r>
    </w:p>
    <w:p w:rsidR="00016713" w:rsidRDefault="00101798" w:rsidP="002C632D">
      <w:pPr>
        <w:pStyle w:val="NoSpacing"/>
      </w:pPr>
      <w:r>
        <w:t xml:space="preserve">The research aim is to develop an automated or semi-automated image analysis technique to accurately estimate </w:t>
      </w:r>
      <w:r w:rsidRPr="009170B2">
        <w:rPr>
          <w:i/>
        </w:rPr>
        <w:t xml:space="preserve">P. </w:t>
      </w:r>
      <w:proofErr w:type="spellStart"/>
      <w:r w:rsidRPr="009170B2">
        <w:rPr>
          <w:i/>
        </w:rPr>
        <w:t>afra</w:t>
      </w:r>
      <w:proofErr w:type="spellEnd"/>
      <w:r>
        <w:t xml:space="preserve"> canopy cover and total above-ground carbon (TAGC) in pristine and transformed Subtropical Thicket, over large areas. </w:t>
      </w:r>
      <w:r w:rsidR="009170B2">
        <w:t xml:space="preserve"> </w:t>
      </w:r>
      <w:r>
        <w:br/>
      </w:r>
      <w:r>
        <w:br/>
        <w:t>To achieve the research aims, the following objectives have been set:</w:t>
      </w:r>
    </w:p>
    <w:p w:rsidR="00016713" w:rsidRDefault="00101798" w:rsidP="002C632D">
      <w:pPr>
        <w:pStyle w:val="ListParagraph"/>
        <w:numPr>
          <w:ilvl w:val="0"/>
          <w:numId w:val="1"/>
        </w:numPr>
        <w:spacing w:line="240" w:lineRule="auto"/>
      </w:pPr>
      <w:r>
        <w:t xml:space="preserve">Review the literature on </w:t>
      </w:r>
      <w:r w:rsidR="007841C6" w:rsidRPr="007841C6">
        <w:t>thicket</w:t>
      </w:r>
      <w:r>
        <w:t xml:space="preserve"> restoration, canopy cover and carbon stock mapping in arid environments, as well as canopy cover and carbon stock mapping using VHR imagery.</w:t>
      </w:r>
    </w:p>
    <w:p w:rsidR="00016713" w:rsidRDefault="00101798" w:rsidP="002C632D">
      <w:pPr>
        <w:pStyle w:val="ListParagraph"/>
        <w:numPr>
          <w:ilvl w:val="0"/>
          <w:numId w:val="1"/>
        </w:numPr>
        <w:spacing w:line="240" w:lineRule="auto"/>
      </w:pPr>
      <w:r>
        <w:t xml:space="preserve">Carry out a field study to establish suitable </w:t>
      </w:r>
      <w:r w:rsidR="007841C6">
        <w:t xml:space="preserve">canopy cover </w:t>
      </w:r>
      <w:r>
        <w:t>reference sites and determine the actual (ground truth) canopy cover for each site.</w:t>
      </w:r>
    </w:p>
    <w:p w:rsidR="00016713" w:rsidRDefault="00101798" w:rsidP="002C632D">
      <w:pPr>
        <w:pStyle w:val="ListParagraph"/>
        <w:numPr>
          <w:ilvl w:val="0"/>
          <w:numId w:val="1"/>
        </w:numPr>
        <w:spacing w:line="240" w:lineRule="auto"/>
      </w:pPr>
      <w:r>
        <w:lastRenderedPageBreak/>
        <w:t xml:space="preserve">Source and rectify </w:t>
      </w:r>
      <w:r w:rsidR="0001453F">
        <w:t>VHR</w:t>
      </w:r>
      <w:r>
        <w:t xml:space="preserve"> imagery of the study area. Develop a technique for radiometric correction of the </w:t>
      </w:r>
      <w:r w:rsidR="0001453F">
        <w:t>imagery</w:t>
      </w:r>
      <w:r>
        <w:t xml:space="preserve">. </w:t>
      </w:r>
    </w:p>
    <w:p w:rsidR="00016713" w:rsidRDefault="00101798" w:rsidP="002C632D">
      <w:pPr>
        <w:pStyle w:val="ListParagraph"/>
        <w:numPr>
          <w:ilvl w:val="0"/>
          <w:numId w:val="1"/>
        </w:numPr>
        <w:spacing w:line="240" w:lineRule="auto"/>
      </w:pPr>
      <w:r>
        <w:t xml:space="preserve">Design a canopy cover mapping algorithm that uses a classifier to accurately distinguish </w:t>
      </w:r>
      <w:r w:rsidRPr="00D3260E">
        <w:rPr>
          <w:i/>
        </w:rPr>
        <w:t xml:space="preserve">P. </w:t>
      </w:r>
      <w:proofErr w:type="spellStart"/>
      <w:r w:rsidRPr="00D3260E">
        <w:rPr>
          <w:i/>
        </w:rPr>
        <w:t>afra</w:t>
      </w:r>
      <w:proofErr w:type="spellEnd"/>
      <w:r>
        <w:t xml:space="preserve"> from surrounding vegetation.</w:t>
      </w:r>
    </w:p>
    <w:p w:rsidR="00016713" w:rsidRDefault="00101798" w:rsidP="002C632D">
      <w:pPr>
        <w:pStyle w:val="ListParagraph"/>
        <w:numPr>
          <w:ilvl w:val="0"/>
          <w:numId w:val="1"/>
        </w:numPr>
        <w:spacing w:line="240" w:lineRule="auto"/>
      </w:pPr>
      <w:r>
        <w:t>Apply the classifier to imagery of the study area and interpret and evaluate the results.</w:t>
      </w:r>
    </w:p>
    <w:p w:rsidR="00016713" w:rsidRDefault="00101798" w:rsidP="002C632D">
      <w:pPr>
        <w:pStyle w:val="ListParagraph"/>
        <w:numPr>
          <w:ilvl w:val="0"/>
          <w:numId w:val="1"/>
        </w:numPr>
        <w:spacing w:line="240" w:lineRule="auto"/>
      </w:pPr>
      <w:r>
        <w:t xml:space="preserve">Conduct a second field study to accurately locate the </w:t>
      </w:r>
      <w:proofErr w:type="spellStart"/>
      <w:r w:rsidR="00D3260E">
        <w:t>Baviaanskloof</w:t>
      </w:r>
      <w:proofErr w:type="spellEnd"/>
      <w:r w:rsidR="00D3260E">
        <w:t xml:space="preserve"> Nature Reserve (</w:t>
      </w:r>
      <w:r>
        <w:t>BNR</w:t>
      </w:r>
      <w:r w:rsidR="00D3260E">
        <w:t>)</w:t>
      </w:r>
      <w:r>
        <w:t xml:space="preserve"> carbon stock ground truth plots in the aerial imagery</w:t>
      </w:r>
      <w:r w:rsidR="00342955">
        <w:t xml:space="preserve"> and establish further canopy cover ground truth</w:t>
      </w:r>
      <w:r>
        <w:t>.</w:t>
      </w:r>
    </w:p>
    <w:p w:rsidR="00D3260E" w:rsidRDefault="00101798" w:rsidP="002C632D">
      <w:pPr>
        <w:pStyle w:val="ListParagraph"/>
        <w:numPr>
          <w:ilvl w:val="0"/>
          <w:numId w:val="1"/>
        </w:numPr>
        <w:spacing w:line="240" w:lineRule="auto"/>
      </w:pPr>
      <w:r>
        <w:t xml:space="preserve">Using the available BNR carbon stock ground truth, develop a regression technique to determine TAGC from </w:t>
      </w:r>
      <w:r w:rsidR="002C270E">
        <w:t>the VHR</w:t>
      </w:r>
      <w:r>
        <w:t xml:space="preserve"> imagery. </w:t>
      </w:r>
    </w:p>
    <w:p w:rsidR="00101798" w:rsidRDefault="00101798" w:rsidP="002C632D">
      <w:pPr>
        <w:pStyle w:val="ListParagraph"/>
        <w:numPr>
          <w:ilvl w:val="0"/>
          <w:numId w:val="1"/>
        </w:numPr>
        <w:spacing w:line="240" w:lineRule="auto"/>
      </w:pPr>
      <w:r>
        <w:t>Evaluate and interpret the carbon stock results.</w:t>
      </w:r>
    </w:p>
    <w:p w:rsidR="00016713" w:rsidRDefault="00016713" w:rsidP="002C632D">
      <w:pPr>
        <w:pStyle w:val="NoSpacing"/>
      </w:pPr>
    </w:p>
    <w:p w:rsidR="00603FA7" w:rsidRDefault="00603FA7" w:rsidP="002C632D">
      <w:pPr>
        <w:pStyle w:val="Heading1"/>
        <w:spacing w:line="240" w:lineRule="auto"/>
      </w:pPr>
      <w:r>
        <w:t>Methodology</w:t>
      </w:r>
    </w:p>
    <w:p w:rsidR="00971D57" w:rsidRDefault="00603FA7" w:rsidP="002C632D">
      <w:pPr>
        <w:pStyle w:val="NoSpacing"/>
      </w:pPr>
      <w:r>
        <w:t xml:space="preserve">This research investigates the use of quantitative remote sensing methods for estimating </w:t>
      </w:r>
      <w:r w:rsidRPr="00603FA7">
        <w:rPr>
          <w:i/>
        </w:rPr>
        <w:t xml:space="preserve">P. </w:t>
      </w:r>
      <w:proofErr w:type="spellStart"/>
      <w:r w:rsidRPr="00603FA7">
        <w:rPr>
          <w:i/>
        </w:rPr>
        <w:t>afra</w:t>
      </w:r>
      <w:proofErr w:type="spellEnd"/>
      <w:r>
        <w:t xml:space="preserve"> canopy cover and total above-ground carbon (TAGC) stocks in Subtropical Thicket. </w:t>
      </w:r>
      <w:r w:rsidR="008B4682">
        <w:t xml:space="preserve"> </w:t>
      </w:r>
      <w:r>
        <w:t>Remote sensing methods are common for carbon stock estimation</w:t>
      </w:r>
      <w:r w:rsidR="00CD2748">
        <w:t xml:space="preserve"> </w:t>
      </w:r>
      <w:r w:rsidR="00C73204">
        <w:fldChar w:fldCharType="begin" w:fldLock="1"/>
      </w:r>
      <w:r w:rsidR="006D27FB">
        <w:instrText>ADDIN CSL_CITATION { "citationItems" : [ { "id" : "ITEM-1", "itemData" : { "DOI" : "10.1186/1750-0680-4-2", "ISSN" : "1750-0680", "PMID" : "19320965", "abstract" : "Mapping and monitoring carbon stocks in forested regions of the world, particularly the tropics, has attracted a great deal of attention in recent years as deforestation and forest degradation account for up to 30% of anthropogenic carbon emissions, and are now included in climate change negotiations. We review the potential for satellites to measure carbon stocks, specifically aboveground biomass (AGB), and provide an overview of a range of approaches that have been developed and used to map AGB across a diverse set of conditions and geographic areas. We provide a summary of types of remote sensing measurements relevant to mapping AGB, and assess the relative merits and limitations of each. We then provide an overview of traditional techniques of mapping AGB based on ascribing field measurements to vegetation or land cover type classes, and describe the merits and limitations of those relative to recent data mining algorithms used in the context of an approach based on direct utilization of remote sensing measurements, whether optical or lidar reflectance, or radar backscatter. We conclude that while satellite remote sensing has often been discounted as inadequate for the task, attempts to map AGB without satellite imagery are insufficient. Moreover, the direct remote sensing approach provided more coherent maps of AGB relative to traditional approaches. We demonstrate this with a case study focused on continental Africa and discuss the work in the context of reducing uncertainty for carbon monitoring and markets.", "author" : [ { "dropping-particle" : "", "family" : "Goetz", "given" : "Scott J", "non-dropping-particle" : "", "parse-names" : false, "suffix" : "" }, { "dropping-particle" : "", "family" : "Baccini", "given" : "Alessandro", "non-dropping-particle" : "", "parse-names" : false, "suffix" : "" }, { "dropping-particle" : "", "family" : "Laporte", "given" : "Nadine T", "non-dropping-particle" : "", "parse-names" : false, "suffix" : "" }, { "dropping-particle" : "", "family" : "Johns", "given" : "Tracy", "non-dropping-particle" : "", "parse-names" : false, "suffix" : "" }, { "dropping-particle" : "", "family" : "Walker", "given" : "Wayne", "non-dropping-particle" : "", "parse-names" : false, "suffix" : "" }, { "dropping-particle" : "", "family" : "Kellndorfer", "given" : "Josef", "non-dropping-particle" : "", "parse-names" : false, "suffix" : "" }, { "dropping-particle" : "", "family" : "Houghton", "given" : "Richard a", "non-dropping-particle" : "", "parse-names" : false, "suffix" : "" }, { "dropping-particle" : "", "family" : "Sun", "given" : "Mindy", "non-dropping-particle" : "", "parse-names" : false, "suffix" : "" } ], "container-title" : "Carbon Balance and Management", "id" : "ITEM-1", "issue" : "2", "issued" : { "date-parts" : [ [ "2009", "1" ] ] }, "note" : "Brief and to the point summary. Mostly forest but good. Also coming from the legal prespective of reporting", "page" : "1-7", "title" : "Mapping and monitoring carbon stocks with satellite observations: a comparison of methods.", "type" : "article-journal", "volume" : "4" }, "uris" : [ "http://www.mendeley.com/documents/?uuid=dfb99693-56f5-4557-9304-399706744984" ] }, { "id" : "ITEM-2", "itemData" : { "DOI" : "10.1080/01431160500486732", "ISSN" : "0143-1161", "author" : [ { "dropping-particle" : "", "family" : "Lu", "given" : "Dengsheng", "non-dropping-particle" : "", "parse-names" : false, "suffix" : "" } ], "container-title" : "International Journal of Remote Sensing", "id" : "ITEM-2", "issue" : "7", "issued" : { "date-parts" : [ [ "2006", "4" ] ] }, "note" : "Another good summary of the value of biomass estimations and review of existing methods. Mainly for forest. Looks at VHR.\nLooks at transferability and calibration issues a little\nTalks a bit about texture\n\n\nNot thoroughly read.", "page" : "1297-1328", "title" : "The potential and challenge of remote sensing based biomass estimation", "type" : "article-journal", "volume" : "27" }, "uris" : [ "http://www.mendeley.com/documents/?uuid=d5ffc955-7f41-4292-bad0-89f8a2ea53a6" ] } ], "mendeley" : { "formattedCitation" : "(Goetz et al. 2009; Lu 2006)", "plainTextFormattedCitation" : "(Goetz et al. 2009; Lu 2006)", "previouslyFormattedCitation" : "(Goetz et al. 2009; Lu 2006)" }, "properties" : { "noteIndex" : 0 }, "schema" : "https://github.com/citation-style-language/schema/raw/master/csl-citation.json" }</w:instrText>
      </w:r>
      <w:r w:rsidR="00C73204">
        <w:fldChar w:fldCharType="separate"/>
      </w:r>
      <w:r w:rsidR="00C73204" w:rsidRPr="00C73204">
        <w:rPr>
          <w:noProof/>
        </w:rPr>
        <w:t>(Goetz et al. 2009; Lu 2006)</w:t>
      </w:r>
      <w:r w:rsidR="00C73204">
        <w:fldChar w:fldCharType="end"/>
      </w:r>
      <w:r>
        <w:t xml:space="preserve"> and will help facilitate cost-effective canopy cover and carbon stock estimation of large areas at repeated intervals. </w:t>
      </w:r>
      <w:r w:rsidR="008B4682">
        <w:t xml:space="preserve"> </w:t>
      </w:r>
      <w:r w:rsidR="006553D9">
        <w:t xml:space="preserve">Image processing, pattern recognition and non-linear regression techniques will be used to develop the mapping algorithms.  </w:t>
      </w:r>
      <w:r>
        <w:t xml:space="preserve">The work is intended to be applied research. </w:t>
      </w:r>
      <w:r w:rsidR="001E7535">
        <w:t xml:space="preserve"> </w:t>
      </w:r>
      <w:r>
        <w:t>Emphasis will be placed on producing maps that are both useful and usable.</w:t>
      </w:r>
    </w:p>
    <w:p w:rsidR="007612E4" w:rsidRDefault="007612E4" w:rsidP="002C632D">
      <w:pPr>
        <w:pStyle w:val="NoSpacing"/>
      </w:pPr>
    </w:p>
    <w:p w:rsidR="00603FA7" w:rsidRDefault="00603FA7" w:rsidP="002C632D">
      <w:pPr>
        <w:pStyle w:val="NoSpacing"/>
      </w:pPr>
      <w:r>
        <w:t>The study area is divided into two portions for the two main components of the research. The first portion is in the Little Karoo</w:t>
      </w:r>
      <w:r w:rsidR="00C73204">
        <w:t xml:space="preserve"> as defined in </w:t>
      </w:r>
      <w:r w:rsidR="00C73204">
        <w:fldChar w:fldCharType="begin" w:fldLock="1"/>
      </w:r>
      <w:r w:rsidR="00C73204">
        <w:instrText>ADDIN CSL_CITATION { "citationItems" : [ { "id" : "ITEM-1", "itemData" : { "author" : [ { "dropping-particle" : "", "family" : "Vlok", "given" : "Jan", "non-dropping-particle" : "", "parse-names" : false, "suffix" : "" }, { "dropping-particle" : "", "family" : "Cowling", "given" : "Richard M.", "non-dropping-particle" : "", "parse-names" : false, "suffix" : "" }, { "dropping-particle" : "", "family" : "Wolf", "given" : "Trevor", "non-dropping-particle" : "", "parse-names" : false, "suffix" : "" } ], "id" : "ITEM-1", "issued" : { "date-parts" : [ [ "2005" ] ] }, "note" : "Description of the various mapping levels. Ecological &amp;amp; botanical descriptions for different vegeations. Details of study area. Background to the study.", "publisher" : "Unpublished maps and report for a SKEP project supported by CEPF grant no 1064410304", "title" : "A vegetation map for the Little Karoo", "type" : "report" }, "uris" : [ "http://www.mendeley.com/documents/?uuid=2a3377c8-3cae-4d86-9b3d-137e6f265adb" ] } ], "mendeley" : { "formattedCitation" : "(Vlok, Cowling &amp; Wolf 2005)", "manualFormatting" : "Vlok, Cowling &amp; Wolf (2005", "plainTextFormattedCitation" : "(Vlok, Cowling &amp; Wolf 2005)", "previouslyFormattedCitation" : "(Vlok, Cowling &amp; Wolf 2005)" }, "properties" : { "noteIndex" : 0 }, "schema" : "https://github.com/citation-style-language/schema/raw/master/csl-citation.json" }</w:instrText>
      </w:r>
      <w:r w:rsidR="00C73204">
        <w:fldChar w:fldCharType="separate"/>
      </w:r>
      <w:r w:rsidR="00C73204" w:rsidRPr="00C73204">
        <w:rPr>
          <w:noProof/>
        </w:rPr>
        <w:t xml:space="preserve">Vlok, Cowling &amp; Wolf </w:t>
      </w:r>
      <w:r w:rsidR="00C73204">
        <w:rPr>
          <w:noProof/>
        </w:rPr>
        <w:t>(</w:t>
      </w:r>
      <w:r w:rsidR="00C73204" w:rsidRPr="00C73204">
        <w:rPr>
          <w:noProof/>
        </w:rPr>
        <w:t>2005</w:t>
      </w:r>
      <w:r w:rsidR="00C73204">
        <w:fldChar w:fldCharType="end"/>
      </w:r>
      <w:r w:rsidR="00C73204">
        <w:t>),</w:t>
      </w:r>
      <w:r w:rsidR="006553D9">
        <w:t xml:space="preserve"> which</w:t>
      </w:r>
      <w:r>
        <w:t xml:space="preserve"> will be used for testing and implementing the </w:t>
      </w:r>
      <w:r w:rsidRPr="001E7535">
        <w:rPr>
          <w:i/>
        </w:rPr>
        <w:t xml:space="preserve">P. </w:t>
      </w:r>
      <w:proofErr w:type="spellStart"/>
      <w:r w:rsidRPr="001E7535">
        <w:rPr>
          <w:i/>
        </w:rPr>
        <w:t>afra</w:t>
      </w:r>
      <w:proofErr w:type="spellEnd"/>
      <w:r>
        <w:t xml:space="preserve"> canopy cover mapping technique. </w:t>
      </w:r>
      <w:r w:rsidR="009F4A6F">
        <w:t xml:space="preserve"> </w:t>
      </w:r>
      <w:r>
        <w:t xml:space="preserve">The second portion is in the </w:t>
      </w:r>
      <w:proofErr w:type="spellStart"/>
      <w:r>
        <w:t>Baviaanskloof</w:t>
      </w:r>
      <w:proofErr w:type="spellEnd"/>
      <w:r>
        <w:t xml:space="preserve">, where </w:t>
      </w:r>
      <w:r w:rsidR="006553D9">
        <w:t>existing</w:t>
      </w:r>
      <w:r>
        <w:t xml:space="preserve"> carbon stock ground truth </w:t>
      </w:r>
      <w:r w:rsidR="00C73204">
        <w:t xml:space="preserve">of </w:t>
      </w:r>
      <w:r w:rsidR="00C73204">
        <w:fldChar w:fldCharType="begin" w:fldLock="1"/>
      </w:r>
      <w:r w:rsidR="00C73204">
        <w:instrText>ADDIN CSL_CITATION { "citationItems" : [ { "id" : "ITEM-1", "itemData" : { "author" : [ { "dropping-particle" : "", "family" : "Powell", "given" : "Michael John", "non-dropping-particle" : "", "parse-names" : false, "suffix" : "" } ], "collection-title" : "Series", "id" : "ITEM-1", "issued" : { "date-parts" : [ [ "2009" ] ] }, "note" : "with the 25 m2 and 625 m2 being the outer grid for the DST/ST and OL, respectively. The outer grid was used to employ allometry, within which 4 m2 grids were laid for sampling all herbaceous biomass, and a 0.25 m2 plot was laid out for litter sampling", "number" : "MSc. thesis", "publisher-place" : "Master's thesis. Grahamstown: Rhodes University, Department of Environmental Science", "title" : "Restoration of degraded subtropical thickets in the Baviaanskloof Megareserve, South Africa", "type" : "report" }, "uris" : [ "http://www.mendeley.com/documents/?uuid=d717f24d-d825-48c5-af2e-4f650755204e" ] } ], "mendeley" : { "formattedCitation" : "(Powell 2009)", "manualFormatting" : "Powell (2009)", "plainTextFormattedCitation" : "(Powell 2009)", "previouslyFormattedCitation" : "(Powell 2009)" }, "properties" : { "noteIndex" : 0 }, "schema" : "https://github.com/citation-style-language/schema/raw/master/csl-citation.json" }</w:instrText>
      </w:r>
      <w:r w:rsidR="00C73204">
        <w:fldChar w:fldCharType="separate"/>
      </w:r>
      <w:r w:rsidR="00C73204" w:rsidRPr="00C73204">
        <w:rPr>
          <w:noProof/>
        </w:rPr>
        <w:t xml:space="preserve">Powell </w:t>
      </w:r>
      <w:r w:rsidR="00C73204">
        <w:rPr>
          <w:noProof/>
        </w:rPr>
        <w:t>(</w:t>
      </w:r>
      <w:r w:rsidR="00C73204" w:rsidRPr="00C73204">
        <w:rPr>
          <w:noProof/>
        </w:rPr>
        <w:t>2009)</w:t>
      </w:r>
      <w:r w:rsidR="00C73204">
        <w:fldChar w:fldCharType="end"/>
      </w:r>
      <w:r w:rsidR="00C73204">
        <w:t xml:space="preserve">, </w:t>
      </w:r>
      <w:r>
        <w:t>is located. The TAGC mapping technique will be developed and applied to this data.</w:t>
      </w:r>
    </w:p>
    <w:p w:rsidR="007612E4" w:rsidRDefault="007612E4" w:rsidP="002C632D">
      <w:pPr>
        <w:pStyle w:val="NoSpacing"/>
      </w:pPr>
    </w:p>
    <w:p w:rsidR="00603FA7" w:rsidRDefault="001E7535" w:rsidP="002C632D">
      <w:pPr>
        <w:pStyle w:val="NoSpacing"/>
      </w:pPr>
      <w:r w:rsidRPr="001E7535">
        <w:t>There is a tendency for environmental remote sensing to be conducted in an isolated way that does not allocate adequate importance to understanding complex human and ecological processes affecting the data being analysed</w:t>
      </w:r>
      <w:r w:rsidR="002C0424">
        <w:t xml:space="preserve"> </w:t>
      </w:r>
      <w:r w:rsidR="002C0424">
        <w:fldChar w:fldCharType="begin" w:fldLock="1"/>
      </w:r>
      <w:r w:rsidR="0003443A">
        <w:instrText>ADDIN CSL_CITATION { "citationItems" : [ { "id" : "ITEM-1", "itemData" : { "abstract" : "Environmental analysts increasingly utilize remote sensing (RS) and geo- graphic information science (GIS) techniques to study the relationship be- tween human societies and their biophysical environment. This paper con- siders the influence these techniques have had on environmental research. Using the case of the Sahel, the paper first relates contemporary applications of RS/GIS to the history of the environmental scientific practice in the re- gion. While facilitating an expansion of spatiotemporal scales, applications of these new techniques continue the methodological failings of the past by relying on visual measures of environmental change and problematic indica- tors of human land-use pressures. The human ecologyfields (human, cultural, and political ecologies), by emphasizing the causal connections between local management and environmental change, can address the problems inherent with the spatial analytical turn in environmental science. Using the author's experience with the use of GIS in apolitical ecology study of grazing manage- ment in western Niger, ways of more closely integrating RS/GIS techniques into human ecological research are discussed.", "author" : [ { "dropping-particle" : "", "family" : "Turner", "given" : "Matthew D", "non-dropping-particle" : "", "parse-names" : false, "suffix" : "" } ], "container-title" : "Human Ecology", "id" : "ITEM-1", "issue" : "2", "issued" : { "date-parts" : [ [ "2003" ] ] }, "note" : "Questions the isolated use of remote sensing.  More to environment that what can be seen from air, specialist, field based knowledge needs to be integrated.  REFERENCE working at coarse scales is id&amp;#039;ed as one of the problems.", "page" : "255-279", "title" : "Methodological reflections on the use of remote sensing and geographic information science in human ecological research", "type" : "article-journal", "volume" : "31" }, "uris" : [ "http://www.mendeley.com/documents/?uuid=a80c3e7e-49de-420b-8c13-665280292c90" ] } ], "mendeley" : { "formattedCitation" : "(Turner 2003)", "plainTextFormattedCitation" : "(Turner 2003)", "previouslyFormattedCitation" : "(Turner 2003)" }, "properties" : { "noteIndex" : 0 }, "schema" : "https://github.com/citation-style-language/schema/raw/master/csl-citation.json" }</w:instrText>
      </w:r>
      <w:r w:rsidR="002C0424">
        <w:fldChar w:fldCharType="separate"/>
      </w:r>
      <w:r w:rsidR="007C161A" w:rsidRPr="007C161A">
        <w:rPr>
          <w:noProof/>
        </w:rPr>
        <w:t>(Turner 2003)</w:t>
      </w:r>
      <w:r w:rsidR="002C0424">
        <w:fldChar w:fldCharType="end"/>
      </w:r>
      <w:r w:rsidRPr="001E7535">
        <w:t xml:space="preserve">.  This naïve approach can lead to models that do not generalise well over varying spatial and temporal conditions.  </w:t>
      </w:r>
      <w:r>
        <w:t xml:space="preserve"> To avoid these problems, this research will be conducted in collaboration with </w:t>
      </w:r>
      <w:r w:rsidR="005007BB">
        <w:t xml:space="preserve">a </w:t>
      </w:r>
      <w:r>
        <w:t xml:space="preserve">botanist and </w:t>
      </w:r>
      <w:r w:rsidR="005007BB">
        <w:t xml:space="preserve">an </w:t>
      </w:r>
      <w:r>
        <w:t>ecologist</w:t>
      </w:r>
      <w:r w:rsidR="006553D9">
        <w:t xml:space="preserve"> </w:t>
      </w:r>
      <w:r w:rsidR="004B436A">
        <w:t xml:space="preserve">who are </w:t>
      </w:r>
      <w:r w:rsidR="00342955">
        <w:t>well-acquainted</w:t>
      </w:r>
      <w:r w:rsidR="004B436A">
        <w:t xml:space="preserve"> with</w:t>
      </w:r>
      <w:r w:rsidR="006553D9">
        <w:t xml:space="preserve"> the study areas.  These</w:t>
      </w:r>
      <w:r>
        <w:t xml:space="preserve"> </w:t>
      </w:r>
      <w:r w:rsidR="006553D9">
        <w:t>experts will</w:t>
      </w:r>
      <w:r>
        <w:t xml:space="preserve"> </w:t>
      </w:r>
      <w:r w:rsidR="004B436A">
        <w:t xml:space="preserve">provide valuable </w:t>
      </w:r>
      <w:r w:rsidR="00342955">
        <w:t>guidance</w:t>
      </w:r>
      <w:r>
        <w:t xml:space="preserve"> with</w:t>
      </w:r>
      <w:r w:rsidR="00342955">
        <w:t xml:space="preserve"> regards to</w:t>
      </w:r>
      <w:r>
        <w:t xml:space="preserve"> ground </w:t>
      </w:r>
      <w:proofErr w:type="spellStart"/>
      <w:r>
        <w:t>truthing</w:t>
      </w:r>
      <w:proofErr w:type="spellEnd"/>
      <w:r w:rsidR="004B436A">
        <w:t xml:space="preserve">, </w:t>
      </w:r>
      <w:r w:rsidR="008E54C4">
        <w:t>map production</w:t>
      </w:r>
      <w:r>
        <w:t xml:space="preserve"> and result interpretation. </w:t>
      </w:r>
    </w:p>
    <w:p w:rsidR="00603FA7" w:rsidRDefault="00603FA7" w:rsidP="002C632D">
      <w:pPr>
        <w:pStyle w:val="NoSpacing"/>
      </w:pPr>
    </w:p>
    <w:p w:rsidR="00DB02D2" w:rsidRDefault="00DB02D2" w:rsidP="007C161A">
      <w:pPr>
        <w:pStyle w:val="Heading1"/>
        <w:spacing w:line="240" w:lineRule="auto"/>
      </w:pPr>
      <w:r>
        <w:lastRenderedPageBreak/>
        <w:t>Budget</w:t>
      </w:r>
    </w:p>
    <w:p w:rsidR="00506C2B" w:rsidRPr="006F5BEB" w:rsidRDefault="00506C2B" w:rsidP="007C161A">
      <w:pPr>
        <w:pStyle w:val="Heading2"/>
        <w:spacing w:line="240" w:lineRule="auto"/>
      </w:pPr>
      <w:r>
        <w:t>Running Costs:</w:t>
      </w:r>
    </w:p>
    <w:tbl>
      <w:tblPr>
        <w:tblW w:w="9126" w:type="dxa"/>
        <w:tblLook w:val="04A0" w:firstRow="1" w:lastRow="0" w:firstColumn="1" w:lastColumn="0" w:noHBand="0" w:noVBand="1"/>
      </w:tblPr>
      <w:tblGrid>
        <w:gridCol w:w="4488"/>
        <w:gridCol w:w="844"/>
        <w:gridCol w:w="614"/>
        <w:gridCol w:w="1487"/>
        <w:gridCol w:w="1693"/>
      </w:tblGrid>
      <w:tr w:rsidR="00C47E3F" w:rsidRPr="00123CB7" w:rsidTr="00C47E3F">
        <w:trPr>
          <w:cantSplit/>
          <w:trHeight w:val="183"/>
          <w:tblHeader/>
        </w:trPr>
        <w:tc>
          <w:tcPr>
            <w:tcW w:w="4488" w:type="dxa"/>
            <w:tcBorders>
              <w:top w:val="nil"/>
              <w:left w:val="nil"/>
              <w:bottom w:val="single" w:sz="8" w:space="0" w:color="auto"/>
              <w:right w:val="nil"/>
            </w:tcBorders>
            <w:shd w:val="clear" w:color="auto" w:fill="auto"/>
            <w:noWrap/>
            <w:vAlign w:val="bottom"/>
            <w:hideMark/>
          </w:tcPr>
          <w:p w:rsidR="00123CB7" w:rsidRPr="00123CB7" w:rsidRDefault="00123CB7" w:rsidP="007C161A">
            <w:pPr>
              <w:keepNext/>
              <w:keepLines/>
              <w:spacing w:after="0" w:line="240" w:lineRule="auto"/>
              <w:rPr>
                <w:rFonts w:ascii="Arial" w:eastAsia="Times New Roman" w:hAnsi="Arial" w:cs="Arial"/>
                <w:sz w:val="16"/>
                <w:szCs w:val="20"/>
                <w:lang w:eastAsia="en-ZA"/>
              </w:rPr>
            </w:pPr>
            <w:r w:rsidRPr="00123CB7">
              <w:rPr>
                <w:rFonts w:ascii="Arial" w:eastAsia="Times New Roman" w:hAnsi="Arial" w:cs="Arial"/>
                <w:sz w:val="16"/>
                <w:szCs w:val="20"/>
                <w:lang w:eastAsia="en-ZA"/>
              </w:rPr>
              <w:t> </w:t>
            </w:r>
          </w:p>
        </w:tc>
        <w:tc>
          <w:tcPr>
            <w:tcW w:w="843" w:type="dxa"/>
            <w:tcBorders>
              <w:top w:val="nil"/>
              <w:left w:val="nil"/>
              <w:bottom w:val="single" w:sz="8" w:space="0" w:color="auto"/>
              <w:right w:val="nil"/>
            </w:tcBorders>
            <w:shd w:val="clear" w:color="auto" w:fill="auto"/>
            <w:noWrap/>
            <w:vAlign w:val="bottom"/>
            <w:hideMark/>
          </w:tcPr>
          <w:p w:rsidR="00123CB7" w:rsidRPr="00123CB7" w:rsidRDefault="00123CB7" w:rsidP="007C161A">
            <w:pPr>
              <w:keepNext/>
              <w:keepLines/>
              <w:spacing w:after="0" w:line="240" w:lineRule="auto"/>
              <w:rPr>
                <w:rFonts w:ascii="Arial" w:eastAsia="Times New Roman" w:hAnsi="Arial" w:cs="Arial"/>
                <w:sz w:val="16"/>
                <w:szCs w:val="20"/>
                <w:lang w:eastAsia="en-ZA"/>
              </w:rPr>
            </w:pPr>
            <w:r w:rsidRPr="00123CB7">
              <w:rPr>
                <w:rFonts w:ascii="Arial" w:eastAsia="Times New Roman" w:hAnsi="Arial" w:cs="Arial"/>
                <w:sz w:val="16"/>
                <w:szCs w:val="20"/>
                <w:lang w:eastAsia="en-ZA"/>
              </w:rPr>
              <w:t> </w:t>
            </w:r>
          </w:p>
        </w:tc>
        <w:tc>
          <w:tcPr>
            <w:tcW w:w="614" w:type="dxa"/>
            <w:tcBorders>
              <w:top w:val="nil"/>
              <w:left w:val="nil"/>
              <w:bottom w:val="single" w:sz="8" w:space="0" w:color="auto"/>
              <w:right w:val="nil"/>
            </w:tcBorders>
            <w:shd w:val="clear" w:color="auto" w:fill="auto"/>
            <w:noWrap/>
            <w:vAlign w:val="bottom"/>
            <w:hideMark/>
          </w:tcPr>
          <w:p w:rsidR="00123CB7" w:rsidRPr="00123CB7" w:rsidRDefault="00123CB7" w:rsidP="007C161A">
            <w:pPr>
              <w:keepNext/>
              <w:keepLines/>
              <w:spacing w:after="0" w:line="240" w:lineRule="auto"/>
              <w:rPr>
                <w:rFonts w:ascii="Arial" w:eastAsia="Times New Roman" w:hAnsi="Arial" w:cs="Arial"/>
                <w:sz w:val="16"/>
                <w:szCs w:val="20"/>
                <w:lang w:eastAsia="en-ZA"/>
              </w:rPr>
            </w:pPr>
            <w:r w:rsidRPr="00123CB7">
              <w:rPr>
                <w:rFonts w:ascii="Arial" w:eastAsia="Times New Roman" w:hAnsi="Arial" w:cs="Arial"/>
                <w:sz w:val="16"/>
                <w:szCs w:val="20"/>
                <w:lang w:eastAsia="en-ZA"/>
              </w:rPr>
              <w:t> </w:t>
            </w:r>
          </w:p>
        </w:tc>
        <w:tc>
          <w:tcPr>
            <w:tcW w:w="1487" w:type="dxa"/>
            <w:tcBorders>
              <w:top w:val="nil"/>
              <w:left w:val="nil"/>
              <w:bottom w:val="single" w:sz="8" w:space="0" w:color="auto"/>
              <w:right w:val="nil"/>
            </w:tcBorders>
            <w:shd w:val="clear" w:color="auto" w:fill="auto"/>
            <w:noWrap/>
            <w:vAlign w:val="bottom"/>
            <w:hideMark/>
          </w:tcPr>
          <w:p w:rsidR="00123CB7" w:rsidRPr="00123CB7" w:rsidRDefault="00123CB7" w:rsidP="007C161A">
            <w:pPr>
              <w:keepNext/>
              <w:keepLines/>
              <w:spacing w:after="0" w:line="240" w:lineRule="auto"/>
              <w:rPr>
                <w:rFonts w:ascii="Arial" w:eastAsia="Times New Roman" w:hAnsi="Arial" w:cs="Arial"/>
                <w:sz w:val="16"/>
                <w:szCs w:val="20"/>
                <w:lang w:eastAsia="en-ZA"/>
              </w:rPr>
            </w:pPr>
            <w:r w:rsidRPr="00123CB7">
              <w:rPr>
                <w:rFonts w:ascii="Arial" w:eastAsia="Times New Roman" w:hAnsi="Arial" w:cs="Arial"/>
                <w:sz w:val="16"/>
                <w:szCs w:val="20"/>
                <w:lang w:eastAsia="en-ZA"/>
              </w:rPr>
              <w:t> </w:t>
            </w:r>
          </w:p>
        </w:tc>
        <w:tc>
          <w:tcPr>
            <w:tcW w:w="1693" w:type="dxa"/>
            <w:tcBorders>
              <w:top w:val="nil"/>
              <w:left w:val="nil"/>
              <w:bottom w:val="single" w:sz="8" w:space="0" w:color="auto"/>
              <w:right w:val="nil"/>
            </w:tcBorders>
            <w:shd w:val="clear" w:color="auto" w:fill="auto"/>
            <w:noWrap/>
            <w:vAlign w:val="bottom"/>
            <w:hideMark/>
          </w:tcPr>
          <w:p w:rsidR="00123CB7" w:rsidRPr="00123CB7" w:rsidRDefault="00123CB7" w:rsidP="007C161A">
            <w:pPr>
              <w:keepNext/>
              <w:keepLines/>
              <w:spacing w:after="0" w:line="240" w:lineRule="auto"/>
              <w:rPr>
                <w:rFonts w:ascii="Arial" w:eastAsia="Times New Roman" w:hAnsi="Arial" w:cs="Arial"/>
                <w:sz w:val="16"/>
                <w:szCs w:val="20"/>
                <w:lang w:eastAsia="en-ZA"/>
              </w:rPr>
            </w:pPr>
            <w:r w:rsidRPr="00123CB7">
              <w:rPr>
                <w:rFonts w:ascii="Arial" w:eastAsia="Times New Roman" w:hAnsi="Arial" w:cs="Arial"/>
                <w:sz w:val="16"/>
                <w:szCs w:val="20"/>
                <w:lang w:eastAsia="en-ZA"/>
              </w:rPr>
              <w:t> </w:t>
            </w:r>
          </w:p>
        </w:tc>
      </w:tr>
      <w:tr w:rsidR="00C47E3F" w:rsidRPr="00123CB7" w:rsidTr="00C47E3F">
        <w:trPr>
          <w:cantSplit/>
          <w:trHeight w:val="266"/>
          <w:tblHeader/>
        </w:trPr>
        <w:tc>
          <w:tcPr>
            <w:tcW w:w="5332" w:type="dxa"/>
            <w:gridSpan w:val="2"/>
            <w:tcBorders>
              <w:top w:val="single" w:sz="8" w:space="0" w:color="auto"/>
              <w:left w:val="single" w:sz="4" w:space="0" w:color="auto"/>
              <w:bottom w:val="single" w:sz="4" w:space="0" w:color="auto"/>
              <w:right w:val="single" w:sz="4" w:space="0" w:color="000000"/>
            </w:tcBorders>
            <w:shd w:val="clear" w:color="auto" w:fill="auto"/>
            <w:noWrap/>
            <w:vAlign w:val="center"/>
            <w:hideMark/>
          </w:tcPr>
          <w:p w:rsidR="00123CB7" w:rsidRPr="00123CB7" w:rsidRDefault="00123CB7" w:rsidP="007C161A">
            <w:pPr>
              <w:keepNext/>
              <w:keepLines/>
              <w:spacing w:after="0" w:line="240" w:lineRule="auto"/>
              <w:jc w:val="center"/>
              <w:rPr>
                <w:rFonts w:ascii="Arial" w:eastAsia="Times New Roman" w:hAnsi="Arial" w:cs="Arial"/>
                <w:b/>
                <w:bCs/>
                <w:sz w:val="16"/>
                <w:szCs w:val="20"/>
                <w:lang w:eastAsia="en-ZA"/>
              </w:rPr>
            </w:pPr>
            <w:r w:rsidRPr="00123CB7">
              <w:rPr>
                <w:rFonts w:ascii="Arial" w:eastAsia="Times New Roman" w:hAnsi="Arial" w:cs="Arial"/>
                <w:b/>
                <w:bCs/>
                <w:sz w:val="16"/>
                <w:szCs w:val="20"/>
                <w:lang w:eastAsia="en-ZA"/>
              </w:rPr>
              <w:t>Description</w:t>
            </w:r>
          </w:p>
        </w:tc>
        <w:tc>
          <w:tcPr>
            <w:tcW w:w="614" w:type="dxa"/>
            <w:tcBorders>
              <w:top w:val="nil"/>
              <w:left w:val="nil"/>
              <w:bottom w:val="single" w:sz="4" w:space="0" w:color="auto"/>
              <w:right w:val="single" w:sz="4" w:space="0" w:color="auto"/>
            </w:tcBorders>
            <w:shd w:val="clear" w:color="auto" w:fill="auto"/>
            <w:noWrap/>
            <w:vAlign w:val="center"/>
            <w:hideMark/>
          </w:tcPr>
          <w:p w:rsidR="00123CB7" w:rsidRPr="00123CB7" w:rsidRDefault="00123CB7" w:rsidP="007C161A">
            <w:pPr>
              <w:keepNext/>
              <w:keepLines/>
              <w:spacing w:after="0" w:line="240" w:lineRule="auto"/>
              <w:rPr>
                <w:rFonts w:ascii="Arial" w:eastAsia="Times New Roman" w:hAnsi="Arial" w:cs="Arial"/>
                <w:b/>
                <w:bCs/>
                <w:sz w:val="16"/>
                <w:szCs w:val="20"/>
                <w:lang w:eastAsia="en-ZA"/>
              </w:rPr>
            </w:pPr>
            <w:proofErr w:type="spellStart"/>
            <w:r w:rsidRPr="00123CB7">
              <w:rPr>
                <w:rFonts w:ascii="Arial" w:eastAsia="Times New Roman" w:hAnsi="Arial" w:cs="Arial"/>
                <w:b/>
                <w:bCs/>
                <w:sz w:val="16"/>
                <w:szCs w:val="20"/>
                <w:lang w:eastAsia="en-ZA"/>
              </w:rPr>
              <w:t>Qty</w:t>
            </w:r>
            <w:proofErr w:type="spellEnd"/>
          </w:p>
        </w:tc>
        <w:tc>
          <w:tcPr>
            <w:tcW w:w="1487" w:type="dxa"/>
            <w:tcBorders>
              <w:top w:val="nil"/>
              <w:left w:val="nil"/>
              <w:bottom w:val="single" w:sz="4" w:space="0" w:color="auto"/>
              <w:right w:val="single" w:sz="4" w:space="0" w:color="auto"/>
            </w:tcBorders>
            <w:shd w:val="clear" w:color="auto" w:fill="auto"/>
            <w:noWrap/>
            <w:vAlign w:val="center"/>
            <w:hideMark/>
          </w:tcPr>
          <w:p w:rsidR="00123CB7" w:rsidRPr="00123CB7" w:rsidRDefault="00123CB7" w:rsidP="007C161A">
            <w:pPr>
              <w:keepNext/>
              <w:keepLines/>
              <w:spacing w:after="0" w:line="240" w:lineRule="auto"/>
              <w:rPr>
                <w:rFonts w:ascii="Arial" w:eastAsia="Times New Roman" w:hAnsi="Arial" w:cs="Arial"/>
                <w:b/>
                <w:bCs/>
                <w:sz w:val="16"/>
                <w:szCs w:val="20"/>
                <w:lang w:eastAsia="en-ZA"/>
              </w:rPr>
            </w:pPr>
            <w:r w:rsidRPr="00123CB7">
              <w:rPr>
                <w:rFonts w:ascii="Arial" w:eastAsia="Times New Roman" w:hAnsi="Arial" w:cs="Arial"/>
                <w:b/>
                <w:bCs/>
                <w:sz w:val="16"/>
                <w:szCs w:val="20"/>
                <w:lang w:eastAsia="en-ZA"/>
              </w:rPr>
              <w:t>Unit Cost (USD)</w:t>
            </w:r>
          </w:p>
        </w:tc>
        <w:tc>
          <w:tcPr>
            <w:tcW w:w="1693" w:type="dxa"/>
            <w:tcBorders>
              <w:top w:val="nil"/>
              <w:left w:val="nil"/>
              <w:bottom w:val="single" w:sz="4" w:space="0" w:color="auto"/>
              <w:right w:val="single" w:sz="4" w:space="0" w:color="auto"/>
            </w:tcBorders>
            <w:shd w:val="clear" w:color="auto" w:fill="auto"/>
            <w:noWrap/>
            <w:vAlign w:val="center"/>
            <w:hideMark/>
          </w:tcPr>
          <w:p w:rsidR="00123CB7" w:rsidRPr="00123CB7" w:rsidRDefault="00123CB7" w:rsidP="007C161A">
            <w:pPr>
              <w:keepNext/>
              <w:keepLines/>
              <w:spacing w:after="0" w:line="240" w:lineRule="auto"/>
              <w:jc w:val="center"/>
              <w:rPr>
                <w:rFonts w:ascii="Arial" w:eastAsia="Times New Roman" w:hAnsi="Arial" w:cs="Arial"/>
                <w:b/>
                <w:bCs/>
                <w:sz w:val="16"/>
                <w:szCs w:val="20"/>
                <w:lang w:eastAsia="en-ZA"/>
              </w:rPr>
            </w:pPr>
            <w:r w:rsidRPr="00123CB7">
              <w:rPr>
                <w:rFonts w:ascii="Arial" w:eastAsia="Times New Roman" w:hAnsi="Arial" w:cs="Arial"/>
                <w:b/>
                <w:bCs/>
                <w:sz w:val="16"/>
                <w:szCs w:val="20"/>
                <w:lang w:eastAsia="en-ZA"/>
              </w:rPr>
              <w:t>Amount (USD)</w:t>
            </w:r>
          </w:p>
        </w:tc>
      </w:tr>
      <w:tr w:rsidR="00C47E3F" w:rsidRPr="00123CB7" w:rsidTr="00C47E3F">
        <w:trPr>
          <w:cantSplit/>
          <w:trHeight w:val="266"/>
          <w:tblHeader/>
        </w:trPr>
        <w:tc>
          <w:tcPr>
            <w:tcW w:w="4488" w:type="dxa"/>
            <w:tcBorders>
              <w:top w:val="nil"/>
              <w:left w:val="single" w:sz="4" w:space="0" w:color="auto"/>
              <w:bottom w:val="nil"/>
              <w:right w:val="nil"/>
            </w:tcBorders>
            <w:shd w:val="clear" w:color="auto" w:fill="auto"/>
            <w:noWrap/>
            <w:vAlign w:val="center"/>
            <w:hideMark/>
          </w:tcPr>
          <w:p w:rsidR="00123CB7" w:rsidRPr="00123CB7" w:rsidRDefault="00123CB7" w:rsidP="007C161A">
            <w:pPr>
              <w:keepNext/>
              <w:keepLines/>
              <w:spacing w:after="0" w:line="240" w:lineRule="auto"/>
              <w:rPr>
                <w:rFonts w:ascii="Arial" w:eastAsia="Times New Roman" w:hAnsi="Arial" w:cs="Arial"/>
                <w:sz w:val="16"/>
                <w:szCs w:val="20"/>
                <w:lang w:eastAsia="en-ZA"/>
              </w:rPr>
            </w:pPr>
            <w:r w:rsidRPr="00123CB7">
              <w:rPr>
                <w:rFonts w:ascii="Arial" w:eastAsia="Times New Roman" w:hAnsi="Arial" w:cs="Arial"/>
                <w:sz w:val="16"/>
                <w:szCs w:val="20"/>
                <w:lang w:eastAsia="en-ZA"/>
              </w:rPr>
              <w:t>Field trip</w:t>
            </w:r>
          </w:p>
        </w:tc>
        <w:tc>
          <w:tcPr>
            <w:tcW w:w="843" w:type="dxa"/>
            <w:tcBorders>
              <w:top w:val="nil"/>
              <w:left w:val="nil"/>
              <w:bottom w:val="nil"/>
              <w:right w:val="single" w:sz="4" w:space="0" w:color="auto"/>
            </w:tcBorders>
            <w:shd w:val="clear" w:color="auto" w:fill="auto"/>
            <w:noWrap/>
            <w:vAlign w:val="center"/>
            <w:hideMark/>
          </w:tcPr>
          <w:p w:rsidR="00123CB7" w:rsidRPr="00123CB7" w:rsidRDefault="00123CB7" w:rsidP="007C161A">
            <w:pPr>
              <w:keepNext/>
              <w:keepLines/>
              <w:spacing w:after="0" w:line="240" w:lineRule="auto"/>
              <w:rPr>
                <w:rFonts w:ascii="Arial" w:eastAsia="Times New Roman" w:hAnsi="Arial" w:cs="Arial"/>
                <w:sz w:val="16"/>
                <w:szCs w:val="20"/>
                <w:lang w:eastAsia="en-ZA"/>
              </w:rPr>
            </w:pPr>
            <w:r w:rsidRPr="00123CB7">
              <w:rPr>
                <w:rFonts w:ascii="Arial" w:eastAsia="Times New Roman" w:hAnsi="Arial" w:cs="Arial"/>
                <w:sz w:val="16"/>
                <w:szCs w:val="20"/>
                <w:lang w:eastAsia="en-ZA"/>
              </w:rPr>
              <w:t> </w:t>
            </w:r>
          </w:p>
        </w:tc>
        <w:tc>
          <w:tcPr>
            <w:tcW w:w="614" w:type="dxa"/>
            <w:tcBorders>
              <w:top w:val="nil"/>
              <w:left w:val="nil"/>
              <w:bottom w:val="nil"/>
              <w:right w:val="single" w:sz="4" w:space="0" w:color="auto"/>
            </w:tcBorders>
            <w:shd w:val="clear" w:color="auto" w:fill="auto"/>
            <w:noWrap/>
            <w:vAlign w:val="center"/>
            <w:hideMark/>
          </w:tcPr>
          <w:p w:rsidR="00123CB7" w:rsidRPr="00123CB7" w:rsidRDefault="00123CB7" w:rsidP="007C161A">
            <w:pPr>
              <w:keepNext/>
              <w:keepLines/>
              <w:spacing w:after="0" w:line="240" w:lineRule="auto"/>
              <w:jc w:val="right"/>
              <w:rPr>
                <w:rFonts w:ascii="Arial" w:eastAsia="Times New Roman" w:hAnsi="Arial" w:cs="Arial"/>
                <w:sz w:val="16"/>
                <w:szCs w:val="20"/>
                <w:lang w:eastAsia="en-ZA"/>
              </w:rPr>
            </w:pPr>
            <w:r w:rsidRPr="00123CB7">
              <w:rPr>
                <w:rFonts w:ascii="Arial" w:eastAsia="Times New Roman" w:hAnsi="Arial" w:cs="Arial"/>
                <w:sz w:val="16"/>
                <w:szCs w:val="20"/>
                <w:lang w:eastAsia="en-ZA"/>
              </w:rPr>
              <w:t> </w:t>
            </w:r>
          </w:p>
        </w:tc>
        <w:tc>
          <w:tcPr>
            <w:tcW w:w="1487" w:type="dxa"/>
            <w:tcBorders>
              <w:top w:val="nil"/>
              <w:left w:val="nil"/>
              <w:bottom w:val="nil"/>
              <w:right w:val="single" w:sz="4" w:space="0" w:color="auto"/>
            </w:tcBorders>
            <w:shd w:val="clear" w:color="auto" w:fill="auto"/>
            <w:noWrap/>
            <w:vAlign w:val="center"/>
            <w:hideMark/>
          </w:tcPr>
          <w:p w:rsidR="00123CB7" w:rsidRPr="00123CB7" w:rsidRDefault="00123CB7" w:rsidP="007C161A">
            <w:pPr>
              <w:keepNext/>
              <w:keepLines/>
              <w:spacing w:after="0" w:line="240" w:lineRule="auto"/>
              <w:jc w:val="center"/>
              <w:rPr>
                <w:rFonts w:ascii="Arial" w:eastAsia="Times New Roman" w:hAnsi="Arial" w:cs="Arial"/>
                <w:sz w:val="16"/>
                <w:szCs w:val="20"/>
                <w:lang w:eastAsia="en-ZA"/>
              </w:rPr>
            </w:pPr>
            <w:r w:rsidRPr="00123CB7">
              <w:rPr>
                <w:rFonts w:ascii="Arial" w:eastAsia="Times New Roman" w:hAnsi="Arial" w:cs="Arial"/>
                <w:sz w:val="16"/>
                <w:szCs w:val="20"/>
                <w:lang w:eastAsia="en-ZA"/>
              </w:rPr>
              <w:t> </w:t>
            </w:r>
          </w:p>
        </w:tc>
        <w:tc>
          <w:tcPr>
            <w:tcW w:w="1693" w:type="dxa"/>
            <w:tcBorders>
              <w:top w:val="nil"/>
              <w:left w:val="nil"/>
              <w:bottom w:val="nil"/>
              <w:right w:val="single" w:sz="4" w:space="0" w:color="auto"/>
            </w:tcBorders>
            <w:shd w:val="clear" w:color="auto" w:fill="auto"/>
            <w:noWrap/>
            <w:vAlign w:val="center"/>
            <w:hideMark/>
          </w:tcPr>
          <w:p w:rsidR="00123CB7" w:rsidRPr="00123CB7" w:rsidRDefault="00123CB7" w:rsidP="007C161A">
            <w:pPr>
              <w:keepNext/>
              <w:keepLines/>
              <w:spacing w:after="0" w:line="240" w:lineRule="auto"/>
              <w:jc w:val="center"/>
              <w:rPr>
                <w:rFonts w:ascii="Arial" w:eastAsia="Times New Roman" w:hAnsi="Arial" w:cs="Arial"/>
                <w:sz w:val="16"/>
                <w:szCs w:val="20"/>
                <w:lang w:eastAsia="en-ZA"/>
              </w:rPr>
            </w:pPr>
            <w:r w:rsidRPr="00123CB7">
              <w:rPr>
                <w:rFonts w:ascii="Arial" w:eastAsia="Times New Roman" w:hAnsi="Arial" w:cs="Arial"/>
                <w:sz w:val="16"/>
                <w:szCs w:val="20"/>
                <w:lang w:eastAsia="en-ZA"/>
              </w:rPr>
              <w:t> </w:t>
            </w:r>
          </w:p>
        </w:tc>
      </w:tr>
      <w:tr w:rsidR="00C47E3F" w:rsidRPr="00123CB7" w:rsidTr="00C47E3F">
        <w:trPr>
          <w:cantSplit/>
          <w:trHeight w:val="266"/>
          <w:tblHeader/>
        </w:trPr>
        <w:tc>
          <w:tcPr>
            <w:tcW w:w="4488" w:type="dxa"/>
            <w:tcBorders>
              <w:top w:val="nil"/>
              <w:left w:val="single" w:sz="4" w:space="0" w:color="auto"/>
              <w:bottom w:val="nil"/>
              <w:right w:val="nil"/>
            </w:tcBorders>
            <w:shd w:val="clear" w:color="auto" w:fill="auto"/>
            <w:noWrap/>
            <w:vAlign w:val="center"/>
            <w:hideMark/>
          </w:tcPr>
          <w:p w:rsidR="00123CB7" w:rsidRPr="00123CB7" w:rsidRDefault="00123CB7" w:rsidP="007C161A">
            <w:pPr>
              <w:keepNext/>
              <w:keepLines/>
              <w:spacing w:after="0" w:line="240" w:lineRule="auto"/>
              <w:ind w:firstLineChars="200" w:firstLine="320"/>
              <w:rPr>
                <w:rFonts w:ascii="Arial" w:eastAsia="Times New Roman" w:hAnsi="Arial" w:cs="Arial"/>
                <w:sz w:val="16"/>
                <w:szCs w:val="20"/>
                <w:lang w:eastAsia="en-ZA"/>
              </w:rPr>
            </w:pPr>
            <w:r w:rsidRPr="00123CB7">
              <w:rPr>
                <w:rFonts w:ascii="Arial" w:eastAsia="Times New Roman" w:hAnsi="Arial" w:cs="Arial"/>
                <w:sz w:val="16"/>
                <w:szCs w:val="20"/>
                <w:lang w:eastAsia="en-ZA"/>
              </w:rPr>
              <w:t>Travel costs (1500km @ $0.10/km)</w:t>
            </w:r>
          </w:p>
        </w:tc>
        <w:tc>
          <w:tcPr>
            <w:tcW w:w="843" w:type="dxa"/>
            <w:tcBorders>
              <w:top w:val="nil"/>
              <w:left w:val="nil"/>
              <w:bottom w:val="nil"/>
              <w:right w:val="single" w:sz="4" w:space="0" w:color="auto"/>
            </w:tcBorders>
            <w:shd w:val="clear" w:color="auto" w:fill="auto"/>
            <w:noWrap/>
            <w:vAlign w:val="center"/>
            <w:hideMark/>
          </w:tcPr>
          <w:p w:rsidR="00123CB7" w:rsidRPr="00123CB7" w:rsidRDefault="00123CB7" w:rsidP="007C161A">
            <w:pPr>
              <w:keepNext/>
              <w:keepLines/>
              <w:spacing w:after="0" w:line="240" w:lineRule="auto"/>
              <w:rPr>
                <w:rFonts w:ascii="Arial" w:eastAsia="Times New Roman" w:hAnsi="Arial" w:cs="Arial"/>
                <w:sz w:val="16"/>
                <w:szCs w:val="20"/>
                <w:lang w:eastAsia="en-ZA"/>
              </w:rPr>
            </w:pPr>
            <w:r w:rsidRPr="00123CB7">
              <w:rPr>
                <w:rFonts w:ascii="Arial" w:eastAsia="Times New Roman" w:hAnsi="Arial" w:cs="Arial"/>
                <w:sz w:val="16"/>
                <w:szCs w:val="20"/>
                <w:lang w:eastAsia="en-ZA"/>
              </w:rPr>
              <w:t> </w:t>
            </w:r>
          </w:p>
        </w:tc>
        <w:tc>
          <w:tcPr>
            <w:tcW w:w="614" w:type="dxa"/>
            <w:tcBorders>
              <w:top w:val="nil"/>
              <w:left w:val="nil"/>
              <w:bottom w:val="nil"/>
              <w:right w:val="single" w:sz="4" w:space="0" w:color="auto"/>
            </w:tcBorders>
            <w:shd w:val="clear" w:color="auto" w:fill="auto"/>
            <w:noWrap/>
            <w:vAlign w:val="center"/>
            <w:hideMark/>
          </w:tcPr>
          <w:p w:rsidR="00123CB7" w:rsidRPr="00123CB7" w:rsidRDefault="00123CB7" w:rsidP="007C161A">
            <w:pPr>
              <w:keepNext/>
              <w:keepLines/>
              <w:spacing w:after="0" w:line="240" w:lineRule="auto"/>
              <w:jc w:val="right"/>
              <w:rPr>
                <w:rFonts w:ascii="Arial" w:eastAsia="Times New Roman" w:hAnsi="Arial" w:cs="Arial"/>
                <w:sz w:val="16"/>
                <w:szCs w:val="20"/>
                <w:lang w:eastAsia="en-ZA"/>
              </w:rPr>
            </w:pPr>
            <w:r w:rsidRPr="00123CB7">
              <w:rPr>
                <w:rFonts w:ascii="Arial" w:eastAsia="Times New Roman" w:hAnsi="Arial" w:cs="Arial"/>
                <w:sz w:val="16"/>
                <w:szCs w:val="20"/>
                <w:lang w:eastAsia="en-ZA"/>
              </w:rPr>
              <w:t>1500</w:t>
            </w:r>
          </w:p>
        </w:tc>
        <w:tc>
          <w:tcPr>
            <w:tcW w:w="1487" w:type="dxa"/>
            <w:tcBorders>
              <w:top w:val="nil"/>
              <w:left w:val="nil"/>
              <w:bottom w:val="nil"/>
              <w:right w:val="single" w:sz="4" w:space="0" w:color="auto"/>
            </w:tcBorders>
            <w:shd w:val="clear" w:color="auto" w:fill="auto"/>
            <w:noWrap/>
            <w:vAlign w:val="center"/>
            <w:hideMark/>
          </w:tcPr>
          <w:p w:rsidR="00123CB7" w:rsidRPr="00123CB7" w:rsidRDefault="00123CB7" w:rsidP="007C161A">
            <w:pPr>
              <w:keepNext/>
              <w:keepLines/>
              <w:spacing w:after="0" w:line="240" w:lineRule="auto"/>
              <w:jc w:val="center"/>
              <w:rPr>
                <w:rFonts w:ascii="Arial" w:eastAsia="Times New Roman" w:hAnsi="Arial" w:cs="Arial"/>
                <w:sz w:val="16"/>
                <w:szCs w:val="20"/>
                <w:lang w:eastAsia="en-ZA"/>
              </w:rPr>
            </w:pPr>
            <w:r w:rsidRPr="00123CB7">
              <w:rPr>
                <w:rFonts w:ascii="Arial" w:eastAsia="Times New Roman" w:hAnsi="Arial" w:cs="Arial"/>
                <w:sz w:val="16"/>
                <w:szCs w:val="20"/>
                <w:lang w:eastAsia="en-ZA"/>
              </w:rPr>
              <w:t xml:space="preserve"> $              0.10 </w:t>
            </w:r>
          </w:p>
        </w:tc>
        <w:tc>
          <w:tcPr>
            <w:tcW w:w="1693" w:type="dxa"/>
            <w:tcBorders>
              <w:top w:val="nil"/>
              <w:left w:val="nil"/>
              <w:bottom w:val="nil"/>
              <w:right w:val="single" w:sz="4" w:space="0" w:color="auto"/>
            </w:tcBorders>
            <w:shd w:val="clear" w:color="auto" w:fill="auto"/>
            <w:noWrap/>
            <w:vAlign w:val="center"/>
            <w:hideMark/>
          </w:tcPr>
          <w:p w:rsidR="00123CB7" w:rsidRPr="00123CB7" w:rsidRDefault="00123CB7" w:rsidP="007C161A">
            <w:pPr>
              <w:keepNext/>
              <w:keepLines/>
              <w:spacing w:after="0" w:line="240" w:lineRule="auto"/>
              <w:jc w:val="center"/>
              <w:rPr>
                <w:rFonts w:ascii="Arial" w:eastAsia="Times New Roman" w:hAnsi="Arial" w:cs="Arial"/>
                <w:sz w:val="16"/>
                <w:szCs w:val="20"/>
                <w:lang w:eastAsia="en-ZA"/>
              </w:rPr>
            </w:pPr>
            <w:r w:rsidRPr="00123CB7">
              <w:rPr>
                <w:rFonts w:ascii="Arial" w:eastAsia="Times New Roman" w:hAnsi="Arial" w:cs="Arial"/>
                <w:sz w:val="16"/>
                <w:szCs w:val="20"/>
                <w:lang w:eastAsia="en-ZA"/>
              </w:rPr>
              <w:t xml:space="preserve"> $           143.12 </w:t>
            </w:r>
          </w:p>
        </w:tc>
      </w:tr>
      <w:tr w:rsidR="00C47E3F" w:rsidRPr="00123CB7" w:rsidTr="00C47E3F">
        <w:trPr>
          <w:cantSplit/>
          <w:trHeight w:val="266"/>
          <w:tblHeader/>
        </w:trPr>
        <w:tc>
          <w:tcPr>
            <w:tcW w:w="4488" w:type="dxa"/>
            <w:tcBorders>
              <w:top w:val="nil"/>
              <w:left w:val="single" w:sz="4" w:space="0" w:color="auto"/>
              <w:bottom w:val="nil"/>
              <w:right w:val="nil"/>
            </w:tcBorders>
            <w:shd w:val="clear" w:color="auto" w:fill="auto"/>
            <w:noWrap/>
            <w:vAlign w:val="center"/>
            <w:hideMark/>
          </w:tcPr>
          <w:p w:rsidR="00123CB7" w:rsidRPr="00123CB7" w:rsidRDefault="00123CB7" w:rsidP="007C161A">
            <w:pPr>
              <w:keepNext/>
              <w:keepLines/>
              <w:spacing w:after="0" w:line="240" w:lineRule="auto"/>
              <w:ind w:firstLineChars="200" w:firstLine="320"/>
              <w:rPr>
                <w:rFonts w:ascii="Arial" w:eastAsia="Times New Roman" w:hAnsi="Arial" w:cs="Arial"/>
                <w:sz w:val="16"/>
                <w:szCs w:val="20"/>
                <w:lang w:eastAsia="en-ZA"/>
              </w:rPr>
            </w:pPr>
            <w:r w:rsidRPr="00123CB7">
              <w:rPr>
                <w:rFonts w:ascii="Arial" w:eastAsia="Times New Roman" w:hAnsi="Arial" w:cs="Arial"/>
                <w:sz w:val="16"/>
                <w:szCs w:val="20"/>
                <w:lang w:eastAsia="en-ZA"/>
              </w:rPr>
              <w:t>Food &amp; accommodation (21 nights)</w:t>
            </w:r>
          </w:p>
        </w:tc>
        <w:tc>
          <w:tcPr>
            <w:tcW w:w="843" w:type="dxa"/>
            <w:tcBorders>
              <w:top w:val="nil"/>
              <w:left w:val="nil"/>
              <w:bottom w:val="nil"/>
              <w:right w:val="single" w:sz="4" w:space="0" w:color="auto"/>
            </w:tcBorders>
            <w:shd w:val="clear" w:color="auto" w:fill="auto"/>
            <w:noWrap/>
            <w:vAlign w:val="center"/>
            <w:hideMark/>
          </w:tcPr>
          <w:p w:rsidR="00123CB7" w:rsidRPr="00123CB7" w:rsidRDefault="00123CB7" w:rsidP="007C161A">
            <w:pPr>
              <w:keepNext/>
              <w:keepLines/>
              <w:spacing w:after="0" w:line="240" w:lineRule="auto"/>
              <w:rPr>
                <w:rFonts w:ascii="Arial" w:eastAsia="Times New Roman" w:hAnsi="Arial" w:cs="Arial"/>
                <w:sz w:val="16"/>
                <w:szCs w:val="20"/>
                <w:lang w:eastAsia="en-ZA"/>
              </w:rPr>
            </w:pPr>
            <w:r w:rsidRPr="00123CB7">
              <w:rPr>
                <w:rFonts w:ascii="Arial" w:eastAsia="Times New Roman" w:hAnsi="Arial" w:cs="Arial"/>
                <w:sz w:val="16"/>
                <w:szCs w:val="20"/>
                <w:lang w:eastAsia="en-ZA"/>
              </w:rPr>
              <w:t> </w:t>
            </w:r>
          </w:p>
        </w:tc>
        <w:tc>
          <w:tcPr>
            <w:tcW w:w="614" w:type="dxa"/>
            <w:tcBorders>
              <w:top w:val="nil"/>
              <w:left w:val="nil"/>
              <w:bottom w:val="nil"/>
              <w:right w:val="single" w:sz="4" w:space="0" w:color="auto"/>
            </w:tcBorders>
            <w:shd w:val="clear" w:color="auto" w:fill="auto"/>
            <w:noWrap/>
            <w:vAlign w:val="center"/>
            <w:hideMark/>
          </w:tcPr>
          <w:p w:rsidR="00123CB7" w:rsidRPr="00123CB7" w:rsidRDefault="00123CB7" w:rsidP="007C161A">
            <w:pPr>
              <w:keepNext/>
              <w:keepLines/>
              <w:spacing w:after="0" w:line="240" w:lineRule="auto"/>
              <w:jc w:val="right"/>
              <w:rPr>
                <w:rFonts w:ascii="Arial" w:eastAsia="Times New Roman" w:hAnsi="Arial" w:cs="Arial"/>
                <w:sz w:val="16"/>
                <w:szCs w:val="20"/>
                <w:lang w:eastAsia="en-ZA"/>
              </w:rPr>
            </w:pPr>
            <w:r w:rsidRPr="00123CB7">
              <w:rPr>
                <w:rFonts w:ascii="Arial" w:eastAsia="Times New Roman" w:hAnsi="Arial" w:cs="Arial"/>
                <w:sz w:val="16"/>
                <w:szCs w:val="20"/>
                <w:lang w:eastAsia="en-ZA"/>
              </w:rPr>
              <w:t>21</w:t>
            </w:r>
          </w:p>
        </w:tc>
        <w:tc>
          <w:tcPr>
            <w:tcW w:w="1487" w:type="dxa"/>
            <w:tcBorders>
              <w:top w:val="nil"/>
              <w:left w:val="nil"/>
              <w:bottom w:val="nil"/>
              <w:right w:val="single" w:sz="4" w:space="0" w:color="auto"/>
            </w:tcBorders>
            <w:shd w:val="clear" w:color="auto" w:fill="auto"/>
            <w:noWrap/>
            <w:vAlign w:val="center"/>
            <w:hideMark/>
          </w:tcPr>
          <w:p w:rsidR="00123CB7" w:rsidRPr="00123CB7" w:rsidRDefault="00123CB7" w:rsidP="007C161A">
            <w:pPr>
              <w:keepNext/>
              <w:keepLines/>
              <w:spacing w:after="0" w:line="240" w:lineRule="auto"/>
              <w:jc w:val="center"/>
              <w:rPr>
                <w:rFonts w:ascii="Arial" w:eastAsia="Times New Roman" w:hAnsi="Arial" w:cs="Arial"/>
                <w:sz w:val="16"/>
                <w:szCs w:val="20"/>
                <w:lang w:eastAsia="en-ZA"/>
              </w:rPr>
            </w:pPr>
            <w:r w:rsidRPr="00123CB7">
              <w:rPr>
                <w:rFonts w:ascii="Arial" w:eastAsia="Times New Roman" w:hAnsi="Arial" w:cs="Arial"/>
                <w:sz w:val="16"/>
                <w:szCs w:val="20"/>
                <w:lang w:eastAsia="en-ZA"/>
              </w:rPr>
              <w:t xml:space="preserve"> $            22.97 </w:t>
            </w:r>
          </w:p>
        </w:tc>
        <w:tc>
          <w:tcPr>
            <w:tcW w:w="1693" w:type="dxa"/>
            <w:tcBorders>
              <w:top w:val="nil"/>
              <w:left w:val="nil"/>
              <w:bottom w:val="nil"/>
              <w:right w:val="single" w:sz="4" w:space="0" w:color="auto"/>
            </w:tcBorders>
            <w:shd w:val="clear" w:color="auto" w:fill="auto"/>
            <w:noWrap/>
            <w:vAlign w:val="center"/>
            <w:hideMark/>
          </w:tcPr>
          <w:p w:rsidR="00123CB7" w:rsidRPr="00123CB7" w:rsidRDefault="00123CB7" w:rsidP="007C161A">
            <w:pPr>
              <w:keepNext/>
              <w:keepLines/>
              <w:spacing w:after="0" w:line="240" w:lineRule="auto"/>
              <w:jc w:val="center"/>
              <w:rPr>
                <w:rFonts w:ascii="Arial" w:eastAsia="Times New Roman" w:hAnsi="Arial" w:cs="Arial"/>
                <w:sz w:val="16"/>
                <w:szCs w:val="20"/>
                <w:lang w:eastAsia="en-ZA"/>
              </w:rPr>
            </w:pPr>
            <w:r w:rsidRPr="00123CB7">
              <w:rPr>
                <w:rFonts w:ascii="Arial" w:eastAsia="Times New Roman" w:hAnsi="Arial" w:cs="Arial"/>
                <w:sz w:val="16"/>
                <w:szCs w:val="20"/>
                <w:lang w:eastAsia="en-ZA"/>
              </w:rPr>
              <w:t xml:space="preserve"> $           482.44 </w:t>
            </w:r>
          </w:p>
        </w:tc>
      </w:tr>
      <w:tr w:rsidR="00C47E3F" w:rsidRPr="00123CB7" w:rsidTr="00C47E3F">
        <w:trPr>
          <w:cantSplit/>
          <w:trHeight w:val="266"/>
          <w:tblHeader/>
        </w:trPr>
        <w:tc>
          <w:tcPr>
            <w:tcW w:w="4488" w:type="dxa"/>
            <w:tcBorders>
              <w:top w:val="nil"/>
              <w:left w:val="single" w:sz="4" w:space="0" w:color="auto"/>
              <w:bottom w:val="nil"/>
              <w:right w:val="nil"/>
            </w:tcBorders>
            <w:shd w:val="clear" w:color="auto" w:fill="auto"/>
            <w:noWrap/>
            <w:vAlign w:val="center"/>
            <w:hideMark/>
          </w:tcPr>
          <w:p w:rsidR="00123CB7" w:rsidRPr="00123CB7" w:rsidRDefault="00123CB7" w:rsidP="007C161A">
            <w:pPr>
              <w:keepNext/>
              <w:keepLines/>
              <w:spacing w:after="0" w:line="240" w:lineRule="auto"/>
              <w:rPr>
                <w:rFonts w:ascii="Arial" w:eastAsia="Times New Roman" w:hAnsi="Arial" w:cs="Arial"/>
                <w:sz w:val="16"/>
                <w:szCs w:val="20"/>
                <w:lang w:eastAsia="en-ZA"/>
              </w:rPr>
            </w:pPr>
            <w:r w:rsidRPr="00123CB7">
              <w:rPr>
                <w:rFonts w:ascii="Arial" w:eastAsia="Times New Roman" w:hAnsi="Arial" w:cs="Arial"/>
                <w:sz w:val="16"/>
                <w:szCs w:val="20"/>
                <w:lang w:eastAsia="en-ZA"/>
              </w:rPr>
              <w:t>Data storage (1 x 2TB external hard drives)</w:t>
            </w:r>
          </w:p>
        </w:tc>
        <w:tc>
          <w:tcPr>
            <w:tcW w:w="843" w:type="dxa"/>
            <w:tcBorders>
              <w:top w:val="nil"/>
              <w:left w:val="nil"/>
              <w:bottom w:val="nil"/>
              <w:right w:val="single" w:sz="4" w:space="0" w:color="auto"/>
            </w:tcBorders>
            <w:shd w:val="clear" w:color="auto" w:fill="auto"/>
            <w:noWrap/>
            <w:vAlign w:val="center"/>
            <w:hideMark/>
          </w:tcPr>
          <w:p w:rsidR="00123CB7" w:rsidRPr="00123CB7" w:rsidRDefault="00123CB7" w:rsidP="007C161A">
            <w:pPr>
              <w:keepNext/>
              <w:keepLines/>
              <w:spacing w:after="0" w:line="240" w:lineRule="auto"/>
              <w:rPr>
                <w:rFonts w:ascii="Arial" w:eastAsia="Times New Roman" w:hAnsi="Arial" w:cs="Arial"/>
                <w:sz w:val="16"/>
                <w:szCs w:val="20"/>
                <w:lang w:eastAsia="en-ZA"/>
              </w:rPr>
            </w:pPr>
            <w:r w:rsidRPr="00123CB7">
              <w:rPr>
                <w:rFonts w:ascii="Arial" w:eastAsia="Times New Roman" w:hAnsi="Arial" w:cs="Arial"/>
                <w:sz w:val="16"/>
                <w:szCs w:val="20"/>
                <w:lang w:eastAsia="en-ZA"/>
              </w:rPr>
              <w:t> </w:t>
            </w:r>
          </w:p>
        </w:tc>
        <w:tc>
          <w:tcPr>
            <w:tcW w:w="614" w:type="dxa"/>
            <w:tcBorders>
              <w:top w:val="nil"/>
              <w:left w:val="nil"/>
              <w:bottom w:val="nil"/>
              <w:right w:val="single" w:sz="4" w:space="0" w:color="auto"/>
            </w:tcBorders>
            <w:shd w:val="clear" w:color="auto" w:fill="auto"/>
            <w:noWrap/>
            <w:vAlign w:val="center"/>
            <w:hideMark/>
          </w:tcPr>
          <w:p w:rsidR="00123CB7" w:rsidRPr="00123CB7" w:rsidRDefault="00123CB7" w:rsidP="007C161A">
            <w:pPr>
              <w:keepNext/>
              <w:keepLines/>
              <w:spacing w:after="0" w:line="240" w:lineRule="auto"/>
              <w:jc w:val="right"/>
              <w:rPr>
                <w:rFonts w:ascii="Arial" w:eastAsia="Times New Roman" w:hAnsi="Arial" w:cs="Arial"/>
                <w:sz w:val="16"/>
                <w:szCs w:val="20"/>
                <w:lang w:eastAsia="en-ZA"/>
              </w:rPr>
            </w:pPr>
            <w:r w:rsidRPr="00123CB7">
              <w:rPr>
                <w:rFonts w:ascii="Arial" w:eastAsia="Times New Roman" w:hAnsi="Arial" w:cs="Arial"/>
                <w:sz w:val="16"/>
                <w:szCs w:val="20"/>
                <w:lang w:eastAsia="en-ZA"/>
              </w:rPr>
              <w:t>1</w:t>
            </w:r>
          </w:p>
        </w:tc>
        <w:tc>
          <w:tcPr>
            <w:tcW w:w="1487" w:type="dxa"/>
            <w:tcBorders>
              <w:top w:val="nil"/>
              <w:left w:val="nil"/>
              <w:bottom w:val="nil"/>
              <w:right w:val="single" w:sz="4" w:space="0" w:color="auto"/>
            </w:tcBorders>
            <w:shd w:val="clear" w:color="auto" w:fill="auto"/>
            <w:noWrap/>
            <w:vAlign w:val="center"/>
            <w:hideMark/>
          </w:tcPr>
          <w:p w:rsidR="00123CB7" w:rsidRPr="00123CB7" w:rsidRDefault="00123CB7" w:rsidP="007C161A">
            <w:pPr>
              <w:keepNext/>
              <w:keepLines/>
              <w:spacing w:after="0" w:line="240" w:lineRule="auto"/>
              <w:jc w:val="center"/>
              <w:rPr>
                <w:rFonts w:ascii="Arial" w:eastAsia="Times New Roman" w:hAnsi="Arial" w:cs="Arial"/>
                <w:sz w:val="16"/>
                <w:szCs w:val="20"/>
                <w:lang w:eastAsia="en-ZA"/>
              </w:rPr>
            </w:pPr>
            <w:r w:rsidRPr="00123CB7">
              <w:rPr>
                <w:rFonts w:ascii="Arial" w:eastAsia="Times New Roman" w:hAnsi="Arial" w:cs="Arial"/>
                <w:sz w:val="16"/>
                <w:szCs w:val="20"/>
                <w:lang w:eastAsia="en-ZA"/>
              </w:rPr>
              <w:t xml:space="preserve"> $           122.52 </w:t>
            </w:r>
          </w:p>
        </w:tc>
        <w:tc>
          <w:tcPr>
            <w:tcW w:w="1693" w:type="dxa"/>
            <w:tcBorders>
              <w:top w:val="nil"/>
              <w:left w:val="nil"/>
              <w:bottom w:val="nil"/>
              <w:right w:val="single" w:sz="4" w:space="0" w:color="auto"/>
            </w:tcBorders>
            <w:shd w:val="clear" w:color="auto" w:fill="auto"/>
            <w:noWrap/>
            <w:vAlign w:val="center"/>
            <w:hideMark/>
          </w:tcPr>
          <w:p w:rsidR="00123CB7" w:rsidRPr="00123CB7" w:rsidRDefault="00123CB7" w:rsidP="007C161A">
            <w:pPr>
              <w:keepNext/>
              <w:keepLines/>
              <w:spacing w:after="0" w:line="240" w:lineRule="auto"/>
              <w:jc w:val="center"/>
              <w:rPr>
                <w:rFonts w:ascii="Arial" w:eastAsia="Times New Roman" w:hAnsi="Arial" w:cs="Arial"/>
                <w:sz w:val="16"/>
                <w:szCs w:val="20"/>
                <w:lang w:eastAsia="en-ZA"/>
              </w:rPr>
            </w:pPr>
            <w:r w:rsidRPr="00123CB7">
              <w:rPr>
                <w:rFonts w:ascii="Arial" w:eastAsia="Times New Roman" w:hAnsi="Arial" w:cs="Arial"/>
                <w:sz w:val="16"/>
                <w:szCs w:val="20"/>
                <w:lang w:eastAsia="en-ZA"/>
              </w:rPr>
              <w:t xml:space="preserve"> $           122.52 </w:t>
            </w:r>
          </w:p>
        </w:tc>
      </w:tr>
      <w:tr w:rsidR="00C47E3F" w:rsidRPr="00123CB7" w:rsidTr="00C47E3F">
        <w:trPr>
          <w:cantSplit/>
          <w:trHeight w:val="266"/>
          <w:tblHeader/>
        </w:trPr>
        <w:tc>
          <w:tcPr>
            <w:tcW w:w="5332" w:type="dxa"/>
            <w:gridSpan w:val="2"/>
            <w:tcBorders>
              <w:top w:val="nil"/>
              <w:left w:val="single" w:sz="4" w:space="0" w:color="auto"/>
              <w:bottom w:val="nil"/>
              <w:right w:val="single" w:sz="4" w:space="0" w:color="000000"/>
            </w:tcBorders>
            <w:shd w:val="clear" w:color="auto" w:fill="auto"/>
            <w:noWrap/>
            <w:vAlign w:val="center"/>
            <w:hideMark/>
          </w:tcPr>
          <w:p w:rsidR="00123CB7" w:rsidRPr="00123CB7" w:rsidRDefault="00123CB7" w:rsidP="007C161A">
            <w:pPr>
              <w:keepNext/>
              <w:keepLines/>
              <w:spacing w:after="0" w:line="240" w:lineRule="auto"/>
              <w:rPr>
                <w:rFonts w:ascii="Arial" w:eastAsia="Times New Roman" w:hAnsi="Arial" w:cs="Arial"/>
                <w:sz w:val="16"/>
                <w:szCs w:val="20"/>
                <w:lang w:eastAsia="en-ZA"/>
              </w:rPr>
            </w:pPr>
            <w:r w:rsidRPr="00123CB7">
              <w:rPr>
                <w:rFonts w:ascii="Arial" w:eastAsia="Times New Roman" w:hAnsi="Arial" w:cs="Arial"/>
                <w:sz w:val="16"/>
                <w:szCs w:val="20"/>
                <w:lang w:eastAsia="en-ZA"/>
              </w:rPr>
              <w:t xml:space="preserve">WorldView-2 8 band 0.5m </w:t>
            </w:r>
            <w:proofErr w:type="spellStart"/>
            <w:r w:rsidRPr="00123CB7">
              <w:rPr>
                <w:rFonts w:ascii="Arial" w:eastAsia="Times New Roman" w:hAnsi="Arial" w:cs="Arial"/>
                <w:sz w:val="16"/>
                <w:szCs w:val="20"/>
                <w:lang w:eastAsia="en-ZA"/>
              </w:rPr>
              <w:t>ortho</w:t>
            </w:r>
            <w:proofErr w:type="spellEnd"/>
            <w:r w:rsidRPr="00123CB7">
              <w:rPr>
                <w:rFonts w:ascii="Arial" w:eastAsia="Times New Roman" w:hAnsi="Arial" w:cs="Arial"/>
                <w:sz w:val="16"/>
                <w:szCs w:val="20"/>
                <w:lang w:eastAsia="en-ZA"/>
              </w:rPr>
              <w:t xml:space="preserve"> ready imagery (136km² @ $14/km² )</w:t>
            </w:r>
          </w:p>
        </w:tc>
        <w:tc>
          <w:tcPr>
            <w:tcW w:w="614" w:type="dxa"/>
            <w:tcBorders>
              <w:top w:val="nil"/>
              <w:left w:val="nil"/>
              <w:bottom w:val="nil"/>
              <w:right w:val="single" w:sz="4" w:space="0" w:color="auto"/>
            </w:tcBorders>
            <w:shd w:val="clear" w:color="auto" w:fill="auto"/>
            <w:noWrap/>
            <w:vAlign w:val="center"/>
            <w:hideMark/>
          </w:tcPr>
          <w:p w:rsidR="00123CB7" w:rsidRPr="00123CB7" w:rsidRDefault="00123CB7" w:rsidP="007C161A">
            <w:pPr>
              <w:keepNext/>
              <w:keepLines/>
              <w:spacing w:after="0" w:line="240" w:lineRule="auto"/>
              <w:jc w:val="right"/>
              <w:rPr>
                <w:rFonts w:ascii="Arial" w:eastAsia="Times New Roman" w:hAnsi="Arial" w:cs="Arial"/>
                <w:sz w:val="16"/>
                <w:szCs w:val="20"/>
                <w:lang w:eastAsia="en-ZA"/>
              </w:rPr>
            </w:pPr>
            <w:r w:rsidRPr="00123CB7">
              <w:rPr>
                <w:rFonts w:ascii="Arial" w:eastAsia="Times New Roman" w:hAnsi="Arial" w:cs="Arial"/>
                <w:sz w:val="16"/>
                <w:szCs w:val="20"/>
                <w:lang w:eastAsia="en-ZA"/>
              </w:rPr>
              <w:t>136</w:t>
            </w:r>
          </w:p>
        </w:tc>
        <w:tc>
          <w:tcPr>
            <w:tcW w:w="1487" w:type="dxa"/>
            <w:tcBorders>
              <w:top w:val="nil"/>
              <w:left w:val="nil"/>
              <w:bottom w:val="nil"/>
              <w:right w:val="single" w:sz="4" w:space="0" w:color="auto"/>
            </w:tcBorders>
            <w:shd w:val="clear" w:color="auto" w:fill="auto"/>
            <w:noWrap/>
            <w:vAlign w:val="center"/>
            <w:hideMark/>
          </w:tcPr>
          <w:p w:rsidR="00123CB7" w:rsidRPr="00123CB7" w:rsidRDefault="00123CB7" w:rsidP="007C161A">
            <w:pPr>
              <w:keepNext/>
              <w:keepLines/>
              <w:spacing w:after="0" w:line="240" w:lineRule="auto"/>
              <w:jc w:val="center"/>
              <w:rPr>
                <w:rFonts w:ascii="Arial" w:eastAsia="Times New Roman" w:hAnsi="Arial" w:cs="Arial"/>
                <w:sz w:val="16"/>
                <w:szCs w:val="20"/>
                <w:lang w:eastAsia="en-ZA"/>
              </w:rPr>
            </w:pPr>
            <w:r w:rsidRPr="00123CB7">
              <w:rPr>
                <w:rFonts w:ascii="Arial" w:eastAsia="Times New Roman" w:hAnsi="Arial" w:cs="Arial"/>
                <w:sz w:val="16"/>
                <w:szCs w:val="20"/>
                <w:lang w:eastAsia="en-ZA"/>
              </w:rPr>
              <w:t xml:space="preserve"> $            14.00 </w:t>
            </w:r>
          </w:p>
        </w:tc>
        <w:tc>
          <w:tcPr>
            <w:tcW w:w="1693" w:type="dxa"/>
            <w:tcBorders>
              <w:top w:val="nil"/>
              <w:left w:val="nil"/>
              <w:bottom w:val="nil"/>
              <w:right w:val="single" w:sz="4" w:space="0" w:color="auto"/>
            </w:tcBorders>
            <w:shd w:val="clear" w:color="auto" w:fill="auto"/>
            <w:noWrap/>
            <w:vAlign w:val="center"/>
            <w:hideMark/>
          </w:tcPr>
          <w:p w:rsidR="00123CB7" w:rsidRPr="00123CB7" w:rsidRDefault="00123CB7" w:rsidP="007C161A">
            <w:pPr>
              <w:keepNext/>
              <w:keepLines/>
              <w:spacing w:after="0" w:line="240" w:lineRule="auto"/>
              <w:jc w:val="center"/>
              <w:rPr>
                <w:rFonts w:ascii="Arial" w:eastAsia="Times New Roman" w:hAnsi="Arial" w:cs="Arial"/>
                <w:sz w:val="16"/>
                <w:szCs w:val="20"/>
                <w:lang w:eastAsia="en-ZA"/>
              </w:rPr>
            </w:pPr>
            <w:r w:rsidRPr="00123CB7">
              <w:rPr>
                <w:rFonts w:ascii="Arial" w:eastAsia="Times New Roman" w:hAnsi="Arial" w:cs="Arial"/>
                <w:sz w:val="16"/>
                <w:szCs w:val="20"/>
                <w:lang w:eastAsia="en-ZA"/>
              </w:rPr>
              <w:t xml:space="preserve"> $        1 904.00 </w:t>
            </w:r>
          </w:p>
        </w:tc>
      </w:tr>
      <w:tr w:rsidR="00C47E3F" w:rsidRPr="00123CB7" w:rsidTr="00C47E3F">
        <w:trPr>
          <w:cantSplit/>
          <w:trHeight w:val="266"/>
          <w:tblHeader/>
        </w:trPr>
        <w:tc>
          <w:tcPr>
            <w:tcW w:w="4488" w:type="dxa"/>
            <w:tcBorders>
              <w:top w:val="nil"/>
              <w:left w:val="single" w:sz="4" w:space="0" w:color="auto"/>
              <w:bottom w:val="nil"/>
              <w:right w:val="nil"/>
            </w:tcBorders>
            <w:shd w:val="clear" w:color="auto" w:fill="auto"/>
            <w:noWrap/>
            <w:vAlign w:val="center"/>
            <w:hideMark/>
          </w:tcPr>
          <w:p w:rsidR="00123CB7" w:rsidRPr="00123CB7" w:rsidRDefault="00123CB7" w:rsidP="007C161A">
            <w:pPr>
              <w:keepNext/>
              <w:keepLines/>
              <w:spacing w:after="0" w:line="240" w:lineRule="auto"/>
              <w:rPr>
                <w:rFonts w:ascii="Arial" w:eastAsia="Times New Roman" w:hAnsi="Arial" w:cs="Arial"/>
                <w:sz w:val="16"/>
                <w:szCs w:val="20"/>
                <w:lang w:eastAsia="en-ZA"/>
              </w:rPr>
            </w:pPr>
            <w:r w:rsidRPr="00123CB7">
              <w:rPr>
                <w:rFonts w:ascii="Arial" w:eastAsia="Times New Roman" w:hAnsi="Arial" w:cs="Arial"/>
                <w:sz w:val="16"/>
                <w:szCs w:val="20"/>
                <w:lang w:eastAsia="en-ZA"/>
              </w:rPr>
              <w:t>Imagery download (16GB @ $2.76/GB)</w:t>
            </w:r>
          </w:p>
        </w:tc>
        <w:tc>
          <w:tcPr>
            <w:tcW w:w="843" w:type="dxa"/>
            <w:tcBorders>
              <w:top w:val="nil"/>
              <w:left w:val="nil"/>
              <w:bottom w:val="nil"/>
              <w:right w:val="single" w:sz="4" w:space="0" w:color="auto"/>
            </w:tcBorders>
            <w:shd w:val="clear" w:color="auto" w:fill="auto"/>
            <w:noWrap/>
            <w:vAlign w:val="center"/>
            <w:hideMark/>
          </w:tcPr>
          <w:p w:rsidR="00123CB7" w:rsidRPr="00123CB7" w:rsidRDefault="00123CB7" w:rsidP="007C161A">
            <w:pPr>
              <w:keepNext/>
              <w:keepLines/>
              <w:spacing w:after="0" w:line="240" w:lineRule="auto"/>
              <w:rPr>
                <w:rFonts w:ascii="Arial" w:eastAsia="Times New Roman" w:hAnsi="Arial" w:cs="Arial"/>
                <w:sz w:val="16"/>
                <w:szCs w:val="20"/>
                <w:lang w:eastAsia="en-ZA"/>
              </w:rPr>
            </w:pPr>
            <w:r w:rsidRPr="00123CB7">
              <w:rPr>
                <w:rFonts w:ascii="Arial" w:eastAsia="Times New Roman" w:hAnsi="Arial" w:cs="Arial"/>
                <w:sz w:val="16"/>
                <w:szCs w:val="20"/>
                <w:lang w:eastAsia="en-ZA"/>
              </w:rPr>
              <w:t> </w:t>
            </w:r>
          </w:p>
        </w:tc>
        <w:tc>
          <w:tcPr>
            <w:tcW w:w="614" w:type="dxa"/>
            <w:tcBorders>
              <w:top w:val="nil"/>
              <w:left w:val="nil"/>
              <w:bottom w:val="nil"/>
              <w:right w:val="single" w:sz="4" w:space="0" w:color="auto"/>
            </w:tcBorders>
            <w:shd w:val="clear" w:color="auto" w:fill="auto"/>
            <w:noWrap/>
            <w:vAlign w:val="center"/>
            <w:hideMark/>
          </w:tcPr>
          <w:p w:rsidR="00123CB7" w:rsidRPr="00123CB7" w:rsidRDefault="00123CB7" w:rsidP="007C161A">
            <w:pPr>
              <w:keepNext/>
              <w:keepLines/>
              <w:spacing w:after="0" w:line="240" w:lineRule="auto"/>
              <w:jc w:val="right"/>
              <w:rPr>
                <w:rFonts w:ascii="Arial" w:eastAsia="Times New Roman" w:hAnsi="Arial" w:cs="Arial"/>
                <w:sz w:val="16"/>
                <w:szCs w:val="20"/>
                <w:lang w:eastAsia="en-ZA"/>
              </w:rPr>
            </w:pPr>
            <w:r w:rsidRPr="00123CB7">
              <w:rPr>
                <w:rFonts w:ascii="Arial" w:eastAsia="Times New Roman" w:hAnsi="Arial" w:cs="Arial"/>
                <w:sz w:val="16"/>
                <w:szCs w:val="20"/>
                <w:lang w:eastAsia="en-ZA"/>
              </w:rPr>
              <w:t>16</w:t>
            </w:r>
          </w:p>
        </w:tc>
        <w:tc>
          <w:tcPr>
            <w:tcW w:w="1487" w:type="dxa"/>
            <w:tcBorders>
              <w:top w:val="nil"/>
              <w:left w:val="nil"/>
              <w:bottom w:val="nil"/>
              <w:right w:val="single" w:sz="4" w:space="0" w:color="auto"/>
            </w:tcBorders>
            <w:shd w:val="clear" w:color="auto" w:fill="auto"/>
            <w:noWrap/>
            <w:vAlign w:val="center"/>
            <w:hideMark/>
          </w:tcPr>
          <w:p w:rsidR="00123CB7" w:rsidRPr="00123CB7" w:rsidRDefault="00123CB7" w:rsidP="007C161A">
            <w:pPr>
              <w:keepNext/>
              <w:keepLines/>
              <w:spacing w:after="0" w:line="240" w:lineRule="auto"/>
              <w:jc w:val="center"/>
              <w:rPr>
                <w:rFonts w:ascii="Arial" w:eastAsia="Times New Roman" w:hAnsi="Arial" w:cs="Arial"/>
                <w:sz w:val="16"/>
                <w:szCs w:val="20"/>
                <w:lang w:eastAsia="en-ZA"/>
              </w:rPr>
            </w:pPr>
            <w:r w:rsidRPr="00123CB7">
              <w:rPr>
                <w:rFonts w:ascii="Arial" w:eastAsia="Times New Roman" w:hAnsi="Arial" w:cs="Arial"/>
                <w:sz w:val="16"/>
                <w:szCs w:val="20"/>
                <w:lang w:eastAsia="en-ZA"/>
              </w:rPr>
              <w:t xml:space="preserve"> $              2.76 </w:t>
            </w:r>
          </w:p>
        </w:tc>
        <w:tc>
          <w:tcPr>
            <w:tcW w:w="1693" w:type="dxa"/>
            <w:tcBorders>
              <w:top w:val="nil"/>
              <w:left w:val="nil"/>
              <w:bottom w:val="nil"/>
              <w:right w:val="single" w:sz="4" w:space="0" w:color="auto"/>
            </w:tcBorders>
            <w:shd w:val="clear" w:color="auto" w:fill="auto"/>
            <w:noWrap/>
            <w:vAlign w:val="center"/>
            <w:hideMark/>
          </w:tcPr>
          <w:p w:rsidR="00123CB7" w:rsidRPr="00123CB7" w:rsidRDefault="00123CB7" w:rsidP="007C161A">
            <w:pPr>
              <w:keepNext/>
              <w:keepLines/>
              <w:spacing w:after="0" w:line="240" w:lineRule="auto"/>
              <w:jc w:val="center"/>
              <w:rPr>
                <w:rFonts w:ascii="Arial" w:eastAsia="Times New Roman" w:hAnsi="Arial" w:cs="Arial"/>
                <w:sz w:val="16"/>
                <w:szCs w:val="20"/>
                <w:lang w:eastAsia="en-ZA"/>
              </w:rPr>
            </w:pPr>
            <w:r w:rsidRPr="00123CB7">
              <w:rPr>
                <w:rFonts w:ascii="Arial" w:eastAsia="Times New Roman" w:hAnsi="Arial" w:cs="Arial"/>
                <w:sz w:val="16"/>
                <w:szCs w:val="20"/>
                <w:lang w:eastAsia="en-ZA"/>
              </w:rPr>
              <w:t xml:space="preserve"> $             44.67 </w:t>
            </w:r>
          </w:p>
        </w:tc>
      </w:tr>
      <w:tr w:rsidR="00C47E3F" w:rsidRPr="00123CB7" w:rsidTr="00C47E3F">
        <w:trPr>
          <w:cantSplit/>
          <w:trHeight w:val="266"/>
          <w:tblHeader/>
        </w:trPr>
        <w:tc>
          <w:tcPr>
            <w:tcW w:w="4488" w:type="dxa"/>
            <w:tcBorders>
              <w:top w:val="nil"/>
              <w:left w:val="single" w:sz="4" w:space="0" w:color="auto"/>
              <w:bottom w:val="nil"/>
              <w:right w:val="nil"/>
            </w:tcBorders>
            <w:shd w:val="clear" w:color="auto" w:fill="auto"/>
            <w:noWrap/>
            <w:vAlign w:val="center"/>
            <w:hideMark/>
          </w:tcPr>
          <w:p w:rsidR="00123CB7" w:rsidRPr="00123CB7" w:rsidRDefault="00123CB7" w:rsidP="007C161A">
            <w:pPr>
              <w:keepNext/>
              <w:keepLines/>
              <w:spacing w:after="0" w:line="240" w:lineRule="auto"/>
              <w:rPr>
                <w:rFonts w:ascii="Arial" w:eastAsia="Times New Roman" w:hAnsi="Arial" w:cs="Arial"/>
                <w:sz w:val="16"/>
                <w:szCs w:val="20"/>
                <w:lang w:eastAsia="en-ZA"/>
              </w:rPr>
            </w:pPr>
            <w:r w:rsidRPr="00123CB7">
              <w:rPr>
                <w:rFonts w:ascii="Arial" w:eastAsia="Times New Roman" w:hAnsi="Arial" w:cs="Arial"/>
                <w:sz w:val="16"/>
                <w:szCs w:val="20"/>
                <w:lang w:eastAsia="en-ZA"/>
              </w:rPr>
              <w:t> </w:t>
            </w:r>
          </w:p>
        </w:tc>
        <w:tc>
          <w:tcPr>
            <w:tcW w:w="843" w:type="dxa"/>
            <w:tcBorders>
              <w:top w:val="nil"/>
              <w:left w:val="nil"/>
              <w:bottom w:val="nil"/>
              <w:right w:val="single" w:sz="4" w:space="0" w:color="auto"/>
            </w:tcBorders>
            <w:shd w:val="clear" w:color="auto" w:fill="auto"/>
            <w:noWrap/>
            <w:vAlign w:val="center"/>
            <w:hideMark/>
          </w:tcPr>
          <w:p w:rsidR="00123CB7" w:rsidRPr="00123CB7" w:rsidRDefault="00123CB7" w:rsidP="007C161A">
            <w:pPr>
              <w:keepNext/>
              <w:keepLines/>
              <w:spacing w:after="0" w:line="240" w:lineRule="auto"/>
              <w:rPr>
                <w:rFonts w:ascii="Arial" w:eastAsia="Times New Roman" w:hAnsi="Arial" w:cs="Arial"/>
                <w:sz w:val="16"/>
                <w:szCs w:val="20"/>
                <w:lang w:eastAsia="en-ZA"/>
              </w:rPr>
            </w:pPr>
            <w:r w:rsidRPr="00123CB7">
              <w:rPr>
                <w:rFonts w:ascii="Arial" w:eastAsia="Times New Roman" w:hAnsi="Arial" w:cs="Arial"/>
                <w:sz w:val="16"/>
                <w:szCs w:val="20"/>
                <w:lang w:eastAsia="en-ZA"/>
              </w:rPr>
              <w:t> </w:t>
            </w:r>
          </w:p>
        </w:tc>
        <w:tc>
          <w:tcPr>
            <w:tcW w:w="614" w:type="dxa"/>
            <w:tcBorders>
              <w:top w:val="nil"/>
              <w:left w:val="nil"/>
              <w:bottom w:val="nil"/>
              <w:right w:val="single" w:sz="4" w:space="0" w:color="auto"/>
            </w:tcBorders>
            <w:shd w:val="clear" w:color="auto" w:fill="auto"/>
            <w:noWrap/>
            <w:vAlign w:val="center"/>
            <w:hideMark/>
          </w:tcPr>
          <w:p w:rsidR="00123CB7" w:rsidRPr="00123CB7" w:rsidRDefault="00123CB7" w:rsidP="007C161A">
            <w:pPr>
              <w:keepNext/>
              <w:keepLines/>
              <w:spacing w:after="0" w:line="240" w:lineRule="auto"/>
              <w:jc w:val="right"/>
              <w:rPr>
                <w:rFonts w:ascii="Arial" w:eastAsia="Times New Roman" w:hAnsi="Arial" w:cs="Arial"/>
                <w:sz w:val="16"/>
                <w:szCs w:val="20"/>
                <w:lang w:eastAsia="en-ZA"/>
              </w:rPr>
            </w:pPr>
            <w:r w:rsidRPr="00123CB7">
              <w:rPr>
                <w:rFonts w:ascii="Arial" w:eastAsia="Times New Roman" w:hAnsi="Arial" w:cs="Arial"/>
                <w:sz w:val="16"/>
                <w:szCs w:val="20"/>
                <w:lang w:eastAsia="en-ZA"/>
              </w:rPr>
              <w:t> </w:t>
            </w:r>
          </w:p>
        </w:tc>
        <w:tc>
          <w:tcPr>
            <w:tcW w:w="1487" w:type="dxa"/>
            <w:tcBorders>
              <w:top w:val="nil"/>
              <w:left w:val="nil"/>
              <w:bottom w:val="nil"/>
              <w:right w:val="single" w:sz="4" w:space="0" w:color="auto"/>
            </w:tcBorders>
            <w:shd w:val="clear" w:color="auto" w:fill="auto"/>
            <w:noWrap/>
            <w:vAlign w:val="center"/>
            <w:hideMark/>
          </w:tcPr>
          <w:p w:rsidR="00123CB7" w:rsidRPr="00123CB7" w:rsidRDefault="00123CB7" w:rsidP="007C161A">
            <w:pPr>
              <w:keepNext/>
              <w:keepLines/>
              <w:spacing w:after="0" w:line="240" w:lineRule="auto"/>
              <w:jc w:val="center"/>
              <w:rPr>
                <w:rFonts w:ascii="Arial" w:eastAsia="Times New Roman" w:hAnsi="Arial" w:cs="Arial"/>
                <w:sz w:val="16"/>
                <w:szCs w:val="20"/>
                <w:lang w:eastAsia="en-ZA"/>
              </w:rPr>
            </w:pPr>
            <w:r w:rsidRPr="00123CB7">
              <w:rPr>
                <w:rFonts w:ascii="Arial" w:eastAsia="Times New Roman" w:hAnsi="Arial" w:cs="Arial"/>
                <w:sz w:val="16"/>
                <w:szCs w:val="20"/>
                <w:lang w:eastAsia="en-ZA"/>
              </w:rPr>
              <w:t> </w:t>
            </w:r>
          </w:p>
        </w:tc>
        <w:tc>
          <w:tcPr>
            <w:tcW w:w="1693" w:type="dxa"/>
            <w:tcBorders>
              <w:top w:val="nil"/>
              <w:left w:val="nil"/>
              <w:bottom w:val="nil"/>
              <w:right w:val="single" w:sz="4" w:space="0" w:color="auto"/>
            </w:tcBorders>
            <w:shd w:val="clear" w:color="auto" w:fill="auto"/>
            <w:noWrap/>
            <w:vAlign w:val="center"/>
            <w:hideMark/>
          </w:tcPr>
          <w:p w:rsidR="00123CB7" w:rsidRPr="00123CB7" w:rsidRDefault="00123CB7" w:rsidP="007C161A">
            <w:pPr>
              <w:keepNext/>
              <w:keepLines/>
              <w:spacing w:after="0" w:line="240" w:lineRule="auto"/>
              <w:jc w:val="center"/>
              <w:rPr>
                <w:rFonts w:ascii="Arial" w:eastAsia="Times New Roman" w:hAnsi="Arial" w:cs="Arial"/>
                <w:sz w:val="16"/>
                <w:szCs w:val="20"/>
                <w:lang w:eastAsia="en-ZA"/>
              </w:rPr>
            </w:pPr>
            <w:r w:rsidRPr="00123CB7">
              <w:rPr>
                <w:rFonts w:ascii="Arial" w:eastAsia="Times New Roman" w:hAnsi="Arial" w:cs="Arial"/>
                <w:sz w:val="16"/>
                <w:szCs w:val="20"/>
                <w:lang w:eastAsia="en-ZA"/>
              </w:rPr>
              <w:t> </w:t>
            </w:r>
          </w:p>
        </w:tc>
      </w:tr>
      <w:tr w:rsidR="00C47E3F" w:rsidRPr="00123CB7" w:rsidTr="00C47E3F">
        <w:trPr>
          <w:cantSplit/>
          <w:trHeight w:val="266"/>
          <w:tblHeader/>
        </w:trPr>
        <w:tc>
          <w:tcPr>
            <w:tcW w:w="5332" w:type="dxa"/>
            <w:gridSpan w:val="2"/>
            <w:tcBorders>
              <w:top w:val="nil"/>
              <w:left w:val="single" w:sz="4" w:space="0" w:color="auto"/>
              <w:bottom w:val="nil"/>
              <w:right w:val="single" w:sz="4" w:space="0" w:color="000000"/>
            </w:tcBorders>
            <w:shd w:val="clear" w:color="auto" w:fill="auto"/>
            <w:noWrap/>
            <w:vAlign w:val="center"/>
            <w:hideMark/>
          </w:tcPr>
          <w:p w:rsidR="00123CB7" w:rsidRPr="00123CB7" w:rsidRDefault="00123CB7" w:rsidP="007C161A">
            <w:pPr>
              <w:keepNext/>
              <w:keepLines/>
              <w:spacing w:after="0" w:line="240" w:lineRule="auto"/>
              <w:rPr>
                <w:rFonts w:ascii="Arial" w:eastAsia="Times New Roman" w:hAnsi="Arial" w:cs="Arial"/>
                <w:sz w:val="16"/>
                <w:szCs w:val="20"/>
                <w:lang w:eastAsia="en-ZA"/>
              </w:rPr>
            </w:pPr>
            <w:r w:rsidRPr="00123CB7">
              <w:rPr>
                <w:rFonts w:ascii="Arial" w:eastAsia="Times New Roman" w:hAnsi="Arial" w:cs="Arial"/>
                <w:sz w:val="16"/>
                <w:szCs w:val="20"/>
                <w:lang w:eastAsia="en-ZA"/>
              </w:rPr>
              <w:t>DJI Phantom 3 Pro quadcopter with extra battery and car charger (UAV)</w:t>
            </w:r>
          </w:p>
        </w:tc>
        <w:tc>
          <w:tcPr>
            <w:tcW w:w="614" w:type="dxa"/>
            <w:tcBorders>
              <w:top w:val="nil"/>
              <w:left w:val="nil"/>
              <w:bottom w:val="nil"/>
              <w:right w:val="single" w:sz="4" w:space="0" w:color="auto"/>
            </w:tcBorders>
            <w:shd w:val="clear" w:color="auto" w:fill="auto"/>
            <w:noWrap/>
            <w:vAlign w:val="center"/>
            <w:hideMark/>
          </w:tcPr>
          <w:p w:rsidR="00123CB7" w:rsidRPr="00123CB7" w:rsidRDefault="00123CB7" w:rsidP="007C161A">
            <w:pPr>
              <w:keepNext/>
              <w:keepLines/>
              <w:spacing w:after="0" w:line="240" w:lineRule="auto"/>
              <w:jc w:val="right"/>
              <w:rPr>
                <w:rFonts w:ascii="Arial" w:eastAsia="Times New Roman" w:hAnsi="Arial" w:cs="Arial"/>
                <w:sz w:val="16"/>
                <w:szCs w:val="20"/>
                <w:lang w:eastAsia="en-ZA"/>
              </w:rPr>
            </w:pPr>
            <w:r w:rsidRPr="00123CB7">
              <w:rPr>
                <w:rFonts w:ascii="Arial" w:eastAsia="Times New Roman" w:hAnsi="Arial" w:cs="Arial"/>
                <w:sz w:val="16"/>
                <w:szCs w:val="20"/>
                <w:lang w:eastAsia="en-ZA"/>
              </w:rPr>
              <w:t>1</w:t>
            </w:r>
          </w:p>
        </w:tc>
        <w:tc>
          <w:tcPr>
            <w:tcW w:w="1487" w:type="dxa"/>
            <w:tcBorders>
              <w:top w:val="nil"/>
              <w:left w:val="nil"/>
              <w:bottom w:val="nil"/>
              <w:right w:val="single" w:sz="4" w:space="0" w:color="auto"/>
            </w:tcBorders>
            <w:shd w:val="clear" w:color="auto" w:fill="auto"/>
            <w:noWrap/>
            <w:vAlign w:val="center"/>
            <w:hideMark/>
          </w:tcPr>
          <w:p w:rsidR="00123CB7" w:rsidRPr="00123CB7" w:rsidRDefault="00123CB7" w:rsidP="007C161A">
            <w:pPr>
              <w:keepNext/>
              <w:keepLines/>
              <w:spacing w:after="0" w:line="240" w:lineRule="auto"/>
              <w:jc w:val="center"/>
              <w:rPr>
                <w:rFonts w:ascii="Arial" w:eastAsia="Times New Roman" w:hAnsi="Arial" w:cs="Arial"/>
                <w:sz w:val="16"/>
                <w:szCs w:val="20"/>
                <w:lang w:eastAsia="en-ZA"/>
              </w:rPr>
            </w:pPr>
            <w:r w:rsidRPr="00123CB7">
              <w:rPr>
                <w:rFonts w:ascii="Arial" w:eastAsia="Times New Roman" w:hAnsi="Arial" w:cs="Arial"/>
                <w:sz w:val="16"/>
                <w:szCs w:val="20"/>
                <w:lang w:eastAsia="en-ZA"/>
              </w:rPr>
              <w:t xml:space="preserve"> $        1 653.32 </w:t>
            </w:r>
          </w:p>
        </w:tc>
        <w:tc>
          <w:tcPr>
            <w:tcW w:w="1693" w:type="dxa"/>
            <w:tcBorders>
              <w:top w:val="nil"/>
              <w:left w:val="nil"/>
              <w:bottom w:val="nil"/>
              <w:right w:val="single" w:sz="4" w:space="0" w:color="auto"/>
            </w:tcBorders>
            <w:shd w:val="clear" w:color="auto" w:fill="auto"/>
            <w:noWrap/>
            <w:vAlign w:val="center"/>
            <w:hideMark/>
          </w:tcPr>
          <w:p w:rsidR="00123CB7" w:rsidRPr="00123CB7" w:rsidRDefault="00123CB7" w:rsidP="007C161A">
            <w:pPr>
              <w:keepNext/>
              <w:keepLines/>
              <w:spacing w:after="0" w:line="240" w:lineRule="auto"/>
              <w:jc w:val="center"/>
              <w:rPr>
                <w:rFonts w:ascii="Arial" w:eastAsia="Times New Roman" w:hAnsi="Arial" w:cs="Arial"/>
                <w:sz w:val="16"/>
                <w:szCs w:val="20"/>
                <w:lang w:eastAsia="en-ZA"/>
              </w:rPr>
            </w:pPr>
            <w:r w:rsidRPr="00123CB7">
              <w:rPr>
                <w:rFonts w:ascii="Arial" w:eastAsia="Times New Roman" w:hAnsi="Arial" w:cs="Arial"/>
                <w:sz w:val="16"/>
                <w:szCs w:val="20"/>
                <w:lang w:eastAsia="en-ZA"/>
              </w:rPr>
              <w:t xml:space="preserve"> $        1 653.32 </w:t>
            </w:r>
          </w:p>
        </w:tc>
      </w:tr>
      <w:tr w:rsidR="00C47E3F" w:rsidRPr="00123CB7" w:rsidTr="00C47E3F">
        <w:trPr>
          <w:cantSplit/>
          <w:trHeight w:val="266"/>
          <w:tblHeader/>
        </w:trPr>
        <w:tc>
          <w:tcPr>
            <w:tcW w:w="4488" w:type="dxa"/>
            <w:tcBorders>
              <w:top w:val="nil"/>
              <w:left w:val="single" w:sz="4" w:space="0" w:color="auto"/>
              <w:bottom w:val="nil"/>
              <w:right w:val="nil"/>
            </w:tcBorders>
            <w:shd w:val="clear" w:color="auto" w:fill="auto"/>
            <w:noWrap/>
            <w:vAlign w:val="center"/>
            <w:hideMark/>
          </w:tcPr>
          <w:p w:rsidR="00123CB7" w:rsidRPr="00123CB7" w:rsidRDefault="00123CB7" w:rsidP="007C161A">
            <w:pPr>
              <w:keepNext/>
              <w:keepLines/>
              <w:spacing w:after="0" w:line="240" w:lineRule="auto"/>
              <w:rPr>
                <w:rFonts w:ascii="Arial" w:eastAsia="Times New Roman" w:hAnsi="Arial" w:cs="Arial"/>
                <w:sz w:val="16"/>
                <w:szCs w:val="20"/>
                <w:lang w:eastAsia="en-ZA"/>
              </w:rPr>
            </w:pPr>
            <w:r w:rsidRPr="00123CB7">
              <w:rPr>
                <w:rFonts w:ascii="Arial" w:eastAsia="Times New Roman" w:hAnsi="Arial" w:cs="Arial"/>
                <w:sz w:val="16"/>
                <w:szCs w:val="20"/>
                <w:lang w:eastAsia="en-ZA"/>
              </w:rPr>
              <w:t xml:space="preserve">Pix4D 1 month license (UAV </w:t>
            </w:r>
            <w:proofErr w:type="spellStart"/>
            <w:r w:rsidRPr="00123CB7">
              <w:rPr>
                <w:rFonts w:ascii="Arial" w:eastAsia="Times New Roman" w:hAnsi="Arial" w:cs="Arial"/>
                <w:sz w:val="16"/>
                <w:szCs w:val="20"/>
                <w:lang w:eastAsia="en-ZA"/>
              </w:rPr>
              <w:t>orthorectification</w:t>
            </w:r>
            <w:proofErr w:type="spellEnd"/>
            <w:r w:rsidRPr="00123CB7">
              <w:rPr>
                <w:rFonts w:ascii="Arial" w:eastAsia="Times New Roman" w:hAnsi="Arial" w:cs="Arial"/>
                <w:sz w:val="16"/>
                <w:szCs w:val="20"/>
                <w:lang w:eastAsia="en-ZA"/>
              </w:rPr>
              <w:t xml:space="preserve"> software)</w:t>
            </w:r>
          </w:p>
        </w:tc>
        <w:tc>
          <w:tcPr>
            <w:tcW w:w="843" w:type="dxa"/>
            <w:tcBorders>
              <w:top w:val="nil"/>
              <w:left w:val="nil"/>
              <w:bottom w:val="nil"/>
              <w:right w:val="single" w:sz="4" w:space="0" w:color="auto"/>
            </w:tcBorders>
            <w:shd w:val="clear" w:color="auto" w:fill="auto"/>
            <w:noWrap/>
            <w:vAlign w:val="center"/>
            <w:hideMark/>
          </w:tcPr>
          <w:p w:rsidR="00123CB7" w:rsidRPr="00123CB7" w:rsidRDefault="00123CB7" w:rsidP="007C161A">
            <w:pPr>
              <w:keepNext/>
              <w:keepLines/>
              <w:spacing w:after="0" w:line="240" w:lineRule="auto"/>
              <w:rPr>
                <w:rFonts w:ascii="Arial" w:eastAsia="Times New Roman" w:hAnsi="Arial" w:cs="Arial"/>
                <w:sz w:val="16"/>
                <w:szCs w:val="20"/>
                <w:lang w:eastAsia="en-ZA"/>
              </w:rPr>
            </w:pPr>
            <w:r w:rsidRPr="00123CB7">
              <w:rPr>
                <w:rFonts w:ascii="Arial" w:eastAsia="Times New Roman" w:hAnsi="Arial" w:cs="Arial"/>
                <w:sz w:val="16"/>
                <w:szCs w:val="20"/>
                <w:lang w:eastAsia="en-ZA"/>
              </w:rPr>
              <w:t> </w:t>
            </w:r>
          </w:p>
        </w:tc>
        <w:tc>
          <w:tcPr>
            <w:tcW w:w="614" w:type="dxa"/>
            <w:tcBorders>
              <w:top w:val="nil"/>
              <w:left w:val="nil"/>
              <w:bottom w:val="nil"/>
              <w:right w:val="single" w:sz="4" w:space="0" w:color="auto"/>
            </w:tcBorders>
            <w:shd w:val="clear" w:color="auto" w:fill="auto"/>
            <w:noWrap/>
            <w:vAlign w:val="center"/>
            <w:hideMark/>
          </w:tcPr>
          <w:p w:rsidR="00123CB7" w:rsidRPr="00123CB7" w:rsidRDefault="00123CB7" w:rsidP="007C161A">
            <w:pPr>
              <w:keepNext/>
              <w:keepLines/>
              <w:spacing w:after="0" w:line="240" w:lineRule="auto"/>
              <w:jc w:val="right"/>
              <w:rPr>
                <w:rFonts w:ascii="Arial" w:eastAsia="Times New Roman" w:hAnsi="Arial" w:cs="Arial"/>
                <w:sz w:val="16"/>
                <w:szCs w:val="20"/>
                <w:lang w:eastAsia="en-ZA"/>
              </w:rPr>
            </w:pPr>
            <w:r w:rsidRPr="00123CB7">
              <w:rPr>
                <w:rFonts w:ascii="Arial" w:eastAsia="Times New Roman" w:hAnsi="Arial" w:cs="Arial"/>
                <w:sz w:val="16"/>
                <w:szCs w:val="20"/>
                <w:lang w:eastAsia="en-ZA"/>
              </w:rPr>
              <w:t>2</w:t>
            </w:r>
          </w:p>
        </w:tc>
        <w:tc>
          <w:tcPr>
            <w:tcW w:w="1487" w:type="dxa"/>
            <w:tcBorders>
              <w:top w:val="nil"/>
              <w:left w:val="nil"/>
              <w:bottom w:val="nil"/>
              <w:right w:val="single" w:sz="4" w:space="0" w:color="auto"/>
            </w:tcBorders>
            <w:shd w:val="clear" w:color="auto" w:fill="auto"/>
            <w:noWrap/>
            <w:vAlign w:val="center"/>
            <w:hideMark/>
          </w:tcPr>
          <w:p w:rsidR="00123CB7" w:rsidRPr="00123CB7" w:rsidRDefault="00123CB7" w:rsidP="007C161A">
            <w:pPr>
              <w:keepNext/>
              <w:keepLines/>
              <w:spacing w:after="0" w:line="240" w:lineRule="auto"/>
              <w:jc w:val="center"/>
              <w:rPr>
                <w:rFonts w:ascii="Arial" w:eastAsia="Times New Roman" w:hAnsi="Arial" w:cs="Arial"/>
                <w:sz w:val="16"/>
                <w:szCs w:val="20"/>
                <w:lang w:eastAsia="en-ZA"/>
              </w:rPr>
            </w:pPr>
            <w:r w:rsidRPr="00123CB7">
              <w:rPr>
                <w:rFonts w:ascii="Arial" w:eastAsia="Times New Roman" w:hAnsi="Arial" w:cs="Arial"/>
                <w:sz w:val="16"/>
                <w:szCs w:val="20"/>
                <w:lang w:eastAsia="en-ZA"/>
              </w:rPr>
              <w:t xml:space="preserve"> $           350.00 </w:t>
            </w:r>
          </w:p>
        </w:tc>
        <w:tc>
          <w:tcPr>
            <w:tcW w:w="1693" w:type="dxa"/>
            <w:tcBorders>
              <w:top w:val="nil"/>
              <w:left w:val="nil"/>
              <w:bottom w:val="nil"/>
              <w:right w:val="single" w:sz="4" w:space="0" w:color="auto"/>
            </w:tcBorders>
            <w:shd w:val="clear" w:color="auto" w:fill="auto"/>
            <w:noWrap/>
            <w:vAlign w:val="center"/>
            <w:hideMark/>
          </w:tcPr>
          <w:p w:rsidR="00123CB7" w:rsidRPr="00123CB7" w:rsidRDefault="00123CB7" w:rsidP="007C161A">
            <w:pPr>
              <w:keepNext/>
              <w:keepLines/>
              <w:spacing w:after="0" w:line="240" w:lineRule="auto"/>
              <w:jc w:val="center"/>
              <w:rPr>
                <w:rFonts w:ascii="Arial" w:eastAsia="Times New Roman" w:hAnsi="Arial" w:cs="Arial"/>
                <w:sz w:val="16"/>
                <w:szCs w:val="20"/>
                <w:lang w:eastAsia="en-ZA"/>
              </w:rPr>
            </w:pPr>
            <w:r w:rsidRPr="00123CB7">
              <w:rPr>
                <w:rFonts w:ascii="Arial" w:eastAsia="Times New Roman" w:hAnsi="Arial" w:cs="Arial"/>
                <w:sz w:val="16"/>
                <w:szCs w:val="20"/>
                <w:lang w:eastAsia="en-ZA"/>
              </w:rPr>
              <w:t xml:space="preserve"> $           700.00 </w:t>
            </w:r>
          </w:p>
        </w:tc>
      </w:tr>
      <w:tr w:rsidR="00C47E3F" w:rsidRPr="00123CB7" w:rsidTr="00C47E3F">
        <w:trPr>
          <w:cantSplit/>
          <w:trHeight w:val="266"/>
          <w:tblHeader/>
        </w:trPr>
        <w:tc>
          <w:tcPr>
            <w:tcW w:w="4488" w:type="dxa"/>
            <w:tcBorders>
              <w:top w:val="nil"/>
              <w:left w:val="single" w:sz="4" w:space="0" w:color="auto"/>
              <w:bottom w:val="single" w:sz="4" w:space="0" w:color="auto"/>
              <w:right w:val="nil"/>
            </w:tcBorders>
            <w:shd w:val="clear" w:color="auto" w:fill="auto"/>
            <w:noWrap/>
            <w:vAlign w:val="center"/>
            <w:hideMark/>
          </w:tcPr>
          <w:p w:rsidR="00123CB7" w:rsidRPr="00123CB7" w:rsidRDefault="00123CB7" w:rsidP="007C161A">
            <w:pPr>
              <w:keepNext/>
              <w:keepLines/>
              <w:spacing w:after="0" w:line="240" w:lineRule="auto"/>
              <w:rPr>
                <w:rFonts w:ascii="Arial" w:eastAsia="Times New Roman" w:hAnsi="Arial" w:cs="Arial"/>
                <w:sz w:val="16"/>
                <w:szCs w:val="20"/>
                <w:lang w:eastAsia="en-ZA"/>
              </w:rPr>
            </w:pPr>
            <w:r w:rsidRPr="00123CB7">
              <w:rPr>
                <w:rFonts w:ascii="Arial" w:eastAsia="Times New Roman" w:hAnsi="Arial" w:cs="Arial"/>
                <w:sz w:val="16"/>
                <w:szCs w:val="20"/>
                <w:lang w:eastAsia="en-ZA"/>
              </w:rPr>
              <w:t> </w:t>
            </w:r>
          </w:p>
        </w:tc>
        <w:tc>
          <w:tcPr>
            <w:tcW w:w="843" w:type="dxa"/>
            <w:tcBorders>
              <w:top w:val="nil"/>
              <w:left w:val="nil"/>
              <w:bottom w:val="single" w:sz="4" w:space="0" w:color="auto"/>
              <w:right w:val="single" w:sz="4" w:space="0" w:color="auto"/>
            </w:tcBorders>
            <w:shd w:val="clear" w:color="auto" w:fill="auto"/>
            <w:noWrap/>
            <w:vAlign w:val="center"/>
            <w:hideMark/>
          </w:tcPr>
          <w:p w:rsidR="00123CB7" w:rsidRPr="00123CB7" w:rsidRDefault="00123CB7" w:rsidP="007C161A">
            <w:pPr>
              <w:keepNext/>
              <w:keepLines/>
              <w:spacing w:after="0" w:line="240" w:lineRule="auto"/>
              <w:rPr>
                <w:rFonts w:ascii="Arial" w:eastAsia="Times New Roman" w:hAnsi="Arial" w:cs="Arial"/>
                <w:sz w:val="16"/>
                <w:szCs w:val="20"/>
                <w:lang w:eastAsia="en-ZA"/>
              </w:rPr>
            </w:pPr>
            <w:r w:rsidRPr="00123CB7">
              <w:rPr>
                <w:rFonts w:ascii="Arial" w:eastAsia="Times New Roman" w:hAnsi="Arial" w:cs="Arial"/>
                <w:sz w:val="16"/>
                <w:szCs w:val="20"/>
                <w:lang w:eastAsia="en-ZA"/>
              </w:rPr>
              <w:t> </w:t>
            </w:r>
          </w:p>
        </w:tc>
        <w:tc>
          <w:tcPr>
            <w:tcW w:w="614" w:type="dxa"/>
            <w:tcBorders>
              <w:top w:val="nil"/>
              <w:left w:val="nil"/>
              <w:bottom w:val="single" w:sz="4" w:space="0" w:color="auto"/>
              <w:right w:val="single" w:sz="4" w:space="0" w:color="auto"/>
            </w:tcBorders>
            <w:shd w:val="clear" w:color="auto" w:fill="auto"/>
            <w:noWrap/>
            <w:vAlign w:val="center"/>
            <w:hideMark/>
          </w:tcPr>
          <w:p w:rsidR="00123CB7" w:rsidRPr="00123CB7" w:rsidRDefault="00123CB7" w:rsidP="007C161A">
            <w:pPr>
              <w:keepNext/>
              <w:keepLines/>
              <w:spacing w:after="0" w:line="240" w:lineRule="auto"/>
              <w:jc w:val="right"/>
              <w:rPr>
                <w:rFonts w:ascii="Arial" w:eastAsia="Times New Roman" w:hAnsi="Arial" w:cs="Arial"/>
                <w:sz w:val="16"/>
                <w:szCs w:val="20"/>
                <w:lang w:eastAsia="en-ZA"/>
              </w:rPr>
            </w:pPr>
            <w:r w:rsidRPr="00123CB7">
              <w:rPr>
                <w:rFonts w:ascii="Arial" w:eastAsia="Times New Roman" w:hAnsi="Arial" w:cs="Arial"/>
                <w:sz w:val="16"/>
                <w:szCs w:val="20"/>
                <w:lang w:eastAsia="en-ZA"/>
              </w:rPr>
              <w:t> </w:t>
            </w:r>
          </w:p>
        </w:tc>
        <w:tc>
          <w:tcPr>
            <w:tcW w:w="1487" w:type="dxa"/>
            <w:tcBorders>
              <w:top w:val="nil"/>
              <w:left w:val="nil"/>
              <w:bottom w:val="single" w:sz="4" w:space="0" w:color="auto"/>
              <w:right w:val="single" w:sz="4" w:space="0" w:color="auto"/>
            </w:tcBorders>
            <w:shd w:val="clear" w:color="auto" w:fill="auto"/>
            <w:noWrap/>
            <w:vAlign w:val="center"/>
            <w:hideMark/>
          </w:tcPr>
          <w:p w:rsidR="00123CB7" w:rsidRPr="00123CB7" w:rsidRDefault="00123CB7" w:rsidP="007C161A">
            <w:pPr>
              <w:keepNext/>
              <w:keepLines/>
              <w:spacing w:after="0" w:line="240" w:lineRule="auto"/>
              <w:jc w:val="center"/>
              <w:rPr>
                <w:rFonts w:ascii="Arial" w:eastAsia="Times New Roman" w:hAnsi="Arial" w:cs="Arial"/>
                <w:sz w:val="16"/>
                <w:szCs w:val="20"/>
                <w:lang w:eastAsia="en-ZA"/>
              </w:rPr>
            </w:pPr>
            <w:r w:rsidRPr="00123CB7">
              <w:rPr>
                <w:rFonts w:ascii="Arial" w:eastAsia="Times New Roman" w:hAnsi="Arial" w:cs="Arial"/>
                <w:sz w:val="16"/>
                <w:szCs w:val="20"/>
                <w:lang w:eastAsia="en-ZA"/>
              </w:rPr>
              <w:t> </w:t>
            </w:r>
          </w:p>
        </w:tc>
        <w:tc>
          <w:tcPr>
            <w:tcW w:w="1693" w:type="dxa"/>
            <w:tcBorders>
              <w:top w:val="nil"/>
              <w:left w:val="nil"/>
              <w:bottom w:val="single" w:sz="4" w:space="0" w:color="auto"/>
              <w:right w:val="single" w:sz="4" w:space="0" w:color="auto"/>
            </w:tcBorders>
            <w:shd w:val="clear" w:color="auto" w:fill="auto"/>
            <w:noWrap/>
            <w:vAlign w:val="center"/>
            <w:hideMark/>
          </w:tcPr>
          <w:p w:rsidR="00123CB7" w:rsidRPr="00123CB7" w:rsidRDefault="00123CB7" w:rsidP="007C161A">
            <w:pPr>
              <w:keepNext/>
              <w:keepLines/>
              <w:spacing w:after="0" w:line="240" w:lineRule="auto"/>
              <w:jc w:val="center"/>
              <w:rPr>
                <w:rFonts w:ascii="Arial" w:eastAsia="Times New Roman" w:hAnsi="Arial" w:cs="Arial"/>
                <w:sz w:val="16"/>
                <w:szCs w:val="20"/>
                <w:lang w:eastAsia="en-ZA"/>
              </w:rPr>
            </w:pPr>
            <w:r w:rsidRPr="00123CB7">
              <w:rPr>
                <w:rFonts w:ascii="Arial" w:eastAsia="Times New Roman" w:hAnsi="Arial" w:cs="Arial"/>
                <w:sz w:val="16"/>
                <w:szCs w:val="20"/>
                <w:lang w:eastAsia="en-ZA"/>
              </w:rPr>
              <w:t> </w:t>
            </w:r>
          </w:p>
        </w:tc>
      </w:tr>
      <w:tr w:rsidR="00C47E3F" w:rsidRPr="00123CB7" w:rsidTr="00C47E3F">
        <w:trPr>
          <w:cantSplit/>
          <w:trHeight w:val="266"/>
          <w:tblHeader/>
        </w:trPr>
        <w:tc>
          <w:tcPr>
            <w:tcW w:w="4488" w:type="dxa"/>
            <w:tcBorders>
              <w:top w:val="nil"/>
              <w:left w:val="nil"/>
              <w:bottom w:val="nil"/>
              <w:right w:val="nil"/>
            </w:tcBorders>
            <w:shd w:val="clear" w:color="auto" w:fill="auto"/>
            <w:noWrap/>
            <w:vAlign w:val="center"/>
            <w:hideMark/>
          </w:tcPr>
          <w:p w:rsidR="00123CB7" w:rsidRPr="00123CB7" w:rsidRDefault="00123CB7" w:rsidP="007C161A">
            <w:pPr>
              <w:keepNext/>
              <w:keepLines/>
              <w:spacing w:after="0" w:line="240" w:lineRule="auto"/>
              <w:jc w:val="center"/>
              <w:rPr>
                <w:rFonts w:ascii="Arial" w:eastAsia="Times New Roman" w:hAnsi="Arial" w:cs="Arial"/>
                <w:sz w:val="16"/>
                <w:szCs w:val="20"/>
                <w:lang w:eastAsia="en-ZA"/>
              </w:rPr>
            </w:pPr>
          </w:p>
        </w:tc>
        <w:tc>
          <w:tcPr>
            <w:tcW w:w="843" w:type="dxa"/>
            <w:tcBorders>
              <w:top w:val="nil"/>
              <w:left w:val="nil"/>
              <w:bottom w:val="nil"/>
              <w:right w:val="nil"/>
            </w:tcBorders>
            <w:shd w:val="clear" w:color="auto" w:fill="auto"/>
            <w:noWrap/>
            <w:vAlign w:val="center"/>
            <w:hideMark/>
          </w:tcPr>
          <w:p w:rsidR="00123CB7" w:rsidRPr="00123CB7" w:rsidRDefault="00123CB7" w:rsidP="007C161A">
            <w:pPr>
              <w:keepNext/>
              <w:keepLines/>
              <w:spacing w:after="0" w:line="240" w:lineRule="auto"/>
              <w:rPr>
                <w:rFonts w:ascii="Times New Roman" w:eastAsia="Times New Roman" w:hAnsi="Times New Roman" w:cs="Times New Roman"/>
                <w:sz w:val="16"/>
                <w:szCs w:val="20"/>
                <w:lang w:eastAsia="en-ZA"/>
              </w:rPr>
            </w:pPr>
          </w:p>
        </w:tc>
        <w:tc>
          <w:tcPr>
            <w:tcW w:w="614" w:type="dxa"/>
            <w:tcBorders>
              <w:top w:val="nil"/>
              <w:left w:val="nil"/>
              <w:bottom w:val="nil"/>
              <w:right w:val="nil"/>
            </w:tcBorders>
            <w:shd w:val="clear" w:color="auto" w:fill="auto"/>
            <w:noWrap/>
            <w:vAlign w:val="center"/>
            <w:hideMark/>
          </w:tcPr>
          <w:p w:rsidR="00123CB7" w:rsidRPr="00123CB7" w:rsidRDefault="00123CB7" w:rsidP="007C161A">
            <w:pPr>
              <w:keepNext/>
              <w:keepLines/>
              <w:spacing w:after="0" w:line="240" w:lineRule="auto"/>
              <w:rPr>
                <w:rFonts w:ascii="Times New Roman" w:eastAsia="Times New Roman" w:hAnsi="Times New Roman" w:cs="Times New Roman"/>
                <w:sz w:val="16"/>
                <w:szCs w:val="20"/>
                <w:lang w:eastAsia="en-ZA"/>
              </w:rPr>
            </w:pPr>
          </w:p>
        </w:tc>
        <w:tc>
          <w:tcPr>
            <w:tcW w:w="1487" w:type="dxa"/>
            <w:tcBorders>
              <w:top w:val="nil"/>
              <w:left w:val="nil"/>
              <w:bottom w:val="nil"/>
              <w:right w:val="nil"/>
            </w:tcBorders>
            <w:shd w:val="clear" w:color="auto" w:fill="auto"/>
            <w:noWrap/>
            <w:vAlign w:val="center"/>
            <w:hideMark/>
          </w:tcPr>
          <w:p w:rsidR="00123CB7" w:rsidRPr="00123CB7" w:rsidRDefault="00123CB7" w:rsidP="007C161A">
            <w:pPr>
              <w:keepNext/>
              <w:keepLines/>
              <w:spacing w:after="0" w:line="240" w:lineRule="auto"/>
              <w:jc w:val="right"/>
              <w:rPr>
                <w:rFonts w:ascii="Arial" w:eastAsia="Times New Roman" w:hAnsi="Arial" w:cs="Arial"/>
                <w:b/>
                <w:bCs/>
                <w:sz w:val="16"/>
                <w:szCs w:val="20"/>
                <w:lang w:eastAsia="en-ZA"/>
              </w:rPr>
            </w:pPr>
            <w:r w:rsidRPr="00123CB7">
              <w:rPr>
                <w:rFonts w:ascii="Arial" w:eastAsia="Times New Roman" w:hAnsi="Arial" w:cs="Arial"/>
                <w:b/>
                <w:bCs/>
                <w:sz w:val="16"/>
                <w:szCs w:val="20"/>
                <w:lang w:eastAsia="en-ZA"/>
              </w:rPr>
              <w:t xml:space="preserve">SUBTOTAL  </w:t>
            </w:r>
          </w:p>
        </w:tc>
        <w:tc>
          <w:tcPr>
            <w:tcW w:w="1693" w:type="dxa"/>
            <w:tcBorders>
              <w:top w:val="nil"/>
              <w:left w:val="single" w:sz="4" w:space="0" w:color="auto"/>
              <w:bottom w:val="single" w:sz="4" w:space="0" w:color="auto"/>
              <w:right w:val="single" w:sz="4" w:space="0" w:color="auto"/>
            </w:tcBorders>
            <w:shd w:val="clear" w:color="auto" w:fill="auto"/>
            <w:noWrap/>
            <w:vAlign w:val="center"/>
            <w:hideMark/>
          </w:tcPr>
          <w:p w:rsidR="00123CB7" w:rsidRPr="00123CB7" w:rsidRDefault="00123CB7" w:rsidP="007C161A">
            <w:pPr>
              <w:keepNext/>
              <w:keepLines/>
              <w:spacing w:after="0" w:line="240" w:lineRule="auto"/>
              <w:jc w:val="right"/>
              <w:rPr>
                <w:rFonts w:ascii="Arial" w:eastAsia="Times New Roman" w:hAnsi="Arial" w:cs="Arial"/>
                <w:sz w:val="16"/>
                <w:szCs w:val="20"/>
                <w:lang w:eastAsia="en-ZA"/>
              </w:rPr>
            </w:pPr>
            <w:r w:rsidRPr="00123CB7">
              <w:rPr>
                <w:rFonts w:ascii="Arial" w:eastAsia="Times New Roman" w:hAnsi="Arial" w:cs="Arial"/>
                <w:sz w:val="16"/>
                <w:szCs w:val="20"/>
                <w:lang w:eastAsia="en-ZA"/>
              </w:rPr>
              <w:t xml:space="preserve"> $        5 050.08 </w:t>
            </w:r>
          </w:p>
        </w:tc>
      </w:tr>
    </w:tbl>
    <w:p w:rsidR="00DB02D2" w:rsidRDefault="00DB02D2" w:rsidP="007C161A">
      <w:pPr>
        <w:pStyle w:val="NoSpacing"/>
        <w:keepNext/>
        <w:keepLines/>
      </w:pPr>
    </w:p>
    <w:p w:rsidR="00506C2B" w:rsidRDefault="00506C2B" w:rsidP="007C161A">
      <w:pPr>
        <w:pStyle w:val="NoSpacing"/>
        <w:keepNext/>
        <w:keepLines/>
      </w:pPr>
      <w:r w:rsidRPr="00506C2B">
        <w:rPr>
          <w:rStyle w:val="Heading2Char"/>
        </w:rPr>
        <w:t>Scholarship:</w:t>
      </w:r>
      <w:r>
        <w:t xml:space="preserve"> </w:t>
      </w:r>
      <w:r w:rsidR="002E1F64">
        <w:t xml:space="preserve">Approx. </w:t>
      </w:r>
      <w:r>
        <w:t>R110 000 p.a. for two years</w:t>
      </w:r>
      <w:r w:rsidR="002E1F64">
        <w:t xml:space="preserve"> (TBC)</w:t>
      </w:r>
    </w:p>
    <w:p w:rsidR="000D1680" w:rsidRDefault="000D1680" w:rsidP="002C632D">
      <w:pPr>
        <w:pStyle w:val="NoSpacing"/>
      </w:pPr>
    </w:p>
    <w:p w:rsidR="000D1680" w:rsidRDefault="001E6CAB" w:rsidP="002C632D">
      <w:pPr>
        <w:pStyle w:val="Heading1"/>
      </w:pPr>
      <w:r>
        <w:t>Contribution</w:t>
      </w:r>
    </w:p>
    <w:p w:rsidR="00D041C0" w:rsidRDefault="00FC62C9" w:rsidP="002C632D">
      <w:pPr>
        <w:pStyle w:val="NoSpacing"/>
      </w:pPr>
      <w:r w:rsidRPr="00FC62C9">
        <w:t xml:space="preserve">Carbon stock measurements are generally performed using field-based </w:t>
      </w:r>
      <w:proofErr w:type="spellStart"/>
      <w:r w:rsidRPr="00FC62C9">
        <w:t>allometric</w:t>
      </w:r>
      <w:proofErr w:type="spellEnd"/>
      <w:r w:rsidRPr="00FC62C9">
        <w:t xml:space="preserve"> techniques which are extremely time consuming and costly when performed manually and are not practical on a large scale</w:t>
      </w:r>
      <w:r w:rsidR="0003443A">
        <w:t xml:space="preserve"> </w:t>
      </w:r>
      <w:r w:rsidR="0003443A">
        <w:fldChar w:fldCharType="begin" w:fldLock="1"/>
      </w:r>
      <w:r w:rsidR="0003443A">
        <w:instrText>ADDIN CSL_CITATION { "citationItems" : [ { "id" : "ITEM-1", "itemData" : { "author" : [ { "dropping-particle" : "", "family" : "Eisfelder", "given" : "Christina", "non-dropping-particle" : "", "parse-names" : false, "suffix" : "" }, { "dropping-particle" : "", "family" : "Kuenzer", "given" : "Claudia", "non-dropping-particle" : "", "parse-names" : false, "suffix" : "" }, { "dropping-particle" : "", "family" : "Dech", "given" : "Stefan", "non-dropping-particle" : "", "parse-names" : false, "suffix" : "" } ], "container-title" : "International Journal of Remote Sensing", "id" : "ITEM-1", "issue" : "9", "issued" : { "date-parts" : [ [ "2012" ] ] }, "note" : "THIS IS HUGE - VERY NB PAPER FOR ME\nGood summary and v relevant to my work.\nMost studies at low-med res. Soil background a problem. Spatial and temporal inconsistencies. \nArtid lands vulnerable, cover 1/3 of land. Low spatial res an issue. No mention of SPOT is a little worrying. Seems like Thompson followed a pretty standard approach. Multi-temporal approach is common. NDVI and similar VI's also very common. An eg of pan-sharpening. Not much mention of SPOT. Very little VHR work.\nCombining fractional cover + height was succesful. Conclusion is to try use physical rather than empirical models.\nSome of the problems reported here can be avoided in my project i.e. soil mixing shouldn't be a problem with VHR, senescent veg/ phenological changes are less of an issue with evergreen P. afra.\nRadar promising for spatial/temporal transferability for obvious reasons!!\n\n\nNot thoroughly read.", "page" : "2937\u20132984", "title" : "Derivation of biomass information for semi-arid areas using remote-sensing data", "type" : "article-journal", "volume" : "33" }, "uris" : [ "http://www.mendeley.com/documents/?uuid=0c2b21a5-07d2-4331-a168-618b2a13fe65" ] }, { "id" : "ITEM-2", "itemData" : { "DOI" : "10.1080/01431160500486732", "ISSN" : "0143-1161", "author" : [ { "dropping-particle" : "", "family" : "Lu", "given" : "Dengsheng", "non-dropping-particle" : "", "parse-names" : false, "suffix" : "" } ], "container-title" : "International Journal of Remote Sensing", "id" : "ITEM-2", "issue" : "7", "issued" : { "date-parts" : [ [ "2006", "4" ] ] }, "note" : "Another good summary of the value of biomass estimations and review of existing methods. Mainly for forest. Looks at VHR.\nLooks at transferability and calibration issues a little\nTalks a bit about texture\n\n\nNot thoroughly read.", "page" : "1297-1328", "title" : "The potential and challenge of remote sensing based biomass estimation", "type" : "article-journal", "volume" : "27" }, "uris" : [ "http://www.mendeley.com/documents/?uuid=d5ffc955-7f41-4292-bad0-89f8a2ea53a6" ] } ], "mendeley" : { "formattedCitation" : "(Eisfelder, Kuenzer &amp; Dech 2012; Lu 2006)", "plainTextFormattedCitation" : "(Eisfelder, Kuenzer &amp; Dech 2012; Lu 2006)", "previouslyFormattedCitation" : "(Eisfelder, Kuenzer &amp; Dech 2012; Lu 2006)" }, "properties" : { "noteIndex" : 0 }, "schema" : "https://github.com/citation-style-language/schema/raw/master/csl-citation.json" }</w:instrText>
      </w:r>
      <w:r w:rsidR="0003443A">
        <w:fldChar w:fldCharType="separate"/>
      </w:r>
      <w:r w:rsidR="0003443A" w:rsidRPr="0003443A">
        <w:rPr>
          <w:noProof/>
        </w:rPr>
        <w:t>(Eisfelder, Kuenzer &amp; Dech 2012; Lu 2006)</w:t>
      </w:r>
      <w:r w:rsidR="0003443A">
        <w:fldChar w:fldCharType="end"/>
      </w:r>
      <w:r w:rsidRPr="00FC62C9">
        <w:t xml:space="preserve">.  The impracticality of </w:t>
      </w:r>
      <w:proofErr w:type="spellStart"/>
      <w:r w:rsidRPr="00FC62C9">
        <w:t>allometry</w:t>
      </w:r>
      <w:proofErr w:type="spellEnd"/>
      <w:r w:rsidRPr="00FC62C9">
        <w:t xml:space="preserve"> for large areas is confounded in the Subtropical Thicket biome due to its density, heterogeneous nature and complex growth forms</w:t>
      </w:r>
      <w:r w:rsidR="0003443A">
        <w:t xml:space="preserve"> </w:t>
      </w:r>
      <w:r w:rsidR="0003443A">
        <w:fldChar w:fldCharType="begin" w:fldLock="1"/>
      </w:r>
      <w:r w:rsidR="006D27FB">
        <w:instrText>ADDIN CSL_CITATION { "citationItems" : [ { "id" : "ITEM-1", "itemData" : { "author" : [ { "dropping-particle" : "", "family" : "Powell", "given" : "Michael John", "non-dropping-particle" : "", "parse-names" : false, "suffix" : "" } ], "collection-title" : "Series", "id" : "ITEM-1", "issued" : { "date-parts" : [ [ "2009" ] ] }, "note" : "with the 25 m2 and 625 m2 being the outer grid for the DST/ST and OL, respectively. The outer grid was used to employ allometry, within which 4 m2 grids were laid for sampling all herbaceous biomass, and a 0.25 m2 plot was laid out for litter sampling", "number" : "MSc. thesis", "publisher-place" : "Master's thesis. Grahamstown: Rhodes University, Department of Environmental Science", "title" : "Restoration of degraded subtropical thickets in the Baviaanskloof Megareserve, South Africa", "type" : "report" }, "uris" : [ "http://www.mendeley.com/documents/?uuid=d717f24d-d825-48c5-af2e-4f650755204e" ] } ], "mendeley" : { "formattedCitation" : "(Powell 2009)", "plainTextFormattedCitation" : "(Powell 2009)", "previouslyFormattedCitation" : "(Powell 2009)" }, "properties" : { "noteIndex" : 0 }, "schema" : "https://github.com/citation-style-language/schema/raw/master/csl-citation.json" }</w:instrText>
      </w:r>
      <w:r w:rsidR="0003443A">
        <w:fldChar w:fldCharType="separate"/>
      </w:r>
      <w:r w:rsidR="0003443A" w:rsidRPr="0003443A">
        <w:rPr>
          <w:noProof/>
        </w:rPr>
        <w:t>(Powell 2009)</w:t>
      </w:r>
      <w:r w:rsidR="0003443A">
        <w:fldChar w:fldCharType="end"/>
      </w:r>
      <w:r w:rsidRPr="00FC62C9">
        <w:t>.</w:t>
      </w:r>
      <w:r>
        <w:t xml:space="preserve">  The main contribution of this </w:t>
      </w:r>
      <w:r w:rsidR="00C36C48">
        <w:t>research</w:t>
      </w:r>
      <w:r>
        <w:t xml:space="preserve"> lies in the automation of carbon stock measurements.  </w:t>
      </w:r>
      <w:r w:rsidR="00C36C48">
        <w:t xml:space="preserve">A remote sensing </w:t>
      </w:r>
      <w:r w:rsidR="000F4908">
        <w:t xml:space="preserve">carbon stock mapping </w:t>
      </w:r>
      <w:r w:rsidR="00C36C48">
        <w:t xml:space="preserve">technique would provide significant cost and time savings over manual field-based methods.  </w:t>
      </w:r>
      <w:r>
        <w:t>It has the potential to be a</w:t>
      </w:r>
      <w:r w:rsidR="001300F3">
        <w:t>n</w:t>
      </w:r>
      <w:r w:rsidR="00634650">
        <w:t xml:space="preserve"> </w:t>
      </w:r>
      <w:r w:rsidR="001300F3">
        <w:t>important</w:t>
      </w:r>
      <w:r w:rsidR="00634650">
        <w:t xml:space="preserve"> </w:t>
      </w:r>
      <w:r>
        <w:t>enabler</w:t>
      </w:r>
      <w:r w:rsidR="00C36C48">
        <w:t xml:space="preserve"> for thicket restoration and could significantly ease the </w:t>
      </w:r>
      <w:r w:rsidR="00634650">
        <w:t xml:space="preserve">cost, time and administrative </w:t>
      </w:r>
      <w:r w:rsidR="00C36C48">
        <w:t xml:space="preserve">burden of qualifying for carbon trading schemes such as </w:t>
      </w:r>
      <w:r w:rsidR="005C69D6">
        <w:t xml:space="preserve">the </w:t>
      </w:r>
      <w:r w:rsidR="00634650">
        <w:t>VCS and CDM.  Lessons learnt in the development of this technique could be helpful in producing similar maps of other South African biomes.</w:t>
      </w:r>
      <w:r w:rsidR="000F4908">
        <w:t xml:space="preserve">  Successful </w:t>
      </w:r>
      <w:r w:rsidR="00C95944">
        <w:t xml:space="preserve">canopy cover and carbon stock mapping algorithms could also be used to </w:t>
      </w:r>
      <w:r w:rsidR="005C69D6">
        <w:t xml:space="preserve">help </w:t>
      </w:r>
      <w:r w:rsidR="00C95944">
        <w:t xml:space="preserve">deepen understanding of </w:t>
      </w:r>
      <w:r w:rsidR="00474893">
        <w:t xml:space="preserve">the </w:t>
      </w:r>
      <w:r w:rsidR="00C95944">
        <w:t>ecology, carbon cycle and restoration dynamics of Subtropical Thicket.</w:t>
      </w:r>
      <w:r w:rsidR="007C0C55">
        <w:t xml:space="preserve">  </w:t>
      </w:r>
      <w:r w:rsidR="000F4908">
        <w:t>T</w:t>
      </w:r>
      <w:r w:rsidR="00D041C0">
        <w:t xml:space="preserve">his </w:t>
      </w:r>
      <w:r w:rsidR="00167265">
        <w:t>work</w:t>
      </w:r>
      <w:r w:rsidR="00D041C0">
        <w:t xml:space="preserve"> </w:t>
      </w:r>
      <w:r w:rsidR="00C36C48">
        <w:t xml:space="preserve">also </w:t>
      </w:r>
      <w:r w:rsidR="00D041C0">
        <w:t>presents a number of challenges from a technical remote sensing perspective</w:t>
      </w:r>
      <w:r w:rsidR="000F4908">
        <w:t xml:space="preserve"> and would </w:t>
      </w:r>
      <w:r w:rsidR="00474893">
        <w:t xml:space="preserve">thus </w:t>
      </w:r>
      <w:r w:rsidR="000F4908">
        <w:t xml:space="preserve">help develop local </w:t>
      </w:r>
      <w:r w:rsidR="00474893">
        <w:t xml:space="preserve">scientific </w:t>
      </w:r>
      <w:r w:rsidR="000F4908">
        <w:t xml:space="preserve">knowledge and ability in </w:t>
      </w:r>
      <w:r w:rsidR="007C0C55">
        <w:t>these areas</w:t>
      </w:r>
      <w:r w:rsidR="00D041C0">
        <w:t>.</w:t>
      </w:r>
      <w:r w:rsidR="007C0C55">
        <w:t xml:space="preserve"> </w:t>
      </w:r>
    </w:p>
    <w:p w:rsidR="005007BB" w:rsidRDefault="005007BB" w:rsidP="002C632D">
      <w:pPr>
        <w:pStyle w:val="NoSpacing"/>
      </w:pPr>
    </w:p>
    <w:p w:rsidR="005007BB" w:rsidRDefault="005007BB" w:rsidP="005007BB">
      <w:pPr>
        <w:pStyle w:val="Heading1"/>
      </w:pPr>
      <w:r>
        <w:t>References</w:t>
      </w:r>
    </w:p>
    <w:p w:rsidR="005C69D6" w:rsidRPr="005C69D6" w:rsidRDefault="005007BB" w:rsidP="005C69D6">
      <w:pPr>
        <w:widowControl w:val="0"/>
        <w:autoSpaceDE w:val="0"/>
        <w:autoSpaceDN w:val="0"/>
        <w:adjustRightInd w:val="0"/>
        <w:spacing w:after="0"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5C69D6" w:rsidRPr="005C69D6">
        <w:rPr>
          <w:rFonts w:ascii="Calibri" w:hAnsi="Calibri" w:cs="Times New Roman"/>
          <w:noProof/>
          <w:szCs w:val="24"/>
        </w:rPr>
        <w:t xml:space="preserve">Eisfelder C, Kuenzer C &amp; Dech S 2012. Derivation of biomass information for semi-arid areas using remote-sensing data. </w:t>
      </w:r>
      <w:r w:rsidR="005C69D6" w:rsidRPr="005C69D6">
        <w:rPr>
          <w:rFonts w:ascii="Calibri" w:hAnsi="Calibri" w:cs="Times New Roman"/>
          <w:i/>
          <w:iCs/>
          <w:noProof/>
          <w:szCs w:val="24"/>
        </w:rPr>
        <w:t>International Journal of Remote Sensing</w:t>
      </w:r>
      <w:r w:rsidR="005C69D6" w:rsidRPr="005C69D6">
        <w:rPr>
          <w:rFonts w:ascii="Calibri" w:hAnsi="Calibri" w:cs="Times New Roman"/>
          <w:noProof/>
          <w:szCs w:val="24"/>
        </w:rPr>
        <w:t xml:space="preserve"> 33 (9): 2937–2984.</w:t>
      </w:r>
    </w:p>
    <w:p w:rsidR="005C69D6" w:rsidRPr="005C69D6" w:rsidRDefault="005C69D6" w:rsidP="005C69D6">
      <w:pPr>
        <w:widowControl w:val="0"/>
        <w:autoSpaceDE w:val="0"/>
        <w:autoSpaceDN w:val="0"/>
        <w:adjustRightInd w:val="0"/>
        <w:spacing w:after="0" w:line="240" w:lineRule="auto"/>
        <w:ind w:left="480" w:hanging="480"/>
        <w:rPr>
          <w:rFonts w:ascii="Calibri" w:hAnsi="Calibri" w:cs="Times New Roman"/>
          <w:noProof/>
          <w:szCs w:val="24"/>
        </w:rPr>
      </w:pPr>
      <w:r w:rsidRPr="005C69D6">
        <w:rPr>
          <w:rFonts w:ascii="Calibri" w:hAnsi="Calibri" w:cs="Times New Roman"/>
          <w:noProof/>
          <w:szCs w:val="24"/>
        </w:rPr>
        <w:t xml:space="preserve">Goetz SJ, Baccini A, Laporte NT, Johns T, Walker W, Kellndorfer J, Houghton R a &amp; Sun M 2009. Mapping and monitoring carbon stocks with satellite observations: a comparison of methods. </w:t>
      </w:r>
      <w:r w:rsidRPr="005C69D6">
        <w:rPr>
          <w:rFonts w:ascii="Calibri" w:hAnsi="Calibri" w:cs="Times New Roman"/>
          <w:i/>
          <w:iCs/>
          <w:noProof/>
          <w:szCs w:val="24"/>
        </w:rPr>
        <w:t>Carbon Balance and Management</w:t>
      </w:r>
      <w:r w:rsidRPr="005C69D6">
        <w:rPr>
          <w:rFonts w:ascii="Calibri" w:hAnsi="Calibri" w:cs="Times New Roman"/>
          <w:noProof/>
          <w:szCs w:val="24"/>
        </w:rPr>
        <w:t xml:space="preserve"> 4 (2): 1–7.</w:t>
      </w:r>
    </w:p>
    <w:p w:rsidR="005C69D6" w:rsidRPr="005C69D6" w:rsidRDefault="005C69D6" w:rsidP="005C69D6">
      <w:pPr>
        <w:widowControl w:val="0"/>
        <w:autoSpaceDE w:val="0"/>
        <w:autoSpaceDN w:val="0"/>
        <w:adjustRightInd w:val="0"/>
        <w:spacing w:after="0" w:line="240" w:lineRule="auto"/>
        <w:ind w:left="480" w:hanging="480"/>
        <w:rPr>
          <w:rFonts w:ascii="Calibri" w:hAnsi="Calibri" w:cs="Times New Roman"/>
          <w:noProof/>
          <w:szCs w:val="24"/>
        </w:rPr>
      </w:pPr>
      <w:r w:rsidRPr="005C69D6">
        <w:rPr>
          <w:rFonts w:ascii="Calibri" w:hAnsi="Calibri" w:cs="Times New Roman"/>
          <w:noProof/>
          <w:szCs w:val="24"/>
        </w:rPr>
        <w:t xml:space="preserve">Lu D 2006. The potential and challenge of remote sensing based biomass estimation. </w:t>
      </w:r>
      <w:r w:rsidRPr="005C69D6">
        <w:rPr>
          <w:rFonts w:ascii="Calibri" w:hAnsi="Calibri" w:cs="Times New Roman"/>
          <w:i/>
          <w:iCs/>
          <w:noProof/>
          <w:szCs w:val="24"/>
        </w:rPr>
        <w:t>International Journal of Remote Sensing</w:t>
      </w:r>
      <w:r w:rsidRPr="005C69D6">
        <w:rPr>
          <w:rFonts w:ascii="Calibri" w:hAnsi="Calibri" w:cs="Times New Roman"/>
          <w:noProof/>
          <w:szCs w:val="24"/>
        </w:rPr>
        <w:t xml:space="preserve"> 27 (7): 1297–1328.</w:t>
      </w:r>
    </w:p>
    <w:p w:rsidR="005C69D6" w:rsidRPr="005C69D6" w:rsidRDefault="005C69D6" w:rsidP="005C69D6">
      <w:pPr>
        <w:widowControl w:val="0"/>
        <w:autoSpaceDE w:val="0"/>
        <w:autoSpaceDN w:val="0"/>
        <w:adjustRightInd w:val="0"/>
        <w:spacing w:after="0" w:line="240" w:lineRule="auto"/>
        <w:ind w:left="480" w:hanging="480"/>
        <w:rPr>
          <w:rFonts w:ascii="Calibri" w:hAnsi="Calibri" w:cs="Times New Roman"/>
          <w:noProof/>
          <w:szCs w:val="24"/>
        </w:rPr>
      </w:pPr>
      <w:r w:rsidRPr="005C69D6">
        <w:rPr>
          <w:rFonts w:ascii="Calibri" w:hAnsi="Calibri" w:cs="Times New Roman"/>
          <w:noProof/>
          <w:szCs w:val="24"/>
        </w:rPr>
        <w:t xml:space="preserve">Marais C, Cowling RM &amp; Powell M 2009. Establishing the platform for a carbon sequestration market in South Africa: The Working for Woodlands Subtropical Thicket Restoration Programme. In </w:t>
      </w:r>
      <w:r w:rsidRPr="005C69D6">
        <w:rPr>
          <w:rFonts w:ascii="Calibri" w:hAnsi="Calibri" w:cs="Times New Roman"/>
          <w:i/>
          <w:iCs/>
          <w:noProof/>
          <w:szCs w:val="24"/>
        </w:rPr>
        <w:t>XIII World Forestry Congress</w:t>
      </w:r>
      <w:r w:rsidRPr="005C69D6">
        <w:rPr>
          <w:rFonts w:ascii="Calibri" w:hAnsi="Calibri" w:cs="Times New Roman"/>
          <w:noProof/>
          <w:szCs w:val="24"/>
        </w:rPr>
        <w:t>, 1–13. Buenos Aires, Argentina.</w:t>
      </w:r>
    </w:p>
    <w:p w:rsidR="005C69D6" w:rsidRPr="005C69D6" w:rsidRDefault="005C69D6" w:rsidP="005C69D6">
      <w:pPr>
        <w:widowControl w:val="0"/>
        <w:autoSpaceDE w:val="0"/>
        <w:autoSpaceDN w:val="0"/>
        <w:adjustRightInd w:val="0"/>
        <w:spacing w:after="0" w:line="240" w:lineRule="auto"/>
        <w:ind w:left="480" w:hanging="480"/>
        <w:rPr>
          <w:rFonts w:ascii="Calibri" w:hAnsi="Calibri" w:cs="Times New Roman"/>
          <w:noProof/>
          <w:szCs w:val="24"/>
        </w:rPr>
      </w:pPr>
      <w:r w:rsidRPr="005C69D6">
        <w:rPr>
          <w:rFonts w:ascii="Calibri" w:hAnsi="Calibri" w:cs="Times New Roman"/>
          <w:noProof/>
          <w:szCs w:val="24"/>
        </w:rPr>
        <w:t xml:space="preserve">Mills AJ, Blignaut J, Cowling RM, Knipe A, Marais C, Marais S, Pierce S, Powell M, Sigwela A &amp; Skowno A 2010. </w:t>
      </w:r>
      <w:r w:rsidRPr="005C69D6">
        <w:rPr>
          <w:rFonts w:ascii="Calibri" w:hAnsi="Calibri" w:cs="Times New Roman"/>
          <w:i/>
          <w:iCs/>
          <w:noProof/>
          <w:szCs w:val="24"/>
        </w:rPr>
        <w:t>Investing in sustainability. Restoring degraded thicket, creating jobs, capturing carbon and earning green credit.</w:t>
      </w:r>
      <w:r w:rsidRPr="005C69D6">
        <w:rPr>
          <w:rFonts w:ascii="Calibri" w:hAnsi="Calibri" w:cs="Times New Roman"/>
          <w:noProof/>
          <w:szCs w:val="24"/>
        </w:rPr>
        <w:t xml:space="preserve"> Climate Action Partnership, Cape Town and Wilderness Foundation, </w:t>
      </w:r>
      <w:r w:rsidRPr="005C69D6">
        <w:rPr>
          <w:rFonts w:ascii="Calibri" w:hAnsi="Calibri" w:cs="Times New Roman"/>
          <w:noProof/>
          <w:szCs w:val="24"/>
        </w:rPr>
        <w:lastRenderedPageBreak/>
        <w:t>Port Elizabeth.</w:t>
      </w:r>
    </w:p>
    <w:p w:rsidR="005C69D6" w:rsidRPr="005C69D6" w:rsidRDefault="005C69D6" w:rsidP="005C69D6">
      <w:pPr>
        <w:widowControl w:val="0"/>
        <w:autoSpaceDE w:val="0"/>
        <w:autoSpaceDN w:val="0"/>
        <w:adjustRightInd w:val="0"/>
        <w:spacing w:after="0" w:line="240" w:lineRule="auto"/>
        <w:ind w:left="480" w:hanging="480"/>
        <w:rPr>
          <w:rFonts w:ascii="Calibri" w:hAnsi="Calibri" w:cs="Times New Roman"/>
          <w:noProof/>
          <w:szCs w:val="24"/>
        </w:rPr>
      </w:pPr>
      <w:r w:rsidRPr="005C69D6">
        <w:rPr>
          <w:rFonts w:ascii="Calibri" w:hAnsi="Calibri" w:cs="Times New Roman"/>
          <w:noProof/>
          <w:szCs w:val="24"/>
        </w:rPr>
        <w:t>Powell MJ 2009. Restoration of degraded subtropical thickets in the Baviaanskloof Megareserve, South Africa. Master’s thesis. Grahamstown: Rhodes University, Department of Environmental Science.</w:t>
      </w:r>
    </w:p>
    <w:p w:rsidR="005C69D6" w:rsidRPr="005C69D6" w:rsidRDefault="005C69D6" w:rsidP="005C69D6">
      <w:pPr>
        <w:widowControl w:val="0"/>
        <w:autoSpaceDE w:val="0"/>
        <w:autoSpaceDN w:val="0"/>
        <w:adjustRightInd w:val="0"/>
        <w:spacing w:after="0" w:line="240" w:lineRule="auto"/>
        <w:ind w:left="480" w:hanging="480"/>
        <w:rPr>
          <w:rFonts w:ascii="Calibri" w:hAnsi="Calibri" w:cs="Times New Roman"/>
          <w:noProof/>
          <w:szCs w:val="24"/>
        </w:rPr>
      </w:pPr>
      <w:r w:rsidRPr="005C69D6">
        <w:rPr>
          <w:rFonts w:ascii="Calibri" w:hAnsi="Calibri" w:cs="Times New Roman"/>
          <w:noProof/>
          <w:szCs w:val="24"/>
        </w:rPr>
        <w:t xml:space="preserve">Thompson M, Vlok J, Rouget M, Hoffman MT &amp; Cowling RM 2009. Mapping grazing-induced degradation in a semi-arid environment: A rapid and cost effective approach for assessment and monitoring. </w:t>
      </w:r>
      <w:r w:rsidRPr="005C69D6">
        <w:rPr>
          <w:rFonts w:ascii="Calibri" w:hAnsi="Calibri" w:cs="Times New Roman"/>
          <w:i/>
          <w:iCs/>
          <w:noProof/>
          <w:szCs w:val="24"/>
        </w:rPr>
        <w:t>Environmental Management</w:t>
      </w:r>
      <w:r w:rsidRPr="005C69D6">
        <w:rPr>
          <w:rFonts w:ascii="Calibri" w:hAnsi="Calibri" w:cs="Times New Roman"/>
          <w:noProof/>
          <w:szCs w:val="24"/>
        </w:rPr>
        <w:t xml:space="preserve"> 43: 585–596.</w:t>
      </w:r>
    </w:p>
    <w:p w:rsidR="005C69D6" w:rsidRPr="005C69D6" w:rsidRDefault="005C69D6" w:rsidP="005C69D6">
      <w:pPr>
        <w:widowControl w:val="0"/>
        <w:autoSpaceDE w:val="0"/>
        <w:autoSpaceDN w:val="0"/>
        <w:adjustRightInd w:val="0"/>
        <w:spacing w:after="0" w:line="240" w:lineRule="auto"/>
        <w:ind w:left="480" w:hanging="480"/>
        <w:rPr>
          <w:rFonts w:ascii="Calibri" w:hAnsi="Calibri" w:cs="Times New Roman"/>
          <w:noProof/>
          <w:szCs w:val="24"/>
        </w:rPr>
      </w:pPr>
      <w:r w:rsidRPr="005C69D6">
        <w:rPr>
          <w:rFonts w:ascii="Calibri" w:hAnsi="Calibri" w:cs="Times New Roman"/>
          <w:noProof/>
          <w:szCs w:val="24"/>
        </w:rPr>
        <w:t xml:space="preserve">Turner MD 2003. Methodological reflections on the use of remote sensing and geographic information science in human ecological research. </w:t>
      </w:r>
      <w:r w:rsidRPr="005C69D6">
        <w:rPr>
          <w:rFonts w:ascii="Calibri" w:hAnsi="Calibri" w:cs="Times New Roman"/>
          <w:i/>
          <w:iCs/>
          <w:noProof/>
          <w:szCs w:val="24"/>
        </w:rPr>
        <w:t>Human Ecology</w:t>
      </w:r>
      <w:r w:rsidRPr="005C69D6">
        <w:rPr>
          <w:rFonts w:ascii="Calibri" w:hAnsi="Calibri" w:cs="Times New Roman"/>
          <w:noProof/>
          <w:szCs w:val="24"/>
        </w:rPr>
        <w:t xml:space="preserve"> 31 (2): 255–279.</w:t>
      </w:r>
    </w:p>
    <w:p w:rsidR="005C69D6" w:rsidRPr="005C69D6" w:rsidRDefault="005C69D6" w:rsidP="005C69D6">
      <w:pPr>
        <w:widowControl w:val="0"/>
        <w:autoSpaceDE w:val="0"/>
        <w:autoSpaceDN w:val="0"/>
        <w:adjustRightInd w:val="0"/>
        <w:spacing w:after="0" w:line="240" w:lineRule="auto"/>
        <w:ind w:left="480" w:hanging="480"/>
        <w:rPr>
          <w:rFonts w:ascii="Calibri" w:hAnsi="Calibri"/>
          <w:noProof/>
        </w:rPr>
      </w:pPr>
      <w:r w:rsidRPr="005C69D6">
        <w:rPr>
          <w:rFonts w:ascii="Calibri" w:hAnsi="Calibri" w:cs="Times New Roman"/>
          <w:noProof/>
          <w:szCs w:val="24"/>
        </w:rPr>
        <w:t>Vlok J, Cowling RM &amp; Wolf T 2005. A vegetation map for the Little Karoo. Unpublished maps and report for a SKEP project supported by CEPF grant no 1064410304.</w:t>
      </w:r>
    </w:p>
    <w:p w:rsidR="005007BB" w:rsidRDefault="005007BB" w:rsidP="002C632D">
      <w:pPr>
        <w:pStyle w:val="NoSpacing"/>
      </w:pPr>
      <w:r>
        <w:fldChar w:fldCharType="end"/>
      </w:r>
      <w:bookmarkStart w:id="0" w:name="_GoBack"/>
      <w:bookmarkEnd w:id="0"/>
    </w:p>
    <w:sectPr w:rsidR="005007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7B6842"/>
    <w:multiLevelType w:val="hybridMultilevel"/>
    <w:tmpl w:val="E3E66AA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800"/>
    <w:rsid w:val="00004A57"/>
    <w:rsid w:val="0001453F"/>
    <w:rsid w:val="00016713"/>
    <w:rsid w:val="00023B39"/>
    <w:rsid w:val="00032AD9"/>
    <w:rsid w:val="0003443A"/>
    <w:rsid w:val="00037DF2"/>
    <w:rsid w:val="00041075"/>
    <w:rsid w:val="00047BAC"/>
    <w:rsid w:val="00070CD0"/>
    <w:rsid w:val="0008612B"/>
    <w:rsid w:val="00094357"/>
    <w:rsid w:val="000A0926"/>
    <w:rsid w:val="000C0EF9"/>
    <w:rsid w:val="000C2348"/>
    <w:rsid w:val="000D1680"/>
    <w:rsid w:val="000D3C00"/>
    <w:rsid w:val="000D541E"/>
    <w:rsid w:val="000E38B7"/>
    <w:rsid w:val="000E4FF2"/>
    <w:rsid w:val="000F0596"/>
    <w:rsid w:val="000F107B"/>
    <w:rsid w:val="000F4908"/>
    <w:rsid w:val="000F6C32"/>
    <w:rsid w:val="00101798"/>
    <w:rsid w:val="00123CB7"/>
    <w:rsid w:val="001279CA"/>
    <w:rsid w:val="001300F3"/>
    <w:rsid w:val="001330E5"/>
    <w:rsid w:val="001434FA"/>
    <w:rsid w:val="00146DE4"/>
    <w:rsid w:val="00161C7E"/>
    <w:rsid w:val="00162268"/>
    <w:rsid w:val="00164407"/>
    <w:rsid w:val="00167265"/>
    <w:rsid w:val="00174F09"/>
    <w:rsid w:val="001C5A2E"/>
    <w:rsid w:val="001D12FE"/>
    <w:rsid w:val="001D3E48"/>
    <w:rsid w:val="001D6D28"/>
    <w:rsid w:val="001E0375"/>
    <w:rsid w:val="001E6CAB"/>
    <w:rsid w:val="001E7535"/>
    <w:rsid w:val="002055B4"/>
    <w:rsid w:val="002075F5"/>
    <w:rsid w:val="0020799B"/>
    <w:rsid w:val="00212967"/>
    <w:rsid w:val="00213FBF"/>
    <w:rsid w:val="0024336D"/>
    <w:rsid w:val="00247014"/>
    <w:rsid w:val="00250B89"/>
    <w:rsid w:val="00254B84"/>
    <w:rsid w:val="002712A0"/>
    <w:rsid w:val="002909F4"/>
    <w:rsid w:val="00292110"/>
    <w:rsid w:val="002970F5"/>
    <w:rsid w:val="002C0424"/>
    <w:rsid w:val="002C270E"/>
    <w:rsid w:val="002C33AB"/>
    <w:rsid w:val="002C632D"/>
    <w:rsid w:val="002D5F7E"/>
    <w:rsid w:val="002D69EB"/>
    <w:rsid w:val="002D6BB2"/>
    <w:rsid w:val="002E1530"/>
    <w:rsid w:val="002E1F64"/>
    <w:rsid w:val="002E4B5D"/>
    <w:rsid w:val="00302120"/>
    <w:rsid w:val="00317FCD"/>
    <w:rsid w:val="00342955"/>
    <w:rsid w:val="00343365"/>
    <w:rsid w:val="003520C4"/>
    <w:rsid w:val="00353385"/>
    <w:rsid w:val="0035754D"/>
    <w:rsid w:val="003702A7"/>
    <w:rsid w:val="00370843"/>
    <w:rsid w:val="0037366E"/>
    <w:rsid w:val="00381E1A"/>
    <w:rsid w:val="003B6843"/>
    <w:rsid w:val="003B7364"/>
    <w:rsid w:val="003C0248"/>
    <w:rsid w:val="003C3BB7"/>
    <w:rsid w:val="003C5F7C"/>
    <w:rsid w:val="003D1E1B"/>
    <w:rsid w:val="003E435F"/>
    <w:rsid w:val="003F06D7"/>
    <w:rsid w:val="003F6140"/>
    <w:rsid w:val="003F6CBF"/>
    <w:rsid w:val="0040205A"/>
    <w:rsid w:val="00413BB1"/>
    <w:rsid w:val="004478CC"/>
    <w:rsid w:val="00452E9B"/>
    <w:rsid w:val="00453028"/>
    <w:rsid w:val="004532D2"/>
    <w:rsid w:val="00455192"/>
    <w:rsid w:val="00464697"/>
    <w:rsid w:val="00464897"/>
    <w:rsid w:val="00474893"/>
    <w:rsid w:val="00477FFA"/>
    <w:rsid w:val="00480687"/>
    <w:rsid w:val="00492CEB"/>
    <w:rsid w:val="00495C78"/>
    <w:rsid w:val="004B1A7B"/>
    <w:rsid w:val="004B436A"/>
    <w:rsid w:val="004C1C08"/>
    <w:rsid w:val="004C54A9"/>
    <w:rsid w:val="004D6135"/>
    <w:rsid w:val="004E2B9D"/>
    <w:rsid w:val="004E2C44"/>
    <w:rsid w:val="005007BB"/>
    <w:rsid w:val="00500CCD"/>
    <w:rsid w:val="005014A0"/>
    <w:rsid w:val="00506C2B"/>
    <w:rsid w:val="0051530D"/>
    <w:rsid w:val="00526574"/>
    <w:rsid w:val="005458FB"/>
    <w:rsid w:val="005642EC"/>
    <w:rsid w:val="00575B3F"/>
    <w:rsid w:val="005778F1"/>
    <w:rsid w:val="00585825"/>
    <w:rsid w:val="005869E9"/>
    <w:rsid w:val="00590FDF"/>
    <w:rsid w:val="005B3E53"/>
    <w:rsid w:val="005C69D6"/>
    <w:rsid w:val="005D66CD"/>
    <w:rsid w:val="005E3D21"/>
    <w:rsid w:val="005E77F7"/>
    <w:rsid w:val="005F6945"/>
    <w:rsid w:val="005F7998"/>
    <w:rsid w:val="006037CA"/>
    <w:rsid w:val="00603FA7"/>
    <w:rsid w:val="00606D96"/>
    <w:rsid w:val="006109B6"/>
    <w:rsid w:val="00621550"/>
    <w:rsid w:val="00630800"/>
    <w:rsid w:val="00633179"/>
    <w:rsid w:val="00634650"/>
    <w:rsid w:val="006416C7"/>
    <w:rsid w:val="006553D9"/>
    <w:rsid w:val="00656881"/>
    <w:rsid w:val="0066691A"/>
    <w:rsid w:val="00676333"/>
    <w:rsid w:val="00684CFD"/>
    <w:rsid w:val="00690AFE"/>
    <w:rsid w:val="00696229"/>
    <w:rsid w:val="006A7E04"/>
    <w:rsid w:val="006D25A1"/>
    <w:rsid w:val="006D27FB"/>
    <w:rsid w:val="006E4051"/>
    <w:rsid w:val="006F2476"/>
    <w:rsid w:val="006F5BEB"/>
    <w:rsid w:val="00700656"/>
    <w:rsid w:val="00702339"/>
    <w:rsid w:val="0070272D"/>
    <w:rsid w:val="00732FDE"/>
    <w:rsid w:val="00742F95"/>
    <w:rsid w:val="0075098F"/>
    <w:rsid w:val="00755CFF"/>
    <w:rsid w:val="00756F3A"/>
    <w:rsid w:val="00757D6B"/>
    <w:rsid w:val="007612E4"/>
    <w:rsid w:val="00767ACE"/>
    <w:rsid w:val="00770137"/>
    <w:rsid w:val="007841C6"/>
    <w:rsid w:val="007A28F9"/>
    <w:rsid w:val="007A60E4"/>
    <w:rsid w:val="007B7ED2"/>
    <w:rsid w:val="007C0C55"/>
    <w:rsid w:val="007C161A"/>
    <w:rsid w:val="007D40B0"/>
    <w:rsid w:val="007D6E24"/>
    <w:rsid w:val="007E14A0"/>
    <w:rsid w:val="00825A70"/>
    <w:rsid w:val="00830607"/>
    <w:rsid w:val="008339CD"/>
    <w:rsid w:val="008446EB"/>
    <w:rsid w:val="00844DB2"/>
    <w:rsid w:val="00893FBF"/>
    <w:rsid w:val="008A2A34"/>
    <w:rsid w:val="008B358F"/>
    <w:rsid w:val="008B4682"/>
    <w:rsid w:val="008C01FC"/>
    <w:rsid w:val="008D4726"/>
    <w:rsid w:val="008D7D55"/>
    <w:rsid w:val="008E2B5A"/>
    <w:rsid w:val="008E4D03"/>
    <w:rsid w:val="008E54C4"/>
    <w:rsid w:val="008F1C04"/>
    <w:rsid w:val="008F24D4"/>
    <w:rsid w:val="008F2D69"/>
    <w:rsid w:val="008F409D"/>
    <w:rsid w:val="008F4691"/>
    <w:rsid w:val="009010BA"/>
    <w:rsid w:val="0090291C"/>
    <w:rsid w:val="0090485F"/>
    <w:rsid w:val="00915689"/>
    <w:rsid w:val="009170B2"/>
    <w:rsid w:val="00922811"/>
    <w:rsid w:val="00927909"/>
    <w:rsid w:val="00931215"/>
    <w:rsid w:val="0093766A"/>
    <w:rsid w:val="009543BF"/>
    <w:rsid w:val="0096120A"/>
    <w:rsid w:val="00971D57"/>
    <w:rsid w:val="009734F8"/>
    <w:rsid w:val="00981C11"/>
    <w:rsid w:val="0098241E"/>
    <w:rsid w:val="0099278C"/>
    <w:rsid w:val="00996FA9"/>
    <w:rsid w:val="009A2B0C"/>
    <w:rsid w:val="009A512E"/>
    <w:rsid w:val="009B060A"/>
    <w:rsid w:val="009B67F5"/>
    <w:rsid w:val="009C6A7D"/>
    <w:rsid w:val="009D00CC"/>
    <w:rsid w:val="009E0320"/>
    <w:rsid w:val="009E44A8"/>
    <w:rsid w:val="009E58C2"/>
    <w:rsid w:val="009E78F6"/>
    <w:rsid w:val="009F0EA0"/>
    <w:rsid w:val="009F4A6F"/>
    <w:rsid w:val="009F5202"/>
    <w:rsid w:val="00A075B6"/>
    <w:rsid w:val="00A10441"/>
    <w:rsid w:val="00A11FAC"/>
    <w:rsid w:val="00A3198D"/>
    <w:rsid w:val="00A41E0C"/>
    <w:rsid w:val="00A43691"/>
    <w:rsid w:val="00A6029E"/>
    <w:rsid w:val="00A64426"/>
    <w:rsid w:val="00A678C0"/>
    <w:rsid w:val="00AB1350"/>
    <w:rsid w:val="00AB4112"/>
    <w:rsid w:val="00AC32E8"/>
    <w:rsid w:val="00AC54D2"/>
    <w:rsid w:val="00AD0B97"/>
    <w:rsid w:val="00AE1B2C"/>
    <w:rsid w:val="00AE7659"/>
    <w:rsid w:val="00AF6735"/>
    <w:rsid w:val="00AF7A92"/>
    <w:rsid w:val="00B04BC0"/>
    <w:rsid w:val="00B10075"/>
    <w:rsid w:val="00B13FCA"/>
    <w:rsid w:val="00B14BA7"/>
    <w:rsid w:val="00B17F1D"/>
    <w:rsid w:val="00B263B5"/>
    <w:rsid w:val="00B27D8C"/>
    <w:rsid w:val="00B474C4"/>
    <w:rsid w:val="00B51499"/>
    <w:rsid w:val="00B54373"/>
    <w:rsid w:val="00B5551F"/>
    <w:rsid w:val="00B5578F"/>
    <w:rsid w:val="00B562AD"/>
    <w:rsid w:val="00B65DA4"/>
    <w:rsid w:val="00B720A8"/>
    <w:rsid w:val="00B73B95"/>
    <w:rsid w:val="00B86F73"/>
    <w:rsid w:val="00BA6268"/>
    <w:rsid w:val="00BA6DBC"/>
    <w:rsid w:val="00BE0225"/>
    <w:rsid w:val="00BF4CFF"/>
    <w:rsid w:val="00C109CD"/>
    <w:rsid w:val="00C11103"/>
    <w:rsid w:val="00C11804"/>
    <w:rsid w:val="00C365B6"/>
    <w:rsid w:val="00C36C48"/>
    <w:rsid w:val="00C40019"/>
    <w:rsid w:val="00C41A63"/>
    <w:rsid w:val="00C472EB"/>
    <w:rsid w:val="00C47E3F"/>
    <w:rsid w:val="00C55D3F"/>
    <w:rsid w:val="00C57F54"/>
    <w:rsid w:val="00C71B41"/>
    <w:rsid w:val="00C73204"/>
    <w:rsid w:val="00C82DB4"/>
    <w:rsid w:val="00C943D2"/>
    <w:rsid w:val="00C94E95"/>
    <w:rsid w:val="00C95944"/>
    <w:rsid w:val="00CA5E4E"/>
    <w:rsid w:val="00CB07EE"/>
    <w:rsid w:val="00CB76DE"/>
    <w:rsid w:val="00CC1404"/>
    <w:rsid w:val="00CC4974"/>
    <w:rsid w:val="00CC4DD7"/>
    <w:rsid w:val="00CD2748"/>
    <w:rsid w:val="00CD60FC"/>
    <w:rsid w:val="00CE335C"/>
    <w:rsid w:val="00CE63A4"/>
    <w:rsid w:val="00D03978"/>
    <w:rsid w:val="00D041C0"/>
    <w:rsid w:val="00D13C56"/>
    <w:rsid w:val="00D20359"/>
    <w:rsid w:val="00D222E1"/>
    <w:rsid w:val="00D3260E"/>
    <w:rsid w:val="00D372EA"/>
    <w:rsid w:val="00D46643"/>
    <w:rsid w:val="00D609E0"/>
    <w:rsid w:val="00D75150"/>
    <w:rsid w:val="00DA09DD"/>
    <w:rsid w:val="00DB02D2"/>
    <w:rsid w:val="00DB7B21"/>
    <w:rsid w:val="00DC192B"/>
    <w:rsid w:val="00DD0182"/>
    <w:rsid w:val="00DE0F7D"/>
    <w:rsid w:val="00DF7597"/>
    <w:rsid w:val="00E003CB"/>
    <w:rsid w:val="00E01789"/>
    <w:rsid w:val="00E16391"/>
    <w:rsid w:val="00E32932"/>
    <w:rsid w:val="00E416D3"/>
    <w:rsid w:val="00E617B9"/>
    <w:rsid w:val="00E63210"/>
    <w:rsid w:val="00E7099A"/>
    <w:rsid w:val="00E72B93"/>
    <w:rsid w:val="00E823B0"/>
    <w:rsid w:val="00E8366D"/>
    <w:rsid w:val="00E87801"/>
    <w:rsid w:val="00E9472F"/>
    <w:rsid w:val="00EA04F1"/>
    <w:rsid w:val="00EA5315"/>
    <w:rsid w:val="00EA7032"/>
    <w:rsid w:val="00EA70FC"/>
    <w:rsid w:val="00EB7FDF"/>
    <w:rsid w:val="00EE60E1"/>
    <w:rsid w:val="00EF4B16"/>
    <w:rsid w:val="00F06B0C"/>
    <w:rsid w:val="00F10037"/>
    <w:rsid w:val="00F42454"/>
    <w:rsid w:val="00F515A6"/>
    <w:rsid w:val="00F65C14"/>
    <w:rsid w:val="00F90C52"/>
    <w:rsid w:val="00F96B96"/>
    <w:rsid w:val="00FB59B7"/>
    <w:rsid w:val="00FC363C"/>
    <w:rsid w:val="00FC62C9"/>
    <w:rsid w:val="00FE2371"/>
    <w:rsid w:val="00FE4A9C"/>
    <w:rsid w:val="00FE5B8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D61E2C-55D6-4BCE-9A6B-D1D887AF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06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06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306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041C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041C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60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8306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30607"/>
    <w:rPr>
      <w:rFonts w:eastAsiaTheme="minorEastAsia"/>
      <w:color w:val="5A5A5A" w:themeColor="text1" w:themeTint="A5"/>
      <w:spacing w:val="15"/>
    </w:rPr>
  </w:style>
  <w:style w:type="paragraph" w:styleId="NoSpacing">
    <w:name w:val="No Spacing"/>
    <w:uiPriority w:val="1"/>
    <w:qFormat/>
    <w:rsid w:val="00830607"/>
    <w:pPr>
      <w:spacing w:after="0" w:line="240" w:lineRule="auto"/>
    </w:pPr>
  </w:style>
  <w:style w:type="character" w:customStyle="1" w:styleId="Heading2Char">
    <w:name w:val="Heading 2 Char"/>
    <w:basedOn w:val="DefaultParagraphFont"/>
    <w:link w:val="Heading2"/>
    <w:uiPriority w:val="9"/>
    <w:rsid w:val="0083060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3060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16713"/>
    <w:pPr>
      <w:ind w:left="720"/>
      <w:contextualSpacing/>
    </w:pPr>
  </w:style>
  <w:style w:type="character" w:styleId="IntenseEmphasis">
    <w:name w:val="Intense Emphasis"/>
    <w:basedOn w:val="DefaultParagraphFont"/>
    <w:uiPriority w:val="21"/>
    <w:qFormat/>
    <w:rsid w:val="00D041C0"/>
    <w:rPr>
      <w:i/>
      <w:iCs/>
      <w:color w:val="5B9BD5" w:themeColor="accent1"/>
    </w:rPr>
  </w:style>
  <w:style w:type="character" w:customStyle="1" w:styleId="Heading4Char">
    <w:name w:val="Heading 4 Char"/>
    <w:basedOn w:val="DefaultParagraphFont"/>
    <w:link w:val="Heading4"/>
    <w:uiPriority w:val="9"/>
    <w:rsid w:val="00D041C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041C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930039">
      <w:bodyDiv w:val="1"/>
      <w:marLeft w:val="0"/>
      <w:marRight w:val="0"/>
      <w:marTop w:val="0"/>
      <w:marBottom w:val="0"/>
      <w:divBdr>
        <w:top w:val="none" w:sz="0" w:space="0" w:color="auto"/>
        <w:left w:val="none" w:sz="0" w:space="0" w:color="auto"/>
        <w:bottom w:val="none" w:sz="0" w:space="0" w:color="auto"/>
        <w:right w:val="none" w:sz="0" w:space="0" w:color="auto"/>
      </w:divBdr>
    </w:div>
    <w:div w:id="506332454">
      <w:bodyDiv w:val="1"/>
      <w:marLeft w:val="0"/>
      <w:marRight w:val="0"/>
      <w:marTop w:val="0"/>
      <w:marBottom w:val="0"/>
      <w:divBdr>
        <w:top w:val="none" w:sz="0" w:space="0" w:color="auto"/>
        <w:left w:val="none" w:sz="0" w:space="0" w:color="auto"/>
        <w:bottom w:val="none" w:sz="0" w:space="0" w:color="auto"/>
        <w:right w:val="none" w:sz="0" w:space="0" w:color="auto"/>
      </w:divBdr>
    </w:div>
    <w:div w:id="518202437">
      <w:bodyDiv w:val="1"/>
      <w:marLeft w:val="0"/>
      <w:marRight w:val="0"/>
      <w:marTop w:val="0"/>
      <w:marBottom w:val="0"/>
      <w:divBdr>
        <w:top w:val="none" w:sz="0" w:space="0" w:color="auto"/>
        <w:left w:val="none" w:sz="0" w:space="0" w:color="auto"/>
        <w:bottom w:val="none" w:sz="0" w:space="0" w:color="auto"/>
        <w:right w:val="none" w:sz="0" w:space="0" w:color="auto"/>
      </w:divBdr>
    </w:div>
    <w:div w:id="937367445">
      <w:bodyDiv w:val="1"/>
      <w:marLeft w:val="0"/>
      <w:marRight w:val="0"/>
      <w:marTop w:val="0"/>
      <w:marBottom w:val="0"/>
      <w:divBdr>
        <w:top w:val="none" w:sz="0" w:space="0" w:color="auto"/>
        <w:left w:val="none" w:sz="0" w:space="0" w:color="auto"/>
        <w:bottom w:val="none" w:sz="0" w:space="0" w:color="auto"/>
        <w:right w:val="none" w:sz="0" w:space="0" w:color="auto"/>
      </w:divBdr>
    </w:div>
    <w:div w:id="1062212126">
      <w:bodyDiv w:val="1"/>
      <w:marLeft w:val="0"/>
      <w:marRight w:val="0"/>
      <w:marTop w:val="0"/>
      <w:marBottom w:val="0"/>
      <w:divBdr>
        <w:top w:val="none" w:sz="0" w:space="0" w:color="auto"/>
        <w:left w:val="none" w:sz="0" w:space="0" w:color="auto"/>
        <w:bottom w:val="none" w:sz="0" w:space="0" w:color="auto"/>
        <w:right w:val="none" w:sz="0" w:space="0" w:color="auto"/>
      </w:divBdr>
    </w:div>
    <w:div w:id="111806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EB887-5B0F-4C81-ABE9-84D43C916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4</Pages>
  <Words>5386</Words>
  <Characters>30701</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42</cp:revision>
  <dcterms:created xsi:type="dcterms:W3CDTF">2016-03-06T16:37:00Z</dcterms:created>
  <dcterms:modified xsi:type="dcterms:W3CDTF">2016-03-07T09:41:00Z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16th edition (author-date)</vt:lpwstr>
  </property>
  <property fmtid="{D5CDD505-2E9C-101B-9397-08002B2CF9AE}" pid="13" name="Mendeley Recent Style Id 5_1">
    <vt:lpwstr>http://csl.mendeley.com/styles/styles/harvard-stellenbosch-geog</vt:lpwstr>
  </property>
  <property fmtid="{D5CDD505-2E9C-101B-9397-08002B2CF9AE}" pid="14" name="Mendeley Recent Style Name 5_1">
    <vt:lpwstr>Harvard (University of Stellenbosch - Geography)</vt:lpwstr>
  </property>
  <property fmtid="{D5CDD505-2E9C-101B-9397-08002B2CF9AE}" pid="15" name="Mendeley Recent Style Id 6_1">
    <vt:lpwstr>http://www.zotero.org/styles/harvard-stellenbosch</vt:lpwstr>
  </property>
  <property fmtid="{D5CDD505-2E9C-101B-9397-08002B2CF9AE}" pid="16" name="Mendeley Recent Style Name 6_1">
    <vt:lpwstr>Harvard (University of Stellenbosch)</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7th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Citation Style_1">
    <vt:lpwstr>http://csl.mendeley.com/styles/styles/harvard-stellenbosch-geog</vt:lpwstr>
  </property>
  <property fmtid="{D5CDD505-2E9C-101B-9397-08002B2CF9AE}" pid="24" name="Mendeley User Name_1">
    <vt:lpwstr>dugalh@gmail.com@www.mendeley.com</vt:lpwstr>
  </property>
</Properties>
</file>