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w:t>
      </w:r>
      <w:r w:rsidR="008A3773">
        <w:lastRenderedPageBreak/>
        <w:t xml:space="preserve">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720DC485"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64305B">
        <w:t>.</w:t>
      </w:r>
      <w:r>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 xml:space="preserve">The objective function is minimised with quadratic programming, which is computationally </w:t>
      </w:r>
      <w:r w:rsidR="002802D7">
        <w:lastRenderedPageBreak/>
        <w:t>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74BD31A1"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w:t>
      </w:r>
      <w:r w:rsidR="00714EC2">
        <w:lastRenderedPageBreak/>
        <w:t>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9749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lastRenderedPageBreak/>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9E60BD">
        <w:t xml:space="preserve">Figure </w:t>
      </w:r>
      <w:r w:rsidR="009E60BD">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9E60BD">
        <w:t xml:space="preserve">Figure </w:t>
      </w:r>
      <w:r w:rsidR="009E60BD">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 xml:space="preserve">at </w:t>
      </w:r>
      <w:r w:rsidR="00031908">
        <w:lastRenderedPageBreak/>
        <w:t>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1" w:name="_Ref466974803"/>
      <w:r w:rsidR="00C82720">
        <w:t xml:space="preserve">Figure </w:t>
      </w:r>
      <w:r w:rsidR="00C82720">
        <w:fldChar w:fldCharType="begin"/>
      </w:r>
      <w:r w:rsidR="00C82720">
        <w:instrText xml:space="preserve"> SEQ Figure \* ARABIC </w:instrText>
      </w:r>
      <w:r w:rsidR="00C82720">
        <w:fldChar w:fldCharType="separate"/>
      </w:r>
      <w:r w:rsidR="009E60BD">
        <w:rPr>
          <w:noProof/>
        </w:rPr>
        <w:t>1</w:t>
      </w:r>
      <w:r w:rsidR="00C82720">
        <w:fldChar w:fldCharType="end"/>
      </w:r>
      <w:bookmarkEnd w:id="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9E60BD">
              <w:rPr>
                <w:noProof/>
              </w:rPr>
              <w:t>1</w:t>
            </w:r>
            <w:r>
              <w:fldChar w:fldCharType="end"/>
            </w:r>
            <w:bookmarkEnd w:id="2"/>
            <w:r w:rsidRPr="003B5532">
              <w:t>)</w:t>
            </w:r>
            <w:bookmarkEnd w:id="3"/>
          </w:p>
        </w:tc>
      </w:tr>
    </w:tbl>
    <w:p w14:paraId="6AA4B7B1" w14:textId="2DE3E929"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9E60BD" w:rsidRPr="003B5532">
        <w:t>(</w:t>
      </w:r>
      <w:r w:rsidR="009E60BD">
        <w:rPr>
          <w:noProof/>
        </w:rPr>
        <w:t>1</w:t>
      </w:r>
      <w:r w:rsidR="009E60BD"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lastRenderedPageBreak/>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t xml:space="preserve">Data </w:t>
      </w:r>
      <w:bookmarkEnd w:id="4"/>
      <w:r w:rsidR="004D3E92">
        <w:t>Sets</w:t>
      </w:r>
      <w:bookmarkEnd w:id="5"/>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9E60BD">
        <w:t xml:space="preserve">Table </w:t>
      </w:r>
      <w:r w:rsidR="009E60BD">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w:t>
      </w:r>
      <w:r w:rsidR="00DF69DD">
        <w:lastRenderedPageBreak/>
        <w:t>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9E60BD">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lastRenderedPageBreak/>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190474"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9E60BD">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9E60BD">
        <w:t xml:space="preserve">Table </w:t>
      </w:r>
      <w:r w:rsidR="009E60BD">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lastRenderedPageBreak/>
        <w:t>[</w:t>
      </w:r>
      <w:bookmarkStart w:id="7" w:name="_Ref464223138"/>
      <w:r w:rsidR="004D3E92">
        <w:t xml:space="preserve">Table </w:t>
      </w:r>
      <w:r w:rsidR="004D3E92">
        <w:fldChar w:fldCharType="begin"/>
      </w:r>
      <w:r w:rsidR="004D3E92">
        <w:instrText xml:space="preserve"> SEQ Table \* ARABIC </w:instrText>
      </w:r>
      <w:r w:rsidR="004D3E92">
        <w:fldChar w:fldCharType="separate"/>
      </w:r>
      <w:r w:rsidR="009E60BD">
        <w:rPr>
          <w:noProof/>
        </w:rPr>
        <w:t>2</w:t>
      </w:r>
      <w:r w:rsidR="004D3E92">
        <w:fldChar w:fldCharType="end"/>
      </w:r>
      <w:bookmarkEnd w:id="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9E60BD">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lastRenderedPageBreak/>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62E5AA0C"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9E60BD">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lastRenderedPageBreak/>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9E60BD">
        <w:t xml:space="preserve">Table </w:t>
      </w:r>
      <w:r w:rsidR="009E60BD">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8" w:name="_Ref493175947"/>
      <w:r w:rsidR="009714A2">
        <w:t xml:space="preserve">Table </w:t>
      </w:r>
      <w:r w:rsidR="009714A2">
        <w:fldChar w:fldCharType="begin"/>
      </w:r>
      <w:r w:rsidR="009714A2">
        <w:instrText xml:space="preserve"> SEQ Table \* ARABIC </w:instrText>
      </w:r>
      <w:r w:rsidR="009714A2">
        <w:fldChar w:fldCharType="separate"/>
      </w:r>
      <w:r w:rsidR="009E60BD">
        <w:rPr>
          <w:noProof/>
        </w:rPr>
        <w:t>3</w:t>
      </w:r>
      <w:r w:rsidR="009714A2">
        <w:fldChar w:fldCharType="end"/>
      </w:r>
      <w:bookmarkEnd w:id="8"/>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9E60BD">
        <w:t xml:space="preserve">Figure </w:t>
      </w:r>
      <w:r w:rsidR="009E60BD">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9E60BD">
        <w:t xml:space="preserve">Figure </w:t>
      </w:r>
      <w:r w:rsidR="009E60BD">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9E60BD">
        <w:t xml:space="preserve">Figure </w:t>
      </w:r>
      <w:r w:rsidR="009E60BD">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9E60BD">
        <w:t xml:space="preserve">Figure </w:t>
      </w:r>
      <w:r w:rsidR="009E60BD">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lastRenderedPageBreak/>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9E60BD">
        <w:t xml:space="preserve">Table </w:t>
      </w:r>
      <w:r w:rsidR="009E60B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9" w:name="_Ref464643772"/>
      <w:r w:rsidR="002C7119">
        <w:t xml:space="preserve">Figure </w:t>
      </w:r>
      <w:r w:rsidR="002C7119">
        <w:fldChar w:fldCharType="begin"/>
      </w:r>
      <w:r w:rsidR="002C7119">
        <w:instrText xml:space="preserve"> SEQ Figure \* ARABIC </w:instrText>
      </w:r>
      <w:r w:rsidR="002C7119">
        <w:fldChar w:fldCharType="separate"/>
      </w:r>
      <w:r w:rsidR="009E60BD">
        <w:rPr>
          <w:noProof/>
        </w:rPr>
        <w:t>2</w:t>
      </w:r>
      <w:r w:rsidR="002C7119">
        <w:fldChar w:fldCharType="end"/>
      </w:r>
      <w:bookmarkEnd w:id="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lastRenderedPageBreak/>
        <w:t>[</w:t>
      </w:r>
      <w:bookmarkStart w:id="10" w:name="_Ref464643973"/>
      <w:r w:rsidR="002C7119">
        <w:t xml:space="preserve">Figure </w:t>
      </w:r>
      <w:r w:rsidR="002C7119">
        <w:fldChar w:fldCharType="begin"/>
      </w:r>
      <w:r w:rsidR="002C7119">
        <w:instrText xml:space="preserve"> SEQ Figure \* ARABIC </w:instrText>
      </w:r>
      <w:r w:rsidR="002C7119">
        <w:fldChar w:fldCharType="separate"/>
      </w:r>
      <w:r w:rsidR="009E60BD">
        <w:rPr>
          <w:noProof/>
        </w:rPr>
        <w:t>3</w:t>
      </w:r>
      <w:r w:rsidR="002C7119">
        <w:fldChar w:fldCharType="end"/>
      </w:r>
      <w:bookmarkEnd w:id="1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9E60BD">
        <w:t xml:space="preserve">Table </w:t>
      </w:r>
      <w:r w:rsidR="009E60BD">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11" w:name="_Ref464732046"/>
      <w:r w:rsidR="00B61E1D">
        <w:t xml:space="preserve">Table </w:t>
      </w:r>
      <w:r w:rsidR="00B61E1D">
        <w:fldChar w:fldCharType="begin"/>
      </w:r>
      <w:r w:rsidR="00B61E1D">
        <w:instrText xml:space="preserve"> SEQ Table \* ARABIC </w:instrText>
      </w:r>
      <w:r w:rsidR="00B61E1D">
        <w:fldChar w:fldCharType="separate"/>
      </w:r>
      <w:r w:rsidR="009E60BD">
        <w:rPr>
          <w:noProof/>
        </w:rPr>
        <w:t>4</w:t>
      </w:r>
      <w:r w:rsidR="00B61E1D">
        <w:fldChar w:fldCharType="end"/>
      </w:r>
      <w:bookmarkEnd w:id="1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9E60BD">
        <w:t xml:space="preserve">Table </w:t>
      </w:r>
      <w:r w:rsidR="009E60BD">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13" w:name="_Ref493181059"/>
      <w:r w:rsidR="001C68ED">
        <w:t xml:space="preserve">Table </w:t>
      </w:r>
      <w:r w:rsidR="001C68ED">
        <w:fldChar w:fldCharType="begin"/>
      </w:r>
      <w:r w:rsidR="001C68ED">
        <w:instrText xml:space="preserve"> SEQ Table \* ARABIC </w:instrText>
      </w:r>
      <w:r w:rsidR="001C68ED">
        <w:fldChar w:fldCharType="separate"/>
      </w:r>
      <w:r w:rsidR="009E60BD">
        <w:rPr>
          <w:noProof/>
        </w:rPr>
        <w:t>5</w:t>
      </w:r>
      <w:r w:rsidR="001C68ED">
        <w:fldChar w:fldCharType="end"/>
      </w:r>
      <w:bookmarkEnd w:id="1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2"/>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lastRenderedPageBreak/>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bookmarkStart w:id="14" w:name="_GoBack"/>
      <w:bookmarkEnd w:id="14"/>
    </w:p>
    <w:p w14:paraId="7F13263A" w14:textId="6B626970"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w:t>
      </w:r>
      <w:r w:rsidR="00714EC2">
        <w:lastRenderedPageBreak/>
        <w:t xml:space="preserve">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2015 9th International Conference on Electrical and Electronics 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w:t>
      </w:r>
      <w:r w:rsidRPr="00854647">
        <w:rPr>
          <w:noProof/>
        </w:rPr>
        <w:lastRenderedPageBreak/>
        <w:t xml:space="preserve">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390–395. Innsbruck, Austria: 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 xml:space="preserve">IEEE Transactions on Pattern Analysis and Machine Intelligence </w:t>
      </w:r>
      <w:r w:rsidRPr="00854647">
        <w:rPr>
          <w:i/>
          <w:iCs/>
          <w:noProof/>
        </w:rPr>
        <w:lastRenderedPageBreak/>
        <w:t>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5B972" w14:textId="77777777" w:rsidR="00190474" w:rsidRDefault="00190474" w:rsidP="00A90339">
      <w:r>
        <w:separator/>
      </w:r>
    </w:p>
  </w:endnote>
  <w:endnote w:type="continuationSeparator" w:id="0">
    <w:p w14:paraId="184BC8B8" w14:textId="77777777" w:rsidR="00190474" w:rsidRDefault="00190474"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0BCF8" w14:textId="77777777" w:rsidR="00190474" w:rsidRDefault="00190474" w:rsidP="00A90339">
      <w:r>
        <w:separator/>
      </w:r>
    </w:p>
  </w:footnote>
  <w:footnote w:type="continuationSeparator" w:id="0">
    <w:p w14:paraId="43A3EECA" w14:textId="77777777" w:rsidR="00190474" w:rsidRDefault="00190474"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471C-2796-464F-9492-D22EBC00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1561</TotalTime>
  <Pages>27</Pages>
  <Words>38574</Words>
  <Characters>219878</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19</cp:revision>
  <cp:lastPrinted>2018-03-20T13:07:00Z</cp:lastPrinted>
  <dcterms:created xsi:type="dcterms:W3CDTF">2018-02-21T06:16:00Z</dcterms:created>
  <dcterms:modified xsi:type="dcterms:W3CDTF">2018-03-20T13:17:00Z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