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r w:rsidR="00471884">
        <w:rPr>
          <w:rStyle w:val="CommentReference"/>
          <w:b w:val="0"/>
        </w:rPr>
        <w:commentReference w:id="2"/>
      </w:r>
      <w:commentRangeEnd w:id="3"/>
      <w:r w:rsidR="00471884">
        <w:rPr>
          <w:rStyle w:val="CommentReference"/>
          <w:b w:val="0"/>
        </w:rPr>
        <w:commentReference w:id="3"/>
      </w:r>
      <w:commentRangeEnd w:id="4"/>
      <w:r w:rsidR="0003170C">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7"/>
      <w:r w:rsidR="0003170C">
        <w:rPr>
          <w:rStyle w:val="CommentReference"/>
          <w:b w:val="0"/>
        </w:rPr>
        <w:commentReference w:id="7"/>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w:t>
      </w:r>
      <w:proofErr w:type="gramStart"/>
      <w:r w:rsidR="00704D02">
        <w:lastRenderedPageBreak/>
        <w:t>sensing</w:t>
      </w:r>
      <w:proofErr w:type="gramEnd"/>
      <w:r w:rsidR="00704D02">
        <w:t xml:space="preserve">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9" w:name="_Ref452295690"/>
      <w:bookmarkStart w:id="10" w:name="_Toc391220510"/>
      <w:bookmarkStart w:id="11" w:name="_Toc394607642"/>
      <w:r>
        <w:t>Methods</w:t>
      </w:r>
      <w:bookmarkEnd w:id="9"/>
    </w:p>
    <w:p w14:paraId="01D2C4A1" w14:textId="77777777" w:rsidR="00704D02" w:rsidRPr="00AE6010" w:rsidRDefault="00704D02" w:rsidP="00704D02">
      <w:pPr>
        <w:pStyle w:val="Heading2"/>
      </w:pPr>
      <w:bookmarkStart w:id="12" w:name="_Ref452295966"/>
      <w:bookmarkStart w:id="13" w:name="_Ref474669339"/>
      <w:bookmarkStart w:id="14" w:name="_Ref475359885"/>
      <w:bookmarkStart w:id="15" w:name="_Ref512431860"/>
      <w:bookmarkEnd w:id="10"/>
      <w:bookmarkEnd w:id="11"/>
      <w:commentRangeStart w:id="16"/>
      <w:commentRangeStart w:id="17"/>
      <w:r w:rsidRPr="00AE6010">
        <w:t>Formulation</w:t>
      </w:r>
      <w:bookmarkEnd w:id="12"/>
      <w:r>
        <w:t xml:space="preserve"> of the Local Linear Model</w:t>
      </w:r>
      <w:bookmarkEnd w:id="13"/>
      <w:bookmarkEnd w:id="14"/>
      <w:commentRangeEnd w:id="16"/>
      <w:r w:rsidR="008F74E0">
        <w:rPr>
          <w:rStyle w:val="CommentReference"/>
          <w:rFonts w:cs="Times New Roman"/>
          <w:b w:val="0"/>
          <w:bCs w:val="0"/>
          <w:i w:val="0"/>
          <w:iCs w:val="0"/>
        </w:rPr>
        <w:commentReference w:id="16"/>
      </w:r>
      <w:commentRangeEnd w:id="17"/>
      <w:r w:rsidR="000035DA">
        <w:rPr>
          <w:rStyle w:val="CommentReference"/>
          <w:rFonts w:cs="Times New Roman"/>
          <w:b w:val="0"/>
          <w:bCs w:val="0"/>
          <w:i w:val="0"/>
          <w:iCs w:val="0"/>
        </w:rPr>
        <w:commentReference w:id="17"/>
      </w:r>
      <w:bookmarkEnd w:id="15"/>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18" w:name="_Ref389744231"/>
            <w:bookmarkStart w:id="19"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20" w:name="_Ref389744253"/>
            <w:bookmarkEnd w:id="18"/>
            <w:r w:rsidRPr="003B5532">
              <w:t>)</w:t>
            </w:r>
            <w:bookmarkEnd w:id="19"/>
            <w:bookmarkEnd w:id="2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68089A"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21"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21"/>
          </w:p>
        </w:tc>
      </w:tr>
    </w:tbl>
    <w:p w14:paraId="22DCB320" w14:textId="511AD0EF" w:rsidR="00704D02" w:rsidRDefault="00704D02" w:rsidP="00704D02">
      <w:pPr>
        <w:pStyle w:val="Paragraph"/>
      </w:pPr>
      <w:commentRangeStart w:id="22"/>
      <w:commentRangeStart w:id="23"/>
      <w:commentRangeStart w:id="24"/>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25"/>
      <w:commentRangeStart w:id="26"/>
      <w:commentRangeStart w:id="27"/>
      <w:r>
        <w:t>the reflectance at the sensor</w:t>
      </w:r>
      <w:commentRangeEnd w:id="25"/>
      <w:r w:rsidR="00096789">
        <w:rPr>
          <w:rStyle w:val="CommentReference"/>
        </w:rPr>
        <w:commentReference w:id="25"/>
      </w:r>
      <w:commentRangeEnd w:id="26"/>
      <w:r w:rsidR="00630409">
        <w:rPr>
          <w:rStyle w:val="CommentReference"/>
        </w:rPr>
        <w:commentReference w:id="26"/>
      </w:r>
      <w:commentRangeEnd w:id="27"/>
      <w:r w:rsidR="00BC16BE">
        <w:rPr>
          <w:rStyle w:val="CommentReference"/>
        </w:rPr>
        <w:commentReference w:id="27"/>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22"/>
      <w:r w:rsidR="00096789">
        <w:rPr>
          <w:rStyle w:val="CommentReference"/>
        </w:rPr>
        <w:commentReference w:id="22"/>
      </w:r>
      <w:commentRangeEnd w:id="23"/>
      <w:r w:rsidR="000035DA">
        <w:rPr>
          <w:rStyle w:val="CommentReference"/>
        </w:rPr>
        <w:commentReference w:id="23"/>
      </w:r>
      <w:commentRangeEnd w:id="24"/>
      <w:r w:rsidR="002340B4">
        <w:rPr>
          <w:rStyle w:val="CommentReference"/>
        </w:rPr>
        <w:commentReference w:id="24"/>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28"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28"/>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29"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29"/>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30" w:name="_Ref391633308"/>
            <w:bookmarkStart w:id="31" w:name="_Ref452308124"/>
            <w:bookmarkStart w:id="32"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30"/>
            <w:bookmarkEnd w:id="31"/>
            <w:r w:rsidRPr="003B5532">
              <w:t>)</w:t>
            </w:r>
            <w:bookmarkEnd w:id="32"/>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33"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33"/>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34" w:name="_Ref474690141"/>
      <w:r>
        <w:lastRenderedPageBreak/>
        <w:t>Parameter Estimation</w:t>
      </w:r>
      <w:bookmarkEnd w:id="34"/>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35"/>
      <w:commentRangeStart w:id="36"/>
      <w:commentRangeStart w:id="37"/>
      <w:r>
        <w:t>a sliding window</w:t>
      </w:r>
      <w:commentRangeEnd w:id="35"/>
      <w:r w:rsidR="00096789">
        <w:rPr>
          <w:rStyle w:val="CommentReference"/>
        </w:rPr>
        <w:commentReference w:id="35"/>
      </w:r>
      <w:commentRangeEnd w:id="36"/>
      <w:r w:rsidR="00407774">
        <w:rPr>
          <w:rStyle w:val="CommentReference"/>
        </w:rPr>
        <w:commentReference w:id="36"/>
      </w:r>
      <w:commentRangeEnd w:id="37"/>
      <w:r w:rsidR="002340B4">
        <w:rPr>
          <w:rStyle w:val="CommentReference"/>
        </w:rPr>
        <w:commentReference w:id="37"/>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68089A"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38"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38"/>
            <w:r w:rsidRPr="003B5532">
              <w:t>)</w:t>
            </w:r>
          </w:p>
        </w:tc>
      </w:tr>
    </w:tbl>
    <w:p w14:paraId="19ADB72C" w14:textId="0D5BC725"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39"/>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D849C4">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39"/>
      <w:r w:rsidR="00FA0467">
        <w:rPr>
          <w:rStyle w:val="CommentReference"/>
        </w:rPr>
        <w:commentReference w:id="39"/>
      </w:r>
    </w:p>
    <w:p w14:paraId="317B97B1" w14:textId="77777777" w:rsidR="007328A7" w:rsidRDefault="007328A7" w:rsidP="00704D02">
      <w:pPr>
        <w:pStyle w:val="Newparagraph"/>
      </w:pPr>
    </w:p>
    <w:p w14:paraId="25D99E41" w14:textId="3153745E"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40"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40"/>
          </w:p>
        </w:tc>
      </w:tr>
    </w:tbl>
    <w:p w14:paraId="5F4E0593" w14:textId="183B0F90"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w:t>
      </w:r>
      <w:r>
        <w:lastRenderedPageBreak/>
        <w:t xml:space="preserve">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68089A"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41"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4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68089A"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42"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42"/>
            <w:r w:rsidRPr="003B5532">
              <w:t>)</w:t>
            </w:r>
          </w:p>
        </w:tc>
      </w:tr>
    </w:tbl>
    <w:p w14:paraId="09CC402B" w14:textId="047A43EC"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w:t>
      </w:r>
      <w:r w:rsidR="00704D02">
        <w:lastRenderedPageBreak/>
        <w:t xml:space="preserve">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43"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4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450357">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010B14">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44"/>
      <w:commentRangeStart w:id="45"/>
      <w:r>
        <w:t>The homogenisation procedure follows these steps:</w:t>
      </w:r>
      <w:commentRangeEnd w:id="44"/>
      <w:r w:rsidR="008F74E0">
        <w:rPr>
          <w:rStyle w:val="CommentReference"/>
        </w:rPr>
        <w:commentReference w:id="44"/>
      </w:r>
      <w:commentRangeEnd w:id="45"/>
      <w:r w:rsidR="005C3FA5">
        <w:rPr>
          <w:rStyle w:val="CommentReference"/>
        </w:rPr>
        <w:commentReference w:id="45"/>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lastRenderedPageBreak/>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647C65C4" w:rsidR="00704D02" w:rsidRDefault="00F70931" w:rsidP="00704D02">
      <w:pPr>
        <w:pStyle w:val="Newparagraph"/>
      </w:pPr>
      <w:r>
        <w:t>Since adjacent aerial images are calibrated to the 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 xml:space="preserve">situations where </w:t>
      </w:r>
      <w:r>
        <w:t>fine scale differences between adjacent images</w:t>
      </w:r>
      <w:r w:rsidR="00AC2B36">
        <w:t xml:space="preserve"> produce slight seam lines.  In these situations, one could use a </w:t>
      </w:r>
      <w:r w:rsidR="00AC2B36">
        <w:lastRenderedPageBreak/>
        <w:t xml:space="preserve">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46" w:name="_Toc448324292"/>
      <w:bookmarkStart w:id="47" w:name="_Ref452296020"/>
      <w:bookmarkStart w:id="48" w:name="_Ref513023259"/>
      <w:commentRangeStart w:id="49"/>
      <w:commentRangeStart w:id="50"/>
      <w:commentRangeStart w:id="51"/>
      <w:commentRangeStart w:id="52"/>
      <w:commentRangeStart w:id="53"/>
      <w:r>
        <w:t xml:space="preserve">Study Site, </w:t>
      </w:r>
      <w:bookmarkEnd w:id="46"/>
      <w:r>
        <w:t>Data Collection and Preparation</w:t>
      </w:r>
      <w:bookmarkEnd w:id="47"/>
      <w:commentRangeEnd w:id="49"/>
      <w:r w:rsidR="00240A8F">
        <w:rPr>
          <w:rStyle w:val="CommentReference"/>
          <w:rFonts w:cs="Times New Roman"/>
          <w:b w:val="0"/>
          <w:bCs w:val="0"/>
          <w:i w:val="0"/>
          <w:iCs w:val="0"/>
        </w:rPr>
        <w:commentReference w:id="49"/>
      </w:r>
      <w:commentRangeEnd w:id="50"/>
      <w:commentRangeEnd w:id="52"/>
      <w:commentRangeEnd w:id="53"/>
      <w:r w:rsidR="005C3FA5">
        <w:rPr>
          <w:rStyle w:val="CommentReference"/>
          <w:rFonts w:cs="Times New Roman"/>
          <w:b w:val="0"/>
          <w:bCs w:val="0"/>
          <w:i w:val="0"/>
          <w:iCs w:val="0"/>
        </w:rPr>
        <w:commentReference w:id="50"/>
      </w:r>
      <w:commentRangeEnd w:id="51"/>
      <w:r w:rsidR="00EC642A">
        <w:rPr>
          <w:rStyle w:val="CommentReference"/>
          <w:rFonts w:cs="Times New Roman"/>
          <w:b w:val="0"/>
          <w:bCs w:val="0"/>
          <w:i w:val="0"/>
          <w:iCs w:val="0"/>
        </w:rPr>
        <w:commentReference w:id="51"/>
      </w:r>
      <w:r w:rsidR="008F74E0">
        <w:rPr>
          <w:rStyle w:val="CommentReference"/>
          <w:rFonts w:cs="Times New Roman"/>
          <w:b w:val="0"/>
          <w:bCs w:val="0"/>
          <w:i w:val="0"/>
          <w:iCs w:val="0"/>
        </w:rPr>
        <w:commentReference w:id="52"/>
      </w:r>
      <w:r w:rsidR="005C3FA5">
        <w:rPr>
          <w:rStyle w:val="CommentReference"/>
          <w:rFonts w:cs="Times New Roman"/>
          <w:b w:val="0"/>
          <w:bCs w:val="0"/>
          <w:i w:val="0"/>
          <w:iCs w:val="0"/>
        </w:rPr>
        <w:commentReference w:id="53"/>
      </w:r>
      <w:bookmarkEnd w:id="48"/>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54"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54"/>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55"/>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55"/>
      <w:r w:rsidR="00240A8F">
        <w:rPr>
          <w:rStyle w:val="CommentReference"/>
        </w:rPr>
        <w:commentReference w:id="55"/>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56"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56"/>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lastRenderedPageBreak/>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0D3AD79F" w:rsidR="00647D69" w:rsidRDefault="00B619A0" w:rsidP="00647D69">
      <w:pPr>
        <w:pStyle w:val="Newparagraph"/>
      </w:pPr>
      <w:commentRangeStart w:id="57"/>
      <w:r>
        <w:t>A</w:t>
      </w:r>
      <w:r w:rsidR="0054203B">
        <w:rPr>
          <w:rStyle w:val="CommentReference"/>
        </w:rPr>
        <w:commentReference w:id="58"/>
      </w:r>
      <w:commentRangeEnd w:id="57"/>
      <w:r w:rsidR="00796072">
        <w:rPr>
          <w:rStyle w:val="CommentReference"/>
        </w:rPr>
        <w:commentReference w:id="57"/>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 xml:space="preserve">(Gao et al. 2013; Li, Yang, and Wang 2012; Jiang and Li 2009; Liu et al. </w:t>
      </w:r>
      <w:r w:rsidR="00B6684D" w:rsidRPr="00B6684D">
        <w:rPr>
          <w:noProof/>
        </w:rPr>
        <w:lastRenderedPageBreak/>
        <w:t>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59" w:name="_Ref486590748"/>
      <w:r>
        <w:t>Linearity of Band Averaged Values</w:t>
      </w:r>
      <w:bookmarkEnd w:id="59"/>
      <w:r>
        <w:t xml:space="preserve"> </w:t>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w:t>
      </w:r>
      <w:r>
        <w:lastRenderedPageBreak/>
        <w:t xml:space="preserve">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60" w:name="_Ref452296021"/>
      <w:commentRangeStart w:id="61"/>
      <w:commentRangeStart w:id="62"/>
      <w:commentRangeStart w:id="63"/>
      <w:commentRangeStart w:id="64"/>
      <w:r>
        <w:t>Accuracy Assessment</w:t>
      </w:r>
      <w:bookmarkEnd w:id="60"/>
      <w:commentRangeEnd w:id="61"/>
      <w:r w:rsidR="008F74E0">
        <w:rPr>
          <w:rStyle w:val="CommentReference"/>
          <w:rFonts w:cs="Times New Roman"/>
          <w:b w:val="0"/>
          <w:bCs w:val="0"/>
          <w:i w:val="0"/>
          <w:iCs w:val="0"/>
        </w:rPr>
        <w:commentReference w:id="61"/>
      </w:r>
      <w:commentRangeEnd w:id="62"/>
      <w:r w:rsidR="005C3FA5">
        <w:rPr>
          <w:rStyle w:val="CommentReference"/>
          <w:rFonts w:cs="Times New Roman"/>
          <w:b w:val="0"/>
          <w:bCs w:val="0"/>
          <w:i w:val="0"/>
          <w:iCs w:val="0"/>
        </w:rPr>
        <w:commentReference w:id="62"/>
      </w:r>
      <w:commentRangeEnd w:id="63"/>
      <w:r w:rsidR="00796072">
        <w:rPr>
          <w:rStyle w:val="CommentReference"/>
          <w:rFonts w:cs="Times New Roman"/>
          <w:b w:val="0"/>
          <w:bCs w:val="0"/>
          <w:i w:val="0"/>
          <w:iCs w:val="0"/>
        </w:rPr>
        <w:commentReference w:id="63"/>
      </w:r>
      <w:commentRangeEnd w:id="64"/>
      <w:r w:rsidR="00CB3CEA">
        <w:rPr>
          <w:rStyle w:val="CommentReference"/>
          <w:rFonts w:cs="Times New Roman"/>
          <w:b w:val="0"/>
          <w:bCs w:val="0"/>
          <w:i w:val="0"/>
          <w:iCs w:val="0"/>
        </w:rPr>
        <w:commentReference w:id="64"/>
      </w:r>
    </w:p>
    <w:p w14:paraId="15F0B502" w14:textId="470A0FEF" w:rsidR="00704D02" w:rsidRDefault="00704D02" w:rsidP="00704D02">
      <w:pPr>
        <w:pStyle w:val="Paragraph"/>
        <w:rPr>
          <w:rStyle w:val="CommentReference"/>
        </w:rPr>
      </w:pPr>
      <w:r>
        <w:t xml:space="preserve">Given that the DMC imagery was acquired in 2010, it was not possible to assess the </w:t>
      </w:r>
      <w:commentRangeStart w:id="65"/>
      <w:r>
        <w:t xml:space="preserve">accuracy </w:t>
      </w:r>
      <w:commentRangeEnd w:id="65"/>
      <w:r w:rsidR="00E10C7A">
        <w:rPr>
          <w:rStyle w:val="CommentReference"/>
        </w:rPr>
        <w:commentReference w:id="65"/>
      </w:r>
      <w:r>
        <w:t xml:space="preserve">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w:t>
      </w:r>
      <w:r>
        <w:lastRenderedPageBreak/>
        <w:t xml:space="preserve">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66"/>
      <w:commentRangeStart w:id="67"/>
      <w:commentRangeStart w:id="68"/>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69"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69"/>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66"/>
      <w:r w:rsidR="008F74E0">
        <w:rPr>
          <w:rStyle w:val="CommentReference"/>
        </w:rPr>
        <w:commentReference w:id="66"/>
      </w:r>
      <w:commentRangeEnd w:id="67"/>
      <w:r w:rsidR="005C3FA5">
        <w:rPr>
          <w:rStyle w:val="CommentReference"/>
        </w:rPr>
        <w:commentReference w:id="67"/>
      </w:r>
      <w:commentRangeEnd w:id="68"/>
      <w:r w:rsidR="00E10C7A">
        <w:rPr>
          <w:rStyle w:val="CommentReference"/>
        </w:rPr>
        <w:commentReference w:id="68"/>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70" w:name="_Ref447467040"/>
      <w:bookmarkStart w:id="71"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70"/>
      <w:r w:rsidR="00704D02">
        <w:t>. SPOT 5 scene and mosaic extents</w:t>
      </w:r>
      <w:bookmarkEnd w:id="71"/>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72" w:name="_Ref452458445"/>
      <w:bookmarkStart w:id="73" w:name="_Toc394607645"/>
      <w:r>
        <w:t>Results and Discussion</w:t>
      </w:r>
      <w:bookmarkEnd w:id="72"/>
    </w:p>
    <w:p w14:paraId="19C05BFE" w14:textId="77777777" w:rsidR="00704D02" w:rsidRDefault="00704D02" w:rsidP="00704D02">
      <w:pPr>
        <w:pStyle w:val="Heading2"/>
      </w:pPr>
      <w:bookmarkStart w:id="74" w:name="_Ref447456652"/>
      <w:bookmarkStart w:id="75" w:name="_Toc448324295"/>
      <w:r>
        <w:t>Band Averaged Relationships</w:t>
      </w:r>
      <w:bookmarkEnd w:id="74"/>
      <w:bookmarkEnd w:id="75"/>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lastRenderedPageBreak/>
        <w:t>[</w:t>
      </w:r>
      <w:bookmarkStart w:id="76" w:name="_Ref447457220"/>
      <w:bookmarkStart w:id="77" w:name="_Ref452304545"/>
      <w:bookmarkStart w:id="78" w:name="_Ref447457216"/>
      <w:bookmarkStart w:id="79"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76"/>
      <w:bookmarkEnd w:id="77"/>
      <w:r w:rsidR="00704D02">
        <w:t xml:space="preserve">. DMC vs. MODIS simulated band averaged relationship for typical surface </w:t>
      </w:r>
      <w:proofErr w:type="spellStart"/>
      <w:r w:rsidR="00704D02">
        <w:t>reflectances</w:t>
      </w:r>
      <w:bookmarkEnd w:id="78"/>
      <w:bookmarkEnd w:id="79"/>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80" w:name="_Toc448324296"/>
      <w:bookmarkStart w:id="81" w:name="_Ref512949718"/>
      <w:r>
        <w:t>Mosaicking</w:t>
      </w:r>
      <w:bookmarkEnd w:id="73"/>
      <w:bookmarkEnd w:id="80"/>
      <w:bookmarkEnd w:id="81"/>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82" w:name="_Ref389939317"/>
      <w:bookmarkStart w:id="83" w:name="_Ref452304551"/>
      <w:bookmarkStart w:id="84" w:name="_Toc391220527"/>
      <w:bookmarkStart w:id="85" w:name="_Toc394582250"/>
      <w:bookmarkStart w:id="86"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82"/>
      <w:bookmarkEnd w:id="83"/>
      <w:r w:rsidR="00704D02">
        <w:t>.  Uncalibrated mosaic on MODIS reference image background</w:t>
      </w:r>
      <w:bookmarkEnd w:id="84"/>
      <w:bookmarkEnd w:id="85"/>
      <w:bookmarkEnd w:id="86"/>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87" w:name="_Ref452304657"/>
      <w:bookmarkStart w:id="88"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87"/>
      <w:r w:rsidR="00704D02">
        <w:t>.  Homogenised mosaic on MODIS reference image background</w:t>
      </w:r>
      <w:bookmarkEnd w:id="88"/>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lastRenderedPageBreak/>
        <w:t>[</w:t>
      </w:r>
      <w:bookmarkStart w:id="89" w:name="_Ref447547463"/>
      <w:bookmarkStart w:id="90"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89"/>
      <w:r w:rsidR="00704D02">
        <w:t>. Reduction of hot spot and seam lines, with (a) showing raw DN images including hot spot and seam lines and (b) the corrected surface reflectance image</w:t>
      </w:r>
      <w:bookmarkEnd w:id="90"/>
      <w:r w:rsidR="00704D02">
        <w:t>]</w:t>
      </w:r>
    </w:p>
    <w:p w14:paraId="4AAF0352" w14:textId="77777777" w:rsidR="00704D02" w:rsidRPr="0030202D" w:rsidRDefault="00704D02" w:rsidP="00704D02"/>
    <w:p w14:paraId="371F3ED3" w14:textId="77777777" w:rsidR="00704D02" w:rsidRDefault="00704D02" w:rsidP="00704D02">
      <w:pPr>
        <w:pStyle w:val="Heading2"/>
      </w:pPr>
      <w:bookmarkStart w:id="91" w:name="_Toc448324297"/>
      <w:bookmarkStart w:id="92" w:name="_Toc394607646"/>
      <w:r>
        <w:t>MODIS Statistical Comparison</w:t>
      </w:r>
      <w:bookmarkEnd w:id="91"/>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93" w:name="_Ref447548615"/>
      <w:bookmarkStart w:id="94"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93"/>
      <w:r w:rsidR="00704D02">
        <w:t>.  DMC DN values and MODIS surface reflectance correlation</w:t>
      </w:r>
      <w:bookmarkEnd w:id="94"/>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lastRenderedPageBreak/>
        <w:t>[</w:t>
      </w:r>
      <w:bookmarkStart w:id="95" w:name="_Ref447546798"/>
      <w:bookmarkStart w:id="96" w:name="_Ref452304734"/>
      <w:bookmarkStart w:id="97"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95"/>
      <w:bookmarkEnd w:id="96"/>
      <w:r w:rsidR="00704D02">
        <w:t xml:space="preserve">.  </w:t>
      </w:r>
      <w:commentRangeStart w:id="98"/>
      <w:commentRangeStart w:id="99"/>
      <w:commentRangeStart w:id="100"/>
      <w:commentRangeStart w:id="101"/>
      <w:r w:rsidR="00704D02">
        <w:t>DMC homogenised mosaic and MODIS surface reflectance correlation</w:t>
      </w:r>
      <w:bookmarkEnd w:id="97"/>
      <w:commentRangeEnd w:id="98"/>
      <w:r w:rsidR="00240A8F">
        <w:rPr>
          <w:rStyle w:val="CommentReference"/>
        </w:rPr>
        <w:commentReference w:id="98"/>
      </w:r>
      <w:commentRangeEnd w:id="99"/>
      <w:r w:rsidR="00215832">
        <w:rPr>
          <w:rStyle w:val="CommentReference"/>
        </w:rPr>
        <w:commentReference w:id="99"/>
      </w:r>
      <w:commentRangeEnd w:id="100"/>
      <w:r w:rsidR="00E10C7A">
        <w:rPr>
          <w:rStyle w:val="CommentReference"/>
        </w:rPr>
        <w:commentReference w:id="100"/>
      </w:r>
      <w:commentRangeEnd w:id="101"/>
      <w:r w:rsidR="001737F9">
        <w:rPr>
          <w:rStyle w:val="CommentReference"/>
        </w:rPr>
        <w:commentReference w:id="101"/>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102" w:name="_Ref447552510"/>
      <w:bookmarkStart w:id="103" w:name="_Ref447552506"/>
      <w:bookmarkStart w:id="104"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102"/>
      <w:r w:rsidR="00704D02">
        <w:t>.  Statistical comparison between MODIS and DMC surface reflectance images</w:t>
      </w:r>
      <w:bookmarkEnd w:id="103"/>
      <w:bookmarkEnd w:id="104"/>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105" w:name="_Toc448324298"/>
      <w:bookmarkStart w:id="106" w:name="_Ref513023287"/>
      <w:bookmarkStart w:id="107" w:name="_Ref513816074"/>
      <w:r>
        <w:t>SPOT 5 Statistical Comparison</w:t>
      </w:r>
      <w:bookmarkEnd w:id="92"/>
      <w:bookmarkEnd w:id="105"/>
      <w:bookmarkEnd w:id="106"/>
      <w:bookmarkEnd w:id="107"/>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6120D7C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ins w:id="108" w:author="dugalh" w:date="2018-05-10T20:43:00Z">
        <w:r w:rsidR="000875CF">
          <w:t xml:space="preserve">this uncertainty due to </w:t>
        </w:r>
      </w:ins>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w:t>
      </w:r>
      <w:r>
        <w:lastRenderedPageBreak/>
        <w:t xml:space="preserve">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117D7E" w:rsidRPr="003B5532">
        <w:t>(</w:t>
      </w:r>
      <w:r w:rsidR="00117D7E">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117D7E" w:rsidRPr="003B5532">
        <w:t>(</w:t>
      </w:r>
      <w:r w:rsidR="00117D7E">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4A888B15" w14:textId="77777777"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w:t>
      </w:r>
      <w:r>
        <w:lastRenderedPageBreak/>
        <w:t xml:space="preserve">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109" w:name="_Ref391064113"/>
      <w:bookmarkStart w:id="110" w:name="_Toc448324359"/>
      <w:bookmarkStart w:id="111" w:name="_Toc391220531"/>
      <w:bookmarkStart w:id="112"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109"/>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10"/>
      <w:bookmarkEnd w:id="111"/>
      <w:bookmarkEnd w:id="112"/>
      <w:r w:rsidR="00704D02">
        <w:t>]</w:t>
      </w:r>
    </w:p>
    <w:p w14:paraId="5DF5F938" w14:textId="77777777" w:rsidR="00704D02" w:rsidRDefault="00704D02" w:rsidP="00704D02"/>
    <w:p w14:paraId="4066BCDA" w14:textId="77777777" w:rsidR="00704D02" w:rsidRDefault="00602A7E" w:rsidP="00602A7E">
      <w:r>
        <w:t>[</w:t>
      </w:r>
      <w:bookmarkStart w:id="113" w:name="_Ref447606984"/>
      <w:bookmarkStart w:id="114" w:name="_Ref452304797"/>
      <w:bookmarkStart w:id="115" w:name="_Ref447557093"/>
      <w:bookmarkStart w:id="116"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113"/>
      <w:bookmarkEnd w:id="114"/>
      <w:r w:rsidR="00704D02">
        <w:t xml:space="preserve">.  DMC and SPOT 5 </w:t>
      </w:r>
      <w:bookmarkEnd w:id="115"/>
      <w:r w:rsidR="00704D02">
        <w:t>RSRs</w:t>
      </w:r>
      <w:bookmarkEnd w:id="116"/>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17" w:name="_Ref447612399"/>
      <w:bookmarkStart w:id="118"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117"/>
      <w:r w:rsidR="00704D02">
        <w:t>.  DMC DN mosaic and SPOT 5 surface reflectance correlation</w:t>
      </w:r>
      <w:bookmarkEnd w:id="118"/>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119" w:name="_Ref447612403"/>
      <w:bookmarkStart w:id="120"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119"/>
      <w:r w:rsidR="00704D02">
        <w:t>.  DMC homogenised mosaic and SPOT 5 surface reflectance correlation</w:t>
      </w:r>
      <w:bookmarkEnd w:id="120"/>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121"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121"/>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122"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122"/>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123" w:name="_Ref447556200"/>
      <w:bookmarkStart w:id="124" w:name="_Ref452304869"/>
      <w:bookmarkStart w:id="125"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123"/>
      <w:bookmarkEnd w:id="124"/>
      <w:r w:rsidR="00704D02">
        <w:t>.</w:t>
      </w:r>
      <w:r w:rsidR="00704D02" w:rsidRPr="0002729A">
        <w:t xml:space="preserve"> </w:t>
      </w:r>
      <w:r w:rsidR="00704D02">
        <w:t xml:space="preserve"> Statistical comparison between SPOT 5 and DMC surface reflectance images</w:t>
      </w:r>
      <w:bookmarkEnd w:id="125"/>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126"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126"/>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lastRenderedPageBreak/>
        <w:t>[</w:t>
      </w:r>
      <w:bookmarkStart w:id="127" w:name="_Ref475615975"/>
      <w:bookmarkStart w:id="128"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127"/>
      <w:r w:rsidR="00704D02">
        <w:t>.  Comparison of DMC and SPOT 5 spectra</w:t>
      </w:r>
      <w:bookmarkEnd w:id="128"/>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29" w:name="_Ref452458695"/>
      <w:r>
        <w:t>Conclusions</w:t>
      </w:r>
      <w:bookmarkEnd w:id="129"/>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02192E3F"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w:t>
      </w:r>
      <w:r>
        <w:lastRenderedPageBreak/>
        <w:t xml:space="preserve">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130"/>
      <w:commentRangeStart w:id="131"/>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 xml:space="preserve">(Schmidt </w:t>
      </w:r>
      <w:r w:rsidR="006C0C2E" w:rsidRPr="006C0C2E">
        <w:rPr>
          <w:noProof/>
        </w:rPr>
        <w:lastRenderedPageBreak/>
        <w:t>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130"/>
      <w:r w:rsidR="00240A8F">
        <w:rPr>
          <w:rStyle w:val="CommentReference"/>
        </w:rPr>
        <w:commentReference w:id="130"/>
      </w:r>
      <w:commentRangeEnd w:id="131"/>
      <w:r w:rsidR="003529BE">
        <w:rPr>
          <w:rStyle w:val="CommentReference"/>
        </w:rPr>
        <w:commentReference w:id="131"/>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Berk, A., G. P. Anderson, L. S. Bernstein, P. K. Acharya, H. Dothe, M. W. Matthew, S. M. Adler-Golden, et al. 1999. “MODTRAN4 Radiative Transfer Modeling for Atmospheric Correction.” In </w:t>
      </w:r>
      <w:r w:rsidRPr="00DA7D4E">
        <w:rPr>
          <w:i/>
          <w:iCs/>
          <w:noProof/>
        </w:rPr>
        <w:t>Proceedings of SPIE - The International Society for Optical 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t>International Journal of Remote Sensing</w:t>
      </w:r>
      <w:r w:rsidRPr="00DA7D4E">
        <w:rPr>
          <w:noProof/>
        </w:rPr>
        <w:t xml:space="preserve"> 34 (9–10): 3688–3698. </w:t>
      </w:r>
      <w:r w:rsidRPr="00DA7D4E">
        <w:rPr>
          <w:noProof/>
        </w:rPr>
        <w:lastRenderedPageBreak/>
        <w:t>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Frédéric Baret. 2008. “Assessment of Unmanned Aerial Vehicles Imagery for </w:t>
      </w:r>
      <w:r w:rsidRPr="00DA7D4E">
        <w:rPr>
          <w:noProof/>
        </w:rPr>
        <w:lastRenderedPageBreak/>
        <w:t xml:space="preserve">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Vicente-Serrano, S, F Pérez-Cabello, and T Lasanta. 2008. “Assessment of Radiometric </w:t>
      </w:r>
      <w:r w:rsidRPr="00DA7D4E">
        <w:rPr>
          <w:noProof/>
        </w:rPr>
        <w:lastRenderedPageBreak/>
        <w:t xml:space="preserve">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1" w:date="2018-03-17T16:15:00Z" w:initials="rev1">
    <w:p w14:paraId="583CDEEE" w14:textId="77777777" w:rsidR="0068089A" w:rsidRDefault="0068089A">
      <w:pPr>
        <w:pStyle w:val="CommentText"/>
      </w:pPr>
      <w:bookmarkStart w:id="8" w:name="_GoBack"/>
      <w:bookmarkEnd w:id="8"/>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68089A" w:rsidRDefault="0068089A">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68089A" w:rsidRDefault="0068089A">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
  </w:comment>
  <w:comment w:id="4" w:author="AVN" w:date="2018-05-03T12:28:00Z" w:initials="A">
    <w:p w14:paraId="01645307" w14:textId="2262D8A2" w:rsidR="0068089A" w:rsidRDefault="0068089A">
      <w:pPr>
        <w:pStyle w:val="CommentText"/>
      </w:pPr>
      <w:r>
        <w:rPr>
          <w:rStyle w:val="CommentReference"/>
        </w:rPr>
        <w:annotationRef/>
      </w:r>
      <w:r>
        <w:t xml:space="preserve">Good, I think this is sufficient. </w:t>
      </w:r>
    </w:p>
  </w:comment>
  <w:comment w:id="5" w:author="reviewer2" w:date="2018-03-18T19:32:00Z" w:initials="rev2">
    <w:p w14:paraId="0BEF9FC5" w14:textId="77777777" w:rsidR="0068089A" w:rsidRDefault="0068089A"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68089A" w:rsidRDefault="0068089A">
      <w:pPr>
        <w:pStyle w:val="CommentText"/>
      </w:pPr>
    </w:p>
  </w:comment>
  <w:comment w:id="6" w:author="dugalh" w:date="2018-03-18T19:55:00Z" w:initials="dh">
    <w:p w14:paraId="76DA8609" w14:textId="6D6585D1" w:rsidR="0068089A" w:rsidRDefault="0068089A">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68089A" w:rsidRDefault="0068089A">
      <w:pPr>
        <w:pStyle w:val="CommentText"/>
      </w:pPr>
    </w:p>
    <w:p w14:paraId="40E1B2F2" w14:textId="740BA566" w:rsidR="0068089A" w:rsidRDefault="0068089A">
      <w:pPr>
        <w:pStyle w:val="CommentText"/>
      </w:pPr>
      <w:r>
        <w:t>I think the bulk of reviewer2’s comments are of dubious validity and these should be responded to in a covering letter rather than the manuscript.  Hopefully the editor will then appoint a different referee.</w:t>
      </w:r>
    </w:p>
  </w:comment>
  <w:comment w:id="7" w:author="AVN" w:date="2018-05-03T12:29:00Z" w:initials="A">
    <w:p w14:paraId="58E99573" w14:textId="46F4A337" w:rsidR="0068089A" w:rsidRDefault="0068089A">
      <w:pPr>
        <w:pStyle w:val="CommentText"/>
      </w:pPr>
      <w:r>
        <w:rPr>
          <w:rStyle w:val="CommentReference"/>
        </w:rPr>
        <w:annotationRef/>
      </w:r>
      <w:r>
        <w:t>Agreed</w:t>
      </w:r>
    </w:p>
  </w:comment>
  <w:comment w:id="16" w:author="reviewer2" w:date="2018-03-18T19:34:00Z" w:initials="rev2">
    <w:p w14:paraId="14E32419" w14:textId="77777777" w:rsidR="0068089A" w:rsidRDefault="0068089A" w:rsidP="008F74E0">
      <w:r>
        <w:rPr>
          <w:rStyle w:val="CommentReference"/>
        </w:rPr>
        <w:annotationRef/>
      </w:r>
      <w:r>
        <w:t>Section 2.1 and 2.2, in my opinion, is almost useless. However, this part occupied 6 pages.</w:t>
      </w:r>
    </w:p>
    <w:p w14:paraId="68EC9DA2" w14:textId="77777777" w:rsidR="0068089A" w:rsidRDefault="0068089A"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68089A" w:rsidRDefault="0068089A">
      <w:pPr>
        <w:pStyle w:val="CommentText"/>
      </w:pPr>
    </w:p>
  </w:comment>
  <w:comment w:id="17" w:author="dugalh" w:date="2018-03-18T20:31:00Z" w:initials="dh">
    <w:p w14:paraId="4B320EBF" w14:textId="6EF4A788" w:rsidR="0068089A" w:rsidRDefault="0068089A" w:rsidP="009508D2">
      <w:pPr>
        <w:pStyle w:val="CommentText"/>
      </w:pPr>
      <w:r>
        <w:t xml:space="preserve">We could shift these sections to an appendix.  But for now I have made a separate section for modelling of RSR and viewing geometry and tried to make it clearer how these effects are covered by the linear model of </w:t>
      </w:r>
      <w:proofErr w:type="spellStart"/>
      <w:r>
        <w:t>eq</w:t>
      </w:r>
      <w:proofErr w:type="spellEnd"/>
      <w:r>
        <w:t xml:space="preserve"> 5.  .</w:t>
      </w:r>
    </w:p>
    <w:p w14:paraId="049F7B1E" w14:textId="77777777" w:rsidR="0068089A" w:rsidRDefault="0068089A">
      <w:pPr>
        <w:pStyle w:val="CommentText"/>
      </w:pPr>
    </w:p>
    <w:p w14:paraId="635E43EB" w14:textId="77777777" w:rsidR="0068089A" w:rsidRDefault="0068089A">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68089A" w:rsidRDefault="0068089A">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68089A" w:rsidRDefault="0068089A">
      <w:pPr>
        <w:pStyle w:val="CommentText"/>
      </w:pPr>
    </w:p>
    <w:p w14:paraId="1B21D278" w14:textId="77777777" w:rsidR="0068089A" w:rsidRDefault="0068089A">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68089A" w:rsidRDefault="0068089A">
      <w:pPr>
        <w:pStyle w:val="CommentText"/>
      </w:pPr>
    </w:p>
    <w:p w14:paraId="4E8BE756" w14:textId="3348D7EE" w:rsidR="0068089A" w:rsidRDefault="0068089A"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68089A" w:rsidRDefault="0068089A" w:rsidP="00F2766F">
      <w:pPr>
        <w:pStyle w:val="CommentText"/>
      </w:pPr>
    </w:p>
    <w:p w14:paraId="186FB7F9" w14:textId="7831C29D" w:rsidR="0068089A" w:rsidRDefault="0068089A" w:rsidP="00F2766F">
      <w:pPr>
        <w:pStyle w:val="CommentText"/>
      </w:pPr>
      <w:r>
        <w:t xml:space="preserve">“Section … 2.2, in my opinion, is almost useless” </w:t>
      </w:r>
    </w:p>
    <w:p w14:paraId="5B30BF8F" w14:textId="77777777" w:rsidR="0068089A" w:rsidRDefault="0068089A" w:rsidP="00F2766F">
      <w:pPr>
        <w:pStyle w:val="CommentText"/>
      </w:pPr>
    </w:p>
    <w:p w14:paraId="39B8495F" w14:textId="1BC41929" w:rsidR="0068089A" w:rsidRDefault="0068089A"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68089A" w:rsidRDefault="0068089A">
      <w:pPr>
        <w:pStyle w:val="CommentText"/>
      </w:pPr>
    </w:p>
  </w:comment>
  <w:comment w:id="25" w:author="reviewer1" w:date="2018-03-18T19:20:00Z" w:initials="rev1">
    <w:p w14:paraId="716920F7" w14:textId="77777777" w:rsidR="0068089A" w:rsidRDefault="0068089A">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26" w:author="dugalh" w:date="2018-04-23T15:40:00Z" w:initials="dh">
    <w:p w14:paraId="30E12F0C" w14:textId="60A6FEA6" w:rsidR="0068089A" w:rsidRPr="00AD640B" w:rsidRDefault="0068089A">
      <w:pPr>
        <w:pStyle w:val="CommentText"/>
      </w:pPr>
      <w:r w:rsidRPr="00AD640B">
        <w:rPr>
          <w:rStyle w:val="CommentReference"/>
        </w:rPr>
        <w:annotationRef/>
      </w:r>
      <w:r w:rsidRPr="00AD640B">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27" w:author="AVN" w:date="2018-05-03T12:55:00Z" w:initials="A">
    <w:p w14:paraId="053A5815" w14:textId="6F8E13D8" w:rsidR="0068089A" w:rsidRDefault="0068089A">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22" w:author="reviewer1" w:date="2018-03-18T19:19:00Z" w:initials="rev1">
    <w:p w14:paraId="692290C0" w14:textId="77777777" w:rsidR="0068089A" w:rsidRDefault="0068089A">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23" w:author="dugalh" w:date="2018-03-18T20:35:00Z" w:initials="dh">
    <w:p w14:paraId="1F5B5389" w14:textId="0184167A" w:rsidR="0068089A" w:rsidRDefault="0068089A">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 i.e. it has already been factored in.</w:t>
      </w:r>
    </w:p>
  </w:comment>
  <w:comment w:id="24" w:author="AVN" w:date="2018-05-03T12:58:00Z" w:initials="A">
    <w:p w14:paraId="7109C8B7" w14:textId="24BBEAE8" w:rsidR="0068089A" w:rsidRDefault="0068089A">
      <w:pPr>
        <w:pStyle w:val="CommentText"/>
      </w:pPr>
      <w:r>
        <w:rPr>
          <w:rStyle w:val="CommentReference"/>
        </w:rPr>
        <w:annotationRef/>
      </w:r>
      <w:r>
        <w:t>Agreed</w:t>
      </w:r>
    </w:p>
  </w:comment>
  <w:comment w:id="35" w:author="reviewer1" w:date="2018-03-18T19:21:00Z" w:initials="rev1">
    <w:p w14:paraId="6E17FAAD" w14:textId="77777777" w:rsidR="0068089A" w:rsidRDefault="0068089A">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36" w:author="dugalh" w:date="2018-04-23T16:43:00Z" w:initials="dh">
    <w:p w14:paraId="6B993C29" w14:textId="0D9AA362" w:rsidR="0068089A" w:rsidRDefault="0068089A"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68089A" w:rsidRDefault="0068089A" w:rsidP="00407774">
      <w:pPr>
        <w:pStyle w:val="CommentText"/>
      </w:pPr>
    </w:p>
    <w:p w14:paraId="695BD998" w14:textId="2ABBCD8A" w:rsidR="0068089A" w:rsidRDefault="0068089A"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37" w:author="AVN" w:date="2018-05-03T13:00:00Z" w:initials="A">
    <w:p w14:paraId="303D1915" w14:textId="12119ABE" w:rsidR="0068089A" w:rsidRDefault="0068089A">
      <w:pPr>
        <w:pStyle w:val="CommentText"/>
      </w:pPr>
      <w:r>
        <w:rPr>
          <w:rStyle w:val="CommentReference"/>
        </w:rPr>
        <w:annotationRef/>
      </w:r>
      <w:r>
        <w:t>Agreed</w:t>
      </w:r>
    </w:p>
  </w:comment>
  <w:comment w:id="39" w:author="dugalh" w:date="2018-04-25T12:54:00Z" w:initials="dh">
    <w:p w14:paraId="750CDA14" w14:textId="3ABA8FCD" w:rsidR="0068089A" w:rsidRDefault="0068089A">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44" w:author="reviewer2" w:date="2018-03-18T19:36:00Z" w:initials="rev2">
    <w:p w14:paraId="0531BEDD" w14:textId="77777777" w:rsidR="0068089A" w:rsidRDefault="0068089A" w:rsidP="008F74E0">
      <w:r>
        <w:rPr>
          <w:rStyle w:val="CommentReference"/>
        </w:rPr>
        <w:annotationRef/>
      </w:r>
      <w:r>
        <w:t>In homogenization procedure, if we perform step (2) and (3) directly at course resolution without step (1), what’s the difference, please clarify.</w:t>
      </w:r>
    </w:p>
    <w:p w14:paraId="245B8753" w14:textId="66633FC9" w:rsidR="0068089A" w:rsidRDefault="0068089A">
      <w:pPr>
        <w:pStyle w:val="CommentText"/>
      </w:pPr>
    </w:p>
  </w:comment>
  <w:comment w:id="45" w:author="dugalh" w:date="2018-03-18T20:40:00Z" w:initials="dh">
    <w:p w14:paraId="29C561D4" w14:textId="7F210986" w:rsidR="0068089A" w:rsidRDefault="0068089A" w:rsidP="0051366F">
      <w:pPr>
        <w:pStyle w:val="CommentText"/>
      </w:pPr>
      <w:r>
        <w:rPr>
          <w:rStyle w:val="CommentReference"/>
        </w:rPr>
        <w:annotationRef/>
      </w:r>
      <w:r>
        <w:t xml:space="preserve">It is not possible to perform 2 &amp; 3 without 1.  He/she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49" w:author="reviewer1" w:date="2018-03-18T19:27:00Z" w:initials="rev1">
    <w:p w14:paraId="752DF27A" w14:textId="1BB32DDB" w:rsidR="0068089A" w:rsidRDefault="0068089A">
      <w:pPr>
        <w:pStyle w:val="CommentText"/>
      </w:pPr>
      <w:r>
        <w:rPr>
          <w:rStyle w:val="CommentReference"/>
        </w:rPr>
        <w:annotationRef/>
      </w:r>
      <w:r>
        <w:t>In my opinion, section 2.4 should be placed as 3.1, or 2.1, please check the journal manuscript guidance.</w:t>
      </w:r>
      <w:r>
        <w:br/>
      </w:r>
    </w:p>
  </w:comment>
  <w:comment w:id="50" w:author="dugalh" w:date="2018-03-18T20:44:00Z" w:initials="dh">
    <w:p w14:paraId="00ADEECE" w14:textId="6254DAE4" w:rsidR="0068089A" w:rsidRDefault="0068089A">
      <w:pPr>
        <w:pStyle w:val="CommentText"/>
      </w:pPr>
      <w:r>
        <w:rPr>
          <w:rStyle w:val="CommentReference"/>
        </w:rPr>
        <w:annotationRef/>
      </w:r>
      <w:r>
        <w:rPr>
          <w:rStyle w:val="CommentReference"/>
        </w:rPr>
        <w:t>There is no specific journal guidance on this</w:t>
      </w:r>
      <w:r>
        <w:t xml:space="preserve"> </w:t>
      </w:r>
    </w:p>
    <w:p w14:paraId="67EDACC0" w14:textId="77777777" w:rsidR="0068089A" w:rsidRDefault="0068089A">
      <w:pPr>
        <w:pStyle w:val="CommentText"/>
      </w:pPr>
    </w:p>
    <w:p w14:paraId="09FD5CE2" w14:textId="1B391DB7" w:rsidR="0068089A" w:rsidRDefault="0068089A">
      <w:pPr>
        <w:pStyle w:val="CommentText"/>
      </w:pPr>
      <w:r>
        <w:t>We refer to section 2.1-2.2 here, so unless we separate that part out, we can’t put this as 2.1. Then 2.6 refers to this data, so 3.1 also seems wrong.</w:t>
      </w:r>
    </w:p>
    <w:p w14:paraId="473F2BB0" w14:textId="77777777" w:rsidR="0068089A" w:rsidRDefault="0068089A">
      <w:pPr>
        <w:pStyle w:val="CommentText"/>
      </w:pPr>
    </w:p>
    <w:p w14:paraId="1A51B303" w14:textId="3D4551A5" w:rsidR="0068089A" w:rsidRDefault="0068089A">
      <w:pPr>
        <w:pStyle w:val="CommentText"/>
      </w:pPr>
      <w:r>
        <w:t xml:space="preserve">What do you think </w:t>
      </w:r>
      <w:proofErr w:type="spellStart"/>
      <w:r>
        <w:t>Adriaan</w:t>
      </w:r>
      <w:proofErr w:type="spellEnd"/>
      <w:r>
        <w:t>?</w:t>
      </w:r>
    </w:p>
  </w:comment>
  <w:comment w:id="51" w:author="AVN" w:date="2018-05-03T13:55:00Z" w:initials="A">
    <w:p w14:paraId="252F9284" w14:textId="27813551" w:rsidR="0068089A" w:rsidRDefault="0068089A">
      <w:pPr>
        <w:pStyle w:val="CommentText"/>
      </w:pPr>
      <w:r>
        <w:rPr>
          <w:rStyle w:val="CommentReference"/>
        </w:rPr>
        <w:annotationRef/>
      </w:r>
      <w:r>
        <w:t xml:space="preserve">I totally disagree with the reviewer. It should be part of methods. </w:t>
      </w:r>
    </w:p>
  </w:comment>
  <w:comment w:id="52" w:author="reviewer2" w:date="2018-03-18T19:40:00Z" w:initials="rev2">
    <w:p w14:paraId="078AC89E" w14:textId="6BB29B04" w:rsidR="0068089A" w:rsidRDefault="0068089A">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53" w:author="dugalh" w:date="2018-03-18T20:47:00Z" w:initials="dh">
    <w:p w14:paraId="649E1B36" w14:textId="793338F6" w:rsidR="0068089A" w:rsidRDefault="0068089A">
      <w:pPr>
        <w:pStyle w:val="CommentText"/>
      </w:pPr>
      <w:r>
        <w:rPr>
          <w:rStyle w:val="CommentReference"/>
        </w:rPr>
        <w:annotationRef/>
      </w:r>
      <w:r>
        <w:t xml:space="preserve">The first four questions are already covered in section 2.5.  </w:t>
      </w:r>
    </w:p>
    <w:p w14:paraId="3DCADF01" w14:textId="77777777" w:rsidR="0068089A" w:rsidRDefault="0068089A">
      <w:pPr>
        <w:pStyle w:val="CommentText"/>
      </w:pPr>
    </w:p>
    <w:p w14:paraId="07A9D82C" w14:textId="15A9371C" w:rsidR="0068089A" w:rsidRDefault="0068089A">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68089A" w:rsidRDefault="0068089A">
      <w:pPr>
        <w:pStyle w:val="CommentText"/>
      </w:pPr>
    </w:p>
    <w:p w14:paraId="49D530A5" w14:textId="1EBD3643" w:rsidR="0068089A" w:rsidRDefault="0068089A" w:rsidP="00CD2631">
      <w:pPr>
        <w:pStyle w:val="CommentText"/>
      </w:pPr>
      <w:r>
        <w:t>“Is it possible that the impact from no atmospheric correction is much larger than BRDF correction?”</w:t>
      </w:r>
    </w:p>
    <w:p w14:paraId="4759D17A" w14:textId="77777777" w:rsidR="0068089A" w:rsidRDefault="0068089A" w:rsidP="00CD2631">
      <w:pPr>
        <w:pStyle w:val="CommentText"/>
      </w:pPr>
    </w:p>
    <w:p w14:paraId="27F30D29" w14:textId="3491C49C" w:rsidR="0068089A" w:rsidRDefault="0068089A">
      <w:pPr>
        <w:pStyle w:val="CommentText"/>
      </w:pPr>
      <w:r>
        <w:t>I think it is very unlikely given the low AOD (</w:t>
      </w:r>
      <w:proofErr w:type="gramStart"/>
      <w:r>
        <w:t>and  other</w:t>
      </w:r>
      <w:proofErr w:type="gramEnd"/>
      <w:r>
        <w:t xml:space="preserve"> factors).  It’s not clear why this is a concern for this reviewer though…  We could demonstrate this more clearly (or at least justify omitting C) by </w:t>
      </w:r>
      <w:proofErr w:type="spellStart"/>
      <w:r>
        <w:t>eg</w:t>
      </w:r>
      <w:proofErr w:type="spellEnd"/>
      <w:r>
        <w:t xml:space="preserve"> fitting an offset (C) only model and comparing results. But I think this is beyond the scope of this paper – we say we will look into including C/offsets in another paper.  What do you think </w:t>
      </w:r>
      <w:proofErr w:type="spellStart"/>
      <w:r>
        <w:t>Adriaan</w:t>
      </w:r>
      <w:proofErr w:type="spellEnd"/>
      <w:r>
        <w:t>?</w:t>
      </w:r>
    </w:p>
  </w:comment>
  <w:comment w:id="55" w:author="reviewer1" w:date="2018-03-18T19:28:00Z" w:initials="rev1">
    <w:p w14:paraId="6D6DF99A" w14:textId="0287AB29" w:rsidR="0068089A" w:rsidRDefault="0068089A">
      <w:pPr>
        <w:pStyle w:val="CommentText"/>
      </w:pPr>
      <w:r>
        <w:rPr>
          <w:rStyle w:val="CommentReference"/>
        </w:rPr>
        <w:annotationRef/>
      </w:r>
      <w:r>
        <w:t>Line 23: since “except NIR”, then not good in all bands. Please phrase</w:t>
      </w:r>
      <w:r>
        <w:rPr>
          <w:rFonts w:ascii="MS Gothic" w:hAnsi="MS Gothic" w:cs="MS Gothic"/>
        </w:rPr>
        <w:t>？</w:t>
      </w:r>
      <w:r>
        <w:br/>
      </w:r>
    </w:p>
  </w:comment>
  <w:comment w:id="58" w:author="dugalh" w:date="2018-04-26T12:20:00Z" w:initials="dh">
    <w:p w14:paraId="42052313" w14:textId="7FFAD8A6" w:rsidR="0068089A" w:rsidRDefault="0068089A">
      <w:pPr>
        <w:pStyle w:val="CommentText"/>
      </w:pPr>
      <w:r>
        <w:rPr>
          <w:rStyle w:val="CommentReference"/>
        </w:rPr>
        <w:annotationRef/>
      </w:r>
      <w:r>
        <w:t xml:space="preserve">I need to satisfy </w:t>
      </w:r>
      <w:proofErr w:type="gramStart"/>
      <w:r>
        <w:t>reviewer1’s  concern</w:t>
      </w:r>
      <w:proofErr w:type="gramEnd"/>
      <w:r>
        <w:t xml:space="preserve"> around us not using Landsat</w:t>
      </w:r>
    </w:p>
    <w:p w14:paraId="701320FF" w14:textId="77777777" w:rsidR="0068089A" w:rsidRDefault="0068089A">
      <w:pPr>
        <w:pStyle w:val="CommentText"/>
      </w:pPr>
    </w:p>
    <w:p w14:paraId="28E5CE73" w14:textId="49D8E4D9" w:rsidR="0068089A" w:rsidRDefault="0068089A">
      <w:pPr>
        <w:pStyle w:val="CommentText"/>
      </w:pPr>
      <w:r>
        <w:t>As a matter of interest, Landsat has no BRDF correction and so may not actually be the best reference but we would need to test to establish this one way or another.</w:t>
      </w:r>
    </w:p>
    <w:p w14:paraId="0A135D92" w14:textId="77777777" w:rsidR="0068089A" w:rsidRDefault="0068089A">
      <w:pPr>
        <w:pStyle w:val="CommentText"/>
      </w:pPr>
    </w:p>
    <w:p w14:paraId="3273CC62" w14:textId="143A06DD" w:rsidR="0068089A" w:rsidRDefault="0068089A">
      <w:pPr>
        <w:pStyle w:val="CommentText"/>
      </w:pPr>
      <w:r>
        <w:t>In the conclusion, I say that for future work, we should conduct an experiment with a Landsat ref image.</w:t>
      </w:r>
    </w:p>
  </w:comment>
  <w:comment w:id="57" w:author="AVN" w:date="2018-05-03T13:34:00Z" w:initials="A">
    <w:p w14:paraId="757D80A7" w14:textId="40772E5F" w:rsidR="0068089A" w:rsidRDefault="0068089A">
      <w:pPr>
        <w:pStyle w:val="CommentText"/>
      </w:pPr>
      <w:r>
        <w:rPr>
          <w:rStyle w:val="CommentReference"/>
        </w:rPr>
        <w:annotationRef/>
      </w:r>
      <w:r>
        <w:t xml:space="preserve">This should work. </w:t>
      </w:r>
    </w:p>
  </w:comment>
  <w:comment w:id="61" w:author="reviewer2" w:date="2018-03-18T19:37:00Z" w:initials="rev2">
    <w:p w14:paraId="0BE7768B" w14:textId="327D1714" w:rsidR="0068089A" w:rsidRDefault="0068089A">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62" w:author="dugalh" w:date="2018-03-18T20:48:00Z" w:initials="dh">
    <w:p w14:paraId="54E367E2" w14:textId="485CCD62" w:rsidR="0068089A" w:rsidRDefault="0068089A">
      <w:pPr>
        <w:pStyle w:val="CommentText"/>
      </w:pPr>
      <w:r>
        <w:rPr>
          <w:rStyle w:val="CommentReference"/>
        </w:rPr>
        <w:annotationRef/>
      </w:r>
      <w:r>
        <w:t xml:space="preserve">These things are mostly covered in section 2.7.  Not sure how to satisfy this person.  </w:t>
      </w:r>
    </w:p>
    <w:p w14:paraId="634DC332" w14:textId="77777777" w:rsidR="0068089A" w:rsidRDefault="0068089A">
      <w:pPr>
        <w:pStyle w:val="CommentText"/>
      </w:pPr>
    </w:p>
    <w:p w14:paraId="7432759E" w14:textId="77777777" w:rsidR="0068089A" w:rsidRDefault="0068089A">
      <w:pPr>
        <w:pStyle w:val="CommentText"/>
      </w:pPr>
      <w:r>
        <w:t xml:space="preserve">“The accuracy impacted mostly by atmospheric correction, geometry, and RSR difference. But I cannot find any explanations.” </w:t>
      </w:r>
    </w:p>
    <w:p w14:paraId="57977AC4" w14:textId="3E4F6EC8" w:rsidR="0068089A" w:rsidRDefault="0068089A">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68089A" w:rsidRDefault="0068089A">
      <w:pPr>
        <w:pStyle w:val="CommentText"/>
      </w:pPr>
    </w:p>
    <w:p w14:paraId="2B1A3418" w14:textId="167CA975" w:rsidR="0068089A" w:rsidRDefault="0068089A">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w:t>
      </w:r>
      <w:proofErr w:type="spellStart"/>
      <w:r>
        <w:t>Adriaan</w:t>
      </w:r>
      <w:proofErr w:type="spellEnd"/>
      <w:r>
        <w:t xml:space="preserve">?  </w:t>
      </w:r>
    </w:p>
    <w:p w14:paraId="274D4660" w14:textId="77777777" w:rsidR="0068089A" w:rsidRDefault="0068089A">
      <w:pPr>
        <w:pStyle w:val="CommentText"/>
      </w:pPr>
    </w:p>
    <w:p w14:paraId="18C4653B" w14:textId="690C93B5" w:rsidR="0068089A" w:rsidRDefault="0068089A">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63" w:author="AVN" w:date="2018-05-03T13:39:00Z" w:initials="A">
    <w:p w14:paraId="7645405F" w14:textId="7B9C4DAB" w:rsidR="0068089A" w:rsidRDefault="0068089A">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64" w:author="dugalh" w:date="2018-05-10T20:54:00Z" w:initials="dh">
    <w:p w14:paraId="7774C8AC" w14:textId="12EBA217" w:rsidR="0068089A" w:rsidRDefault="0068089A">
      <w:pPr>
        <w:pStyle w:val="CommentText"/>
      </w:pPr>
      <w:r>
        <w:rPr>
          <w:rStyle w:val="CommentReference"/>
        </w:rPr>
        <w:annotationRef/>
      </w:r>
      <w:r>
        <w:t xml:space="preserve">OK, “uncertainty” is discussed in conclusion, methods and discussion i.e. things like resolution difference, </w:t>
      </w:r>
      <w:proofErr w:type="spellStart"/>
      <w:r>
        <w:t>rsr</w:t>
      </w:r>
      <w:proofErr w:type="spellEnd"/>
      <w:r>
        <w:t xml:space="preserve"> effect, viewing geom.  </w:t>
      </w:r>
    </w:p>
  </w:comment>
  <w:comment w:id="65" w:author="AVN" w:date="2018-05-03T13:44:00Z" w:initials="A">
    <w:p w14:paraId="2CC13AF3" w14:textId="1F3885D1" w:rsidR="0068089A" w:rsidRDefault="0068089A">
      <w:pPr>
        <w:pStyle w:val="CommentText"/>
      </w:pPr>
      <w:r>
        <w:rPr>
          <w:rStyle w:val="CommentReference"/>
        </w:rPr>
        <w:annotationRef/>
      </w:r>
      <w:r>
        <w:t>See comment below about accuracy.</w:t>
      </w:r>
    </w:p>
  </w:comment>
  <w:comment w:id="66" w:author="reviewer2" w:date="2018-03-18T19:39:00Z" w:initials="rev2">
    <w:p w14:paraId="2C027284" w14:textId="77777777" w:rsidR="0068089A" w:rsidRDefault="0068089A"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68089A" w:rsidRDefault="0068089A">
      <w:pPr>
        <w:pStyle w:val="CommentText"/>
      </w:pPr>
    </w:p>
  </w:comment>
  <w:comment w:id="67" w:author="dugalh" w:date="2018-03-18T20:49:00Z" w:initials="dh">
    <w:p w14:paraId="4B0A3E2A" w14:textId="012D5AEF" w:rsidR="0068089A" w:rsidRDefault="0068089A">
      <w:pPr>
        <w:pStyle w:val="CommentText"/>
      </w:pPr>
      <w:r>
        <w:rPr>
          <w:rStyle w:val="CommentReference"/>
        </w:rPr>
        <w:annotationRef/>
      </w:r>
      <w:r>
        <w:t xml:space="preserve">I agree that the comparison between SPOT and MODIS is not hugely useful and could be left out </w:t>
      </w:r>
    </w:p>
    <w:p w14:paraId="44063C98" w14:textId="77777777" w:rsidR="0068089A" w:rsidRDefault="0068089A">
      <w:pPr>
        <w:pStyle w:val="CommentText"/>
      </w:pPr>
    </w:p>
    <w:p w14:paraId="03074A68" w14:textId="61EDA727" w:rsidR="0068089A" w:rsidRDefault="0068089A">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68089A" w:rsidRDefault="0068089A">
      <w:pPr>
        <w:pStyle w:val="CommentText"/>
      </w:pPr>
    </w:p>
    <w:p w14:paraId="3954D9CD" w14:textId="77777777" w:rsidR="0068089A" w:rsidRDefault="0068089A" w:rsidP="009712D6">
      <w:r>
        <w:t xml:space="preserve">“I suggest the authors conduct the comparison between with and without BRDF correction.”  </w:t>
      </w:r>
    </w:p>
    <w:p w14:paraId="33BA9D43" w14:textId="3F872EFC" w:rsidR="0068089A" w:rsidRDefault="0068089A"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68089A" w:rsidRDefault="0068089A" w:rsidP="009712D6">
      <w:r>
        <w:t xml:space="preserve"> </w:t>
      </w:r>
    </w:p>
    <w:p w14:paraId="3B90865F" w14:textId="730E284F" w:rsidR="0068089A" w:rsidRDefault="0068089A">
      <w:pPr>
        <w:pStyle w:val="CommentText"/>
      </w:pPr>
      <w:r>
        <w:t>Perhaps I can just respond by saying we show the comparison between DMC and SPOT/MODIS with and without homogenisation, which includes BRDF correction so is sort of like with and without BRDF correction?</w:t>
      </w:r>
    </w:p>
  </w:comment>
  <w:comment w:id="68" w:author="AVN" w:date="2018-05-03T13:42:00Z" w:initials="A">
    <w:p w14:paraId="05BE9389" w14:textId="16304560" w:rsidR="0068089A" w:rsidRDefault="0068089A">
      <w:pPr>
        <w:pStyle w:val="CommentText"/>
      </w:pPr>
      <w:r>
        <w:rPr>
          <w:rStyle w:val="CommentReference"/>
        </w:rPr>
        <w:annotationRef/>
      </w:r>
      <w:r>
        <w:t xml:space="preserve">I think he means comparison with BRDF corrected MODIS and uncorrected MODIS. </w:t>
      </w:r>
    </w:p>
  </w:comment>
  <w:comment w:id="98" w:author="reviewer1" w:date="2018-03-18T19:24:00Z" w:initials="rev1">
    <w:p w14:paraId="4462ACEA" w14:textId="2195DADE" w:rsidR="0068089A" w:rsidRDefault="0068089A">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99" w:author="dugalh" w:date="2018-03-18T20:52:00Z" w:initials="dh">
    <w:p w14:paraId="3BDB2B13" w14:textId="07033F3D" w:rsidR="0068089A" w:rsidRDefault="0068089A">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68089A" w:rsidRDefault="0068089A">
      <w:pPr>
        <w:pStyle w:val="CommentText"/>
      </w:pPr>
    </w:p>
    <w:p w14:paraId="6E86A476" w14:textId="75326E76" w:rsidR="0068089A" w:rsidRDefault="0068089A">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68089A" w:rsidRDefault="0068089A">
      <w:pPr>
        <w:pStyle w:val="CommentText"/>
      </w:pPr>
    </w:p>
    <w:p w14:paraId="24593D95" w14:textId="77777777" w:rsidR="0068089A" w:rsidRDefault="0068089A">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68089A" w:rsidRDefault="0068089A">
      <w:pPr>
        <w:pStyle w:val="CommentText"/>
      </w:pPr>
    </w:p>
    <w:p w14:paraId="00D43563" w14:textId="03564D37" w:rsidR="0068089A" w:rsidRDefault="0068089A">
      <w:pPr>
        <w:pStyle w:val="CommentText"/>
      </w:pPr>
      <w:r>
        <w:t>I think I should just respond to the comment in a letter with something like what I said above?</w:t>
      </w:r>
      <w:r>
        <w:rPr>
          <w:rStyle w:val="CommentReference"/>
        </w:rPr>
        <w:annotationRef/>
      </w:r>
    </w:p>
  </w:comment>
  <w:comment w:id="100" w:author="AVN" w:date="2018-05-03T13:47:00Z" w:initials="A">
    <w:p w14:paraId="60D54C72" w14:textId="39A0236A" w:rsidR="0068089A" w:rsidRDefault="0068089A">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101" w:author="dugalh" w:date="2018-05-10T21:23:00Z" w:initials="dh">
    <w:p w14:paraId="7F2B9D0E" w14:textId="2179BE47" w:rsidR="0068089A" w:rsidRDefault="0068089A">
      <w:pPr>
        <w:pStyle w:val="CommentText"/>
      </w:pPr>
      <w:r>
        <w:rPr>
          <w:rStyle w:val="CommentReference"/>
        </w:rPr>
        <w:annotationRef/>
      </w:r>
      <w:r>
        <w:t xml:space="preserve">The RSR effect has one linear rel. for all targets.  Then, BRDF </w:t>
      </w:r>
    </w:p>
  </w:comment>
  <w:comment w:id="130" w:author="reviewer1" w:date="2018-03-18T19:30:00Z" w:initials="rev1">
    <w:p w14:paraId="38B59468" w14:textId="568646A6" w:rsidR="0068089A" w:rsidRDefault="0068089A">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131" w:author="dugalh" w:date="2018-05-01T13:18:00Z" w:initials="dh">
    <w:p w14:paraId="38587234" w14:textId="1A53E555" w:rsidR="0068089A" w:rsidRDefault="0068089A">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1"/>
  <w15:commentEx w15:paraId="02C1433B" w15:paraIdParent="583CDEEE" w15:done="1"/>
  <w15:commentEx w15:paraId="0931D417" w15:paraIdParent="583CDEEE" w15:done="1"/>
  <w15:commentEx w15:paraId="01645307" w15:paraIdParent="583CDEEE" w15:done="1"/>
  <w15:commentEx w15:paraId="0680EEC9" w15:done="1"/>
  <w15:commentEx w15:paraId="40E1B2F2" w15:paraIdParent="0680EEC9" w15:done="1"/>
  <w15:commentEx w15:paraId="58E99573" w15:paraIdParent="0680EEC9" w15:done="1"/>
  <w15:commentEx w15:paraId="33199CA9" w15:done="1"/>
  <w15:commentEx w15:paraId="062D0679" w15:paraIdParent="33199CA9" w15:done="1"/>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750CDA14" w15:done="1"/>
  <w15:commentEx w15:paraId="245B8753" w15:done="1"/>
  <w15:commentEx w15:paraId="29C561D4" w15:paraIdParent="245B8753" w15:done="1"/>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273CC62" w15:done="0"/>
  <w15:commentEx w15:paraId="757D80A7" w15:paraIdParent="3273CC62" w15:done="0"/>
  <w15:commentEx w15:paraId="0BE7768B" w15:done="0"/>
  <w15:commentEx w15:paraId="18C4653B" w15:paraIdParent="0BE7768B" w15:done="0"/>
  <w15:commentEx w15:paraId="7645405F" w15:paraIdParent="0BE7768B" w15:done="0"/>
  <w15:commentEx w15:paraId="7774C8AC" w15:paraIdParent="0BE7768B" w15:done="0"/>
  <w15:commentEx w15:paraId="2CC13AF3" w15:done="0"/>
  <w15:commentEx w15:paraId="4AFFFFC1" w15:done="0"/>
  <w15:commentEx w15:paraId="3B90865F" w15:paraIdParent="4AFFFFC1" w15:done="0"/>
  <w15:commentEx w15:paraId="05BE9389" w15:paraIdParent="4AFFFFC1" w15:done="0"/>
  <w15:commentEx w15:paraId="4462ACEA" w15:done="0"/>
  <w15:commentEx w15:paraId="00D43563" w15:paraIdParent="4462ACEA" w15:done="0"/>
  <w15:commentEx w15:paraId="60D54C72" w15:paraIdParent="4462ACEA" w15:done="0"/>
  <w15:commentEx w15:paraId="7F2B9D0E" w15:paraIdParent="4462ACEA" w15:done="0"/>
  <w15:commentEx w15:paraId="38B59468" w15:done="1"/>
  <w15:commentEx w15:paraId="38587234" w15:paraIdParent="38B5946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29BCC" w14:textId="77777777" w:rsidR="0097537E" w:rsidRDefault="0097537E">
      <w:pPr>
        <w:spacing w:line="240" w:lineRule="auto"/>
      </w:pPr>
      <w:r>
        <w:separator/>
      </w:r>
    </w:p>
  </w:endnote>
  <w:endnote w:type="continuationSeparator" w:id="0">
    <w:p w14:paraId="397DFDA8" w14:textId="77777777" w:rsidR="0097537E" w:rsidRDefault="00975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68089A" w:rsidRDefault="0068089A">
    <w:pPr>
      <w:pStyle w:val="Footer"/>
    </w:pPr>
  </w:p>
  <w:p w14:paraId="1D016D30" w14:textId="77777777" w:rsidR="0068089A" w:rsidRDefault="00680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A2E9A" w14:textId="77777777" w:rsidR="0097537E" w:rsidRDefault="0097537E">
      <w:pPr>
        <w:spacing w:line="240" w:lineRule="auto"/>
      </w:pPr>
      <w:r>
        <w:separator/>
      </w:r>
    </w:p>
  </w:footnote>
  <w:footnote w:type="continuationSeparator" w:id="0">
    <w:p w14:paraId="3F84E454" w14:textId="77777777" w:rsidR="0097537E" w:rsidRDefault="009753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68089A" w:rsidRDefault="0068089A">
        <w:pPr>
          <w:pStyle w:val="Header"/>
          <w:jc w:val="center"/>
        </w:pPr>
        <w:r>
          <w:fldChar w:fldCharType="begin"/>
        </w:r>
        <w:r>
          <w:instrText xml:space="preserve"> PAGE   \* MERGEFORMAT </w:instrText>
        </w:r>
        <w:r>
          <w:fldChar w:fldCharType="separate"/>
        </w:r>
        <w:r w:rsidR="006E1E92">
          <w:rPr>
            <w:noProof/>
          </w:rPr>
          <w:t>21</w:t>
        </w:r>
        <w:r>
          <w:rPr>
            <w:noProof/>
          </w:rPr>
          <w:fldChar w:fldCharType="end"/>
        </w:r>
      </w:p>
    </w:sdtContent>
  </w:sdt>
  <w:p w14:paraId="70308C52" w14:textId="77777777" w:rsidR="0068089A" w:rsidRDefault="006808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250A6"/>
    <w:rsid w:val="0003170C"/>
    <w:rsid w:val="000362DA"/>
    <w:rsid w:val="00041E87"/>
    <w:rsid w:val="00057840"/>
    <w:rsid w:val="000875CF"/>
    <w:rsid w:val="00095D9F"/>
    <w:rsid w:val="00096789"/>
    <w:rsid w:val="0009681F"/>
    <w:rsid w:val="000A4543"/>
    <w:rsid w:val="000B4329"/>
    <w:rsid w:val="000D7B05"/>
    <w:rsid w:val="000E4C92"/>
    <w:rsid w:val="000F20E4"/>
    <w:rsid w:val="00110430"/>
    <w:rsid w:val="001138DC"/>
    <w:rsid w:val="00116A88"/>
    <w:rsid w:val="00117D7E"/>
    <w:rsid w:val="00163C8D"/>
    <w:rsid w:val="001737F9"/>
    <w:rsid w:val="00176D87"/>
    <w:rsid w:val="001820EB"/>
    <w:rsid w:val="001845F9"/>
    <w:rsid w:val="001E26EB"/>
    <w:rsid w:val="001F1D98"/>
    <w:rsid w:val="00214903"/>
    <w:rsid w:val="00215832"/>
    <w:rsid w:val="00224E2F"/>
    <w:rsid w:val="002263E9"/>
    <w:rsid w:val="00231160"/>
    <w:rsid w:val="002340B4"/>
    <w:rsid w:val="002345A4"/>
    <w:rsid w:val="00235F21"/>
    <w:rsid w:val="00240A8F"/>
    <w:rsid w:val="0024685E"/>
    <w:rsid w:val="00251295"/>
    <w:rsid w:val="002B04FF"/>
    <w:rsid w:val="002B2D50"/>
    <w:rsid w:val="002C17FB"/>
    <w:rsid w:val="002C77B0"/>
    <w:rsid w:val="002E417B"/>
    <w:rsid w:val="002F4D8E"/>
    <w:rsid w:val="00302885"/>
    <w:rsid w:val="0030450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7644"/>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3A34"/>
    <w:rsid w:val="005746D9"/>
    <w:rsid w:val="00582F14"/>
    <w:rsid w:val="00594001"/>
    <w:rsid w:val="00597EAA"/>
    <w:rsid w:val="005A1A14"/>
    <w:rsid w:val="005B4D83"/>
    <w:rsid w:val="005B66E1"/>
    <w:rsid w:val="005C3FA5"/>
    <w:rsid w:val="005D07E4"/>
    <w:rsid w:val="005D3AF2"/>
    <w:rsid w:val="005E5FF3"/>
    <w:rsid w:val="005F414B"/>
    <w:rsid w:val="005F5580"/>
    <w:rsid w:val="00601E07"/>
    <w:rsid w:val="00602A7E"/>
    <w:rsid w:val="006133EB"/>
    <w:rsid w:val="00630409"/>
    <w:rsid w:val="00647D69"/>
    <w:rsid w:val="00652BCD"/>
    <w:rsid w:val="00653ACD"/>
    <w:rsid w:val="00662628"/>
    <w:rsid w:val="0068089A"/>
    <w:rsid w:val="00684BEA"/>
    <w:rsid w:val="00690924"/>
    <w:rsid w:val="006A53B2"/>
    <w:rsid w:val="006A62C7"/>
    <w:rsid w:val="006C0C2E"/>
    <w:rsid w:val="006E1E92"/>
    <w:rsid w:val="006F6700"/>
    <w:rsid w:val="00704D02"/>
    <w:rsid w:val="00725F1E"/>
    <w:rsid w:val="007328A7"/>
    <w:rsid w:val="007472B0"/>
    <w:rsid w:val="00782A1E"/>
    <w:rsid w:val="00791A38"/>
    <w:rsid w:val="00796072"/>
    <w:rsid w:val="007B14CD"/>
    <w:rsid w:val="007B224B"/>
    <w:rsid w:val="007D1F1F"/>
    <w:rsid w:val="007D2C25"/>
    <w:rsid w:val="007D4D6C"/>
    <w:rsid w:val="007D52BE"/>
    <w:rsid w:val="007D5E0D"/>
    <w:rsid w:val="007D7F8B"/>
    <w:rsid w:val="00830204"/>
    <w:rsid w:val="00887697"/>
    <w:rsid w:val="008B5458"/>
    <w:rsid w:val="008F0509"/>
    <w:rsid w:val="008F74E0"/>
    <w:rsid w:val="00900E34"/>
    <w:rsid w:val="00904C63"/>
    <w:rsid w:val="00911292"/>
    <w:rsid w:val="00911368"/>
    <w:rsid w:val="009129D5"/>
    <w:rsid w:val="00930508"/>
    <w:rsid w:val="0094605E"/>
    <w:rsid w:val="009508D2"/>
    <w:rsid w:val="009712D6"/>
    <w:rsid w:val="0097537E"/>
    <w:rsid w:val="009A2F41"/>
    <w:rsid w:val="009F0949"/>
    <w:rsid w:val="00A41F1A"/>
    <w:rsid w:val="00A51D21"/>
    <w:rsid w:val="00A53CD5"/>
    <w:rsid w:val="00A6350B"/>
    <w:rsid w:val="00A86274"/>
    <w:rsid w:val="00AA0369"/>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91D4C"/>
    <w:rsid w:val="00B94721"/>
    <w:rsid w:val="00BC15C8"/>
    <w:rsid w:val="00BC16BE"/>
    <w:rsid w:val="00BD735E"/>
    <w:rsid w:val="00BE6845"/>
    <w:rsid w:val="00C01B65"/>
    <w:rsid w:val="00C1348F"/>
    <w:rsid w:val="00C3042B"/>
    <w:rsid w:val="00C33927"/>
    <w:rsid w:val="00C46DE8"/>
    <w:rsid w:val="00C55794"/>
    <w:rsid w:val="00CA4EA7"/>
    <w:rsid w:val="00CB3CEA"/>
    <w:rsid w:val="00CC4D18"/>
    <w:rsid w:val="00CD2631"/>
    <w:rsid w:val="00CD5ED5"/>
    <w:rsid w:val="00CE7B7A"/>
    <w:rsid w:val="00D03094"/>
    <w:rsid w:val="00D12C91"/>
    <w:rsid w:val="00D13827"/>
    <w:rsid w:val="00D23A80"/>
    <w:rsid w:val="00D476EB"/>
    <w:rsid w:val="00D4793E"/>
    <w:rsid w:val="00D645CE"/>
    <w:rsid w:val="00D849C4"/>
    <w:rsid w:val="00DA7D4E"/>
    <w:rsid w:val="00DB080A"/>
    <w:rsid w:val="00DD31C0"/>
    <w:rsid w:val="00DE0E19"/>
    <w:rsid w:val="00E04706"/>
    <w:rsid w:val="00E05D3E"/>
    <w:rsid w:val="00E060BE"/>
    <w:rsid w:val="00E0705C"/>
    <w:rsid w:val="00E10C7A"/>
    <w:rsid w:val="00E40C8B"/>
    <w:rsid w:val="00E532B3"/>
    <w:rsid w:val="00E95661"/>
    <w:rsid w:val="00E97CAD"/>
    <w:rsid w:val="00EB6E95"/>
    <w:rsid w:val="00EC5654"/>
    <w:rsid w:val="00EC642A"/>
    <w:rsid w:val="00ED166C"/>
    <w:rsid w:val="00EE372E"/>
    <w:rsid w:val="00EF17D0"/>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582A-4BA7-40D2-85F2-4A08A9BDA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5299</TotalTime>
  <Pages>34</Pages>
  <Words>35246</Words>
  <Characters>200903</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37</cp:revision>
  <dcterms:created xsi:type="dcterms:W3CDTF">2018-05-03T11:02:00Z</dcterms:created>
  <dcterms:modified xsi:type="dcterms:W3CDTF">2018-05-11T17:59:00Z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