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06C87320"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00DF3D30" w:rsidRPr="00DF3D30">
        <w:rPr>
          <w:color w:val="FF0000"/>
        </w:rPr>
        <w:t xml:space="preserve">coefficient of determination </w:t>
      </w:r>
      <w:r w:rsidR="005E1CDC">
        <w:rPr>
          <w:color w:val="FF0000"/>
        </w:rPr>
        <w:t>(</w:t>
      </w:r>
      <w:r w:rsidRPr="002E1F44">
        <w:rPr>
          <w:i/>
        </w:rPr>
        <w:t>R</w:t>
      </w:r>
      <w:r w:rsidRPr="002E1F44">
        <w:rPr>
          <w:vertAlign w:val="superscript"/>
        </w:rPr>
        <w:t>2</w:t>
      </w:r>
      <w:proofErr w:type="gramStart"/>
      <w:r w:rsidR="005E1CDC" w:rsidRPr="005E1CDC">
        <w:rPr>
          <w:color w:val="FF0000"/>
        </w:rPr>
        <w:t>)</w:t>
      </w:r>
      <w:r w:rsidRPr="00DF3D30">
        <w:rPr>
          <w:strike/>
          <w:color w:val="FF0000"/>
        </w:rPr>
        <w:t>coefficient</w:t>
      </w:r>
      <w:proofErr w:type="gramEnd"/>
      <w:r w:rsidRPr="005E1CDC">
        <w:rPr>
          <w:color w:val="FF0000"/>
        </w:rPr>
        <w:t xml:space="preserve"> </w:t>
      </w:r>
      <w:r w:rsidRPr="002E1F44">
        <w:t>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w:t>
      </w:r>
      <w:r w:rsidR="002352D9" w:rsidRPr="002352D9">
        <w:rPr>
          <w:rStyle w:val="st"/>
          <w:color w:val="FF0000"/>
        </w:rPr>
        <w:t>oderate Resolution A</w:t>
      </w:r>
      <w:r w:rsidR="002352D9" w:rsidRPr="002352D9">
        <w:rPr>
          <w:rStyle w:val="st"/>
          <w:color w:val="FF0000"/>
        </w:rPr>
        <w:t>tmospheric T</w:t>
      </w:r>
      <w:r w:rsidR="002352D9" w:rsidRPr="002352D9">
        <w:rPr>
          <w:rStyle w:val="st"/>
          <w:color w:val="FF0000"/>
        </w:rPr>
        <w:t>rans</w:t>
      </w:r>
      <w:r w:rsidR="002352D9" w:rsidRPr="002352D9">
        <w:rPr>
          <w:rStyle w:val="st"/>
          <w:color w:val="FF0000"/>
        </w:rPr>
        <w:t>mission</w:t>
      </w:r>
      <w:r w:rsidR="002352D9" w:rsidRPr="002352D9">
        <w:rPr>
          <w:rStyle w:val="st"/>
          <w:color w:val="FF0000"/>
        </w:rPr>
        <w:t xml:space="preserve">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w:t>
      </w:r>
      <w:r w:rsidR="002352D9" w:rsidRPr="002352D9">
        <w:rPr>
          <w:rStyle w:val="st"/>
          <w:color w:val="FF0000"/>
        </w:rPr>
        <w:t xml:space="preserve">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2CE6686" w:rsidR="00704D02" w:rsidRPr="005D645A" w:rsidRDefault="00AA130E" w:rsidP="000F20E4">
            <w:pPr>
              <w:pStyle w:val="Displayedequation"/>
            </w:pPr>
            <m:oMathPara>
              <m:oMathParaPr>
                <m:jc m:val="center"/>
              </m:oMathParaPr>
              <m:oMath>
                <m:r>
                  <m:rPr>
                    <m:sty m:val="p"/>
                  </m:rPr>
                  <w:rPr>
                    <w:rFonts w:ascii="Cambria Math" w:hAnsi="Cambria Math"/>
                    <w:color w:val="FF0000"/>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34E4E963" w:rsidR="00704D02" w:rsidRPr="005D645A" w:rsidRDefault="002143E2"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num>
                  <m:den>
                    <m:r>
                      <m:rPr>
                        <m:sty m:val="p"/>
                      </m:rPr>
                      <w:rPr>
                        <w:rFonts w:ascii="Cambria Math" w:hAnsi="Cambria Math"/>
                        <w:color w:val="FF0000"/>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32C9698C" w:rsidR="00704D02" w:rsidRPr="005D645A" w:rsidRDefault="002143E2" w:rsidP="00450565">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7287A745"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d</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3CB0FE9D" w:rsidR="00704D02" w:rsidRPr="005D645A" w:rsidRDefault="002143E2" w:rsidP="00330A80">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29DE60F2" w:rsidR="00704D02" w:rsidRPr="005D645A" w:rsidRDefault="00AA130E" w:rsidP="000F20E4">
            <w:pPr>
              <w:pStyle w:val="Displayedequation"/>
            </w:pPr>
            <m:oMathPara>
              <m:oMathParaPr>
                <m:jc m:val="center"/>
              </m:oMathParaPr>
              <m:oMath>
                <m:r>
                  <m:rPr>
                    <m:sty m:val="p"/>
                  </m:rPr>
                  <w:rPr>
                    <w:rFonts w:ascii="Cambria Math" w:hAnsi="Cambria Math"/>
                  </w:rPr>
                  <m:t>DN</m:t>
                </m:r>
                <m:r>
                  <w:rPr>
                    <w:rFonts w:ascii="Cambria Math" w:hAnsi="Cambria Math"/>
                  </w:rPr>
                  <m:t>=M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0FE8770E" w:rsidR="00704D02" w:rsidRPr="005D645A" w:rsidRDefault="00704D02" w:rsidP="00A062B0">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16CEE610"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165F6D8F" w:rsidR="00704D02" w:rsidRPr="005D645A" w:rsidRDefault="00704D02" w:rsidP="00732325">
            <w:pPr>
              <w:pStyle w:val="Displayedequation"/>
            </w:pPr>
            <m:oMath>
              <m:r>
                <m:rPr>
                  <m:sty m:val="bi"/>
                </m:rPr>
                <w:rPr>
                  <w:rFonts w:ascii="Cambria Math" w:hAnsi="Cambria Math" w:cstheme="majorHAnsi"/>
                </w:rPr>
                <w:lastRenderedPageBreak/>
                <m:t>DN</m:t>
              </m:r>
              <m:r>
                <w:rPr>
                  <w:rFonts w:ascii="Cambria Math" w:hAnsi="Cambria Math" w:cstheme="majorHAnsi"/>
                </w:rPr>
                <m:t>=</m:t>
              </m:r>
              <m:sSub>
                <m:sSubPr>
                  <m:ctrlPr>
                    <w:rPr>
                      <w:rFonts w:ascii="Cambria Math" w:hAnsi="Cambria Math" w:cstheme="majorHAnsi"/>
                      <w:b/>
                    </w:rPr>
                  </m:ctrlPr>
                </m:sSubPr>
                <m:e>
                  <m:r>
                    <w:rPr>
                      <w:rFonts w:ascii="Cambria Math" w:hAnsi="Cambria Math" w:cstheme="majorHAnsi"/>
                    </w:rPr>
                    <m:t>M</m:t>
                  </m:r>
                  <m:sSubSup>
                    <m:sSubSupPr>
                      <m:ctrlPr>
                        <w:rPr>
                          <w:rFonts w:ascii="Cambria Math" w:hAnsi="Cambria Math" w:cstheme="majorHAnsi"/>
                          <w:b/>
                        </w:rPr>
                      </m:ctrlPr>
                    </m:sSubSupPr>
                    <m:e>
                      <m:r>
                        <m:rPr>
                          <m:sty m:val="bi"/>
                        </m:rPr>
                        <w:rPr>
                          <w:rFonts w:ascii="Cambria Math" w:hAnsi="Cambria Math" w:cstheme="majorHAnsi"/>
                        </w:rPr>
                        <m:t>ρ</m:t>
                      </m:r>
                    </m:e>
                    <m:sub>
                      <m:r>
                        <m:rPr>
                          <m:sty m:val="p"/>
                        </m:rPr>
                        <w:rPr>
                          <w:rFonts w:ascii="Cambria Math" w:hAnsi="Cambria Math" w:cstheme="majorHAnsi"/>
                        </w:rPr>
                        <m:t>t</m:t>
                      </m:r>
                    </m:sub>
                    <m:sup>
                      <m:r>
                        <m:rPr>
                          <m:sty m:val="p"/>
                        </m:rPr>
                        <w:rPr>
                          <w:rFonts w:ascii="Cambria Math" w:hAnsi="Cambria Math" w:cstheme="majorHAnsi"/>
                        </w:rPr>
                        <m:t>ref</m:t>
                      </m:r>
                    </m:sup>
                  </m:sSubSup>
                </m:e>
                <m:sub>
                  <m:r>
                    <m:rPr>
                      <m:sty m:val="b"/>
                    </m:rPr>
                    <w:rPr>
                      <w:rFonts w:ascii="Cambria Math" w:hAnsi="Cambria Math" w:cstheme="majorHAnsi"/>
                    </w:rPr>
                    <m:t xml:space="preserve"> </m:t>
                  </m:r>
                </m:sub>
              </m:sSub>
              <m:r>
                <m:rPr>
                  <m:sty m:val="p"/>
                </m:rPr>
                <w:rPr>
                  <w:rFonts w:ascii="Cambria Math" w:hAnsi="Cambria Math" w:cstheme="majorHAnsi"/>
                </w:rPr>
                <m:t>+</m:t>
              </m:r>
              <m:r>
                <w:rPr>
                  <w:rFonts w:ascii="Cambria Math" w:hAnsi="Cambria Math" w:cstheme="majorHAnsi"/>
                </w:rPr>
                <m:t>C</m:t>
              </m:r>
            </m:oMath>
            <w:r w:rsidR="00732325" w:rsidRPr="00515809">
              <w:rPr>
                <w:b/>
                <w:i/>
                <w:color w:val="FF0000"/>
              </w:rPr>
              <w:t>1</w:t>
            </w:r>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158BB23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w:r w:rsidR="00732325" w:rsidRPr="00515809">
        <w:rPr>
          <w:b/>
          <w:i/>
          <w:color w:val="FF0000"/>
        </w:rPr>
        <w:t>1</w:t>
      </w:r>
      <w:r w:rsidR="00732325">
        <w:rPr>
          <w:b/>
          <w:i/>
        </w:rPr>
        <w:t xml:space="preserve"> </w:t>
      </w:r>
      <w:r>
        <w:t xml:space="preserve">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2E39BE00" w:rsidR="00704D02" w:rsidRPr="005D645A" w:rsidRDefault="002143E2" w:rsidP="00173551">
            <w:pPr>
              <w:pStyle w:val="Displayedequation"/>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r>
                <w:rPr>
                  <w:rFonts w:ascii="Cambria Math" w:hAnsi="Cambria Math"/>
                </w:rPr>
                <m:t>[</m:t>
              </m:r>
              <m:sSubSup>
                <m:sSubSupPr>
                  <m:ctrlPr>
                    <w:rPr>
                      <w:rFonts w:ascii="Cambria Math" w:hAnsi="Cambria Math"/>
                      <w:b/>
                      <w:i/>
                    </w:rPr>
                  </m:ctrlPr>
                </m:sSubSupPr>
                <m:e>
                  <m:r>
                    <m:rPr>
                      <m:sty m:val="bi"/>
                    </m:rPr>
                    <w:rPr>
                      <w:rFonts w:ascii="Cambria Math" w:hAnsi="Cambria Math"/>
                    </w:rPr>
                    <m:t>ρ</m:t>
                  </m:r>
                </m:e>
                <m:sub>
                  <m:r>
                    <w:rPr>
                      <w:rFonts w:ascii="Cambria Math" w:hAnsi="Cambria Math"/>
                    </w:rPr>
                    <m:t>t</m:t>
                  </m:r>
                </m:sub>
                <m:sup>
                  <m:r>
                    <w:rPr>
                      <w:rFonts w:ascii="Cambria Math" w:hAnsi="Cambria Math"/>
                    </w:rPr>
                    <m:t>ref</m:t>
                  </m:r>
                </m:sup>
              </m:sSubSup>
              <m:r>
                <w:rPr>
                  <w:rFonts w:ascii="Cambria Math" w:hAnsi="Cambria Math"/>
                </w:rPr>
                <m:t xml:space="preserve"> </m:t>
              </m:r>
              <m:r>
                <w:rPr>
                  <w:rFonts w:ascii="Cambria Math" w:hAnsi="Cambria Math"/>
                </w:rPr>
                <m:t xml:space="preserve">  </m:t>
              </m:r>
            </m:oMath>
            <w:r w:rsidR="00173551">
              <w:rPr>
                <w:i/>
              </w:rPr>
              <w:t xml:space="preserve"> </w:t>
            </w:r>
            <w:r w:rsidR="00173551" w:rsidRPr="00515809">
              <w:rPr>
                <w:b/>
                <w:i/>
                <w:color w:val="FF0000"/>
              </w:rPr>
              <w:t>1</w:t>
            </w:r>
            <m:oMath>
              <m:sSup>
                <m:sSupPr>
                  <m:ctrlPr>
                    <w:rPr>
                      <w:rFonts w:ascii="Cambria Math" w:hAnsi="Cambria Math"/>
                      <w:i/>
                    </w:rPr>
                  </m:ctrlPr>
                </m:sSupPr>
                <m:e>
                  <m:r>
                    <w:rPr>
                      <w:rFonts w:ascii="Cambria Math" w:hAnsi="Cambria Math"/>
                    </w:rPr>
                    <m:t>]</m:t>
                  </m:r>
                </m:e>
                <m:sup>
                  <m:r>
                    <w:rPr>
                      <w:rFonts w:ascii="Cambria Math" w:hAnsi="Cambria Math"/>
                    </w:rPr>
                    <m:t>-1</m:t>
                  </m:r>
                </m:sup>
              </m:sSup>
              <m:d>
                <m:dPr>
                  <m:ctrlPr>
                    <w:rPr>
                      <w:rFonts w:ascii="Cambria Math" w:hAnsi="Cambria Math"/>
                      <w:b/>
                      <w:i/>
                      <w:color w:val="FF0000"/>
                    </w:rPr>
                  </m:ctrlPr>
                </m:dPr>
                <m:e>
                  <m:r>
                    <m:rPr>
                      <m:sty m:val="bi"/>
                    </m:rPr>
                    <w:rPr>
                      <w:rFonts w:ascii="Cambria Math" w:hAnsi="Cambria Math"/>
                      <w:color w:val="FF0000"/>
                    </w:rPr>
                    <m:t>DN</m:t>
                  </m:r>
                </m:e>
              </m:d>
            </m:oMath>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4FF3363C"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m:rPr>
            <m:sty m:val="p"/>
          </m:rPr>
          <w:rPr>
            <w:rFonts w:ascii="Cambria Math" w:hAnsi="Cambria Math"/>
            <w:color w:val="FF0000"/>
          </w:rPr>
          <m:t>DN</m:t>
        </m:r>
      </m:oMath>
      <w:r w:rsidR="001E26EB" w:rsidRPr="005E1CDC">
        <w:rPr>
          <w:color w:val="FF0000"/>
        </w:rPr>
        <w:t xml:space="preserve"> </w:t>
      </w:r>
      <w:r w:rsidR="001E26EB">
        <w:t xml:space="preserve">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62445831"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color w:val="FF0000"/>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2E3E308C"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w:rPr>
            <w:rFonts w:ascii="Cambria Math" w:hAnsi="Cambria Math"/>
            <w:color w:val="FF0000"/>
          </w:rPr>
          <m:t>θ</m:t>
        </m:r>
        <m:r>
          <m:rPr>
            <m:sty m:val="p"/>
          </m:rPr>
          <w:rPr>
            <w:rFonts w:ascii="Cambria Math" w:hAnsi="Cambria Math"/>
          </w:rPr>
          <m:t>,</m:t>
        </m:r>
        <m:r>
          <w:rPr>
            <w:rFonts w:ascii="Cambria Math" w:hAnsi="Cambria Math"/>
            <w:color w:val="FF0000"/>
          </w:rPr>
          <m:t>ϑ</m:t>
        </m:r>
        <m:r>
          <m:rPr>
            <m:sty m:val="p"/>
          </m:rPr>
          <w:rPr>
            <w:rFonts w:ascii="Cambria Math" w:hAnsi="Cambria Math"/>
          </w:rPr>
          <m:t>,</m:t>
        </m:r>
        <m:r>
          <w:rPr>
            <w:rFonts w:ascii="Cambria Math" w:hAnsi="Cambria Math"/>
            <w:color w:val="FF0000"/>
          </w:rPr>
          <m:t>ϕ</m:t>
        </m:r>
        <m:r>
          <w:rPr>
            <w:rFonts w:ascii="Cambria Math" w:hAnsi="Cambria Math"/>
          </w:rPr>
          <m:t>)</m:t>
        </m:r>
      </m:oMath>
      <w:r>
        <w:t xml:space="preserve"> is the viewing geometry, </w:t>
      </w:r>
      <m:oMath>
        <m:r>
          <w:rPr>
            <w:rFonts w:ascii="Cambria Math" w:hAnsi="Cambria Math"/>
            <w:color w:val="FF0000"/>
          </w:rPr>
          <m:t>θ</m:t>
        </m:r>
      </m:oMath>
      <w:r>
        <w:t xml:space="preserve"> is the solar zenith angle, </w:t>
      </w:r>
      <m:oMath>
        <m:r>
          <w:rPr>
            <w:rFonts w:ascii="Cambria Math" w:hAnsi="Cambria Math"/>
            <w:color w:val="FF0000"/>
          </w:rPr>
          <m:t>ϑ</m:t>
        </m:r>
      </m:oMath>
      <w:r>
        <w:t xml:space="preserve"> is the view zenith angle and </w:t>
      </w:r>
      <m:oMath>
        <m:r>
          <w:rPr>
            <w:rFonts w:ascii="Cambria Math" w:hAnsi="Cambria Math"/>
            <w:color w:val="FF0000"/>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2143E2"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56678E94" w:rsidR="00704D02" w:rsidRPr="005D645A" w:rsidRDefault="002143E2"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r>
                  <w:rPr>
                    <w:rFonts w:ascii="Cambria Math" w:hAnsi="Cambria Math"/>
                  </w:rPr>
                  <m:t>=F</m:t>
                </m:r>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399AEE0E"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m:t>
                        </m:r>
                        <m:r>
                          <m:rPr>
                            <m:sty m:val="p"/>
                          </m:rPr>
                          <w:rPr>
                            <w:rFonts w:ascii="Cambria Math" w:hAnsi="Cambria Math"/>
                            <w:color w:val="FF0000"/>
                          </w:rPr>
                          <m:t>d</m:t>
                        </m:r>
                        <m:r>
                          <w:rPr>
                            <w:rFonts w:ascii="Cambria Math" w:hAnsi="Cambria Math"/>
                          </w:rPr>
                          <m:t>λ</m:t>
                        </m:r>
                      </m:e>
                    </m:nary>
                  </m:num>
                  <m:den>
                    <m:nary>
                      <m:naryPr>
                        <m:limLoc m:val="undOvr"/>
                        <m:subHide m:val="1"/>
                        <m:supHide m:val="1"/>
                        <m:ctrlPr>
                          <w:rPr>
                            <w:rFonts w:ascii="Cambria Math" w:hAnsi="Cambria Math"/>
                            <w:i/>
                          </w:rPr>
                        </m:ctrlPr>
                      </m:naryPr>
                      <m:sub/>
                      <m:sup/>
                      <m:e>
                        <m:r>
                          <w:rPr>
                            <w:rFonts w:ascii="Cambria Math" w:hAnsi="Cambria Math"/>
                          </w:rPr>
                          <m:t>R(λ)</m:t>
                        </m:r>
                        <m:r>
                          <m:rPr>
                            <m:sty m:val="p"/>
                          </m:rPr>
                          <w:rPr>
                            <w:rFonts w:ascii="Cambria Math" w:hAnsi="Cambria Math"/>
                            <w:color w:val="FF0000"/>
                          </w:rPr>
                          <m:t>d</m:t>
                        </m:r>
                        <m:r>
                          <w:rPr>
                            <w:rFonts w:ascii="Cambria Math" w:hAnsi="Cambria Math"/>
                          </w:rPr>
                          <m:t>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5270074D"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w:t>
      </w:r>
      <w:r w:rsidRPr="00B7730F">
        <w:rPr>
          <w:strike/>
          <w:color w:val="FF0000"/>
        </w:rPr>
        <w:t>/</w:t>
      </w:r>
      <w:r w:rsidR="00B7730F" w:rsidRPr="00B7730F">
        <w:rPr>
          <w:color w:val="FF0000"/>
        </w:rPr>
        <w:t xml:space="preserve"> </w:t>
      </w:r>
      <w:r>
        <w:t>pixel</w:t>
      </w:r>
      <w:r w:rsidR="00B7730F" w:rsidRPr="00B7730F">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bookmarkStart w:id="27" w:name="_Toc524962812"/>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bookmarkEnd w:id="27"/>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bookmarkStart w:id="29" w:name="_Toc524962813"/>
      <w:r>
        <w:t>[</w:t>
      </w:r>
      <w:bookmarkStart w:id="30"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30"/>
      <w:r w:rsidR="00704D02">
        <w:t xml:space="preserve">. DMC’s and MODIS’s </w:t>
      </w:r>
      <w:r w:rsidR="00704D02" w:rsidRPr="00881746">
        <w:t>RSR</w:t>
      </w:r>
      <w:r w:rsidR="00704D02">
        <w:t>]</w:t>
      </w:r>
      <w:bookmarkEnd w:id="29"/>
    </w:p>
    <w:p w14:paraId="34612CB1" w14:textId="77777777" w:rsidR="00704D02" w:rsidRDefault="00704D02" w:rsidP="00704D02">
      <w:pPr>
        <w:pStyle w:val="Newparagraph"/>
      </w:pPr>
    </w:p>
    <w:p w14:paraId="0EFC4B95" w14:textId="3F7FD32D"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Pr>
          <w:lang w:val="en-US"/>
        </w:rPr>
        <w:t xml:space="preserve"> </w:t>
      </w:r>
      <w:r w:rsidR="005627B6" w:rsidRPr="005627B6">
        <w:rPr>
          <w:color w:val="FF0000"/>
          <w:lang w:val="en-US"/>
        </w:rPr>
        <w:t>°</w:t>
      </w:r>
      <w:r>
        <w:t>, at a height of 5000 m above ground.  The DMC has a</w:t>
      </w:r>
      <w:r w:rsidRPr="00D84A64">
        <w:t xml:space="preserve"> 69.3</w:t>
      </w:r>
      <w:r w:rsidR="00D66406">
        <w:t xml:space="preserve"> </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t xml:space="preserve"> </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t xml:space="preserve"> </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1" w:name="_Ref486590748"/>
      <w:r>
        <w:t>Linearity of Band Averaged Values</w:t>
      </w:r>
      <w:bookmarkEnd w:id="31"/>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2" w:name="_Ref452296021"/>
      <w:r>
        <w:t>Accuracy Assessment</w:t>
      </w:r>
      <w:bookmarkEnd w:id="32"/>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3"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3"/>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bookmarkStart w:id="34" w:name="_Toc524962814"/>
      <w:r>
        <w:t>[</w:t>
      </w:r>
      <w:bookmarkStart w:id="35" w:name="_Ref447467040"/>
      <w:bookmarkStart w:id="36"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5"/>
      <w:r w:rsidR="00704D02">
        <w:t>. SPOT 5 scene and mosaic extents</w:t>
      </w:r>
      <w:bookmarkEnd w:id="36"/>
      <w:r w:rsidR="00704D02">
        <w:t>]</w:t>
      </w:r>
      <w:bookmarkEnd w:id="34"/>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7" w:name="_Ref452458445"/>
      <w:bookmarkStart w:id="38" w:name="_Toc394607645"/>
      <w:r>
        <w:t>Results and Discussion</w:t>
      </w:r>
      <w:bookmarkEnd w:id="37"/>
    </w:p>
    <w:p w14:paraId="19C05BFE" w14:textId="77777777" w:rsidR="00704D02" w:rsidRDefault="00704D02" w:rsidP="00704D02">
      <w:pPr>
        <w:pStyle w:val="Heading2"/>
      </w:pPr>
      <w:bookmarkStart w:id="39" w:name="_Ref447456652"/>
      <w:bookmarkStart w:id="40" w:name="_Toc448324295"/>
      <w:r>
        <w:t>Band Averaged Relationships</w:t>
      </w:r>
      <w:bookmarkEnd w:id="39"/>
      <w:bookmarkEnd w:id="40"/>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w:t>
      </w:r>
      <w:r w:rsidRPr="00E61818">
        <w:rPr>
          <w:noProof/>
        </w:rPr>
        <w:lastRenderedPageBreak/>
        <w:t xml:space="preserve">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572C93BD" w:rsidR="00704D02" w:rsidRDefault="00582F14" w:rsidP="00582F14">
      <w:pPr>
        <w:pStyle w:val="ThesisBody"/>
      </w:pPr>
      <w:bookmarkStart w:id="41" w:name="_Toc524962815"/>
      <w:r>
        <w:t>[</w:t>
      </w:r>
      <w:bookmarkStart w:id="42" w:name="_Ref447457220"/>
      <w:bookmarkStart w:id="43" w:name="_Ref452304545"/>
      <w:bookmarkStart w:id="44" w:name="_Ref447457216"/>
      <w:bookmarkStart w:id="45"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42"/>
      <w:bookmarkEnd w:id="43"/>
      <w:r w:rsidR="00704D02">
        <w:t xml:space="preserve">. DMC </w:t>
      </w:r>
      <w:r w:rsidR="00704D02" w:rsidRPr="0014263E">
        <w:rPr>
          <w:color w:val="FF0000"/>
        </w:rPr>
        <w:t>v</w:t>
      </w:r>
      <w:r w:rsidR="0014263E" w:rsidRPr="0014263E">
        <w:rPr>
          <w:color w:val="FF0000"/>
        </w:rPr>
        <w:t>ersus</w:t>
      </w:r>
      <w:r w:rsidR="00704D02" w:rsidRPr="0014263E">
        <w:rPr>
          <w:color w:val="FF0000"/>
        </w:rPr>
        <w:t xml:space="preserve"> </w:t>
      </w:r>
      <w:r w:rsidR="00704D02">
        <w:t xml:space="preserve">MODIS simulated band averaged relationship for typical surface </w:t>
      </w:r>
      <w:proofErr w:type="spellStart"/>
      <w:r w:rsidR="00704D02">
        <w:t>reflectances</w:t>
      </w:r>
      <w:bookmarkEnd w:id="44"/>
      <w:bookmarkEnd w:id="45"/>
      <w:proofErr w:type="spellEnd"/>
      <w:r w:rsidR="0014263E" w:rsidRPr="0014263E">
        <w:rPr>
          <w:color w:val="FF0000"/>
        </w:rPr>
        <w:t xml:space="preserve"> </w:t>
      </w:r>
      <w:r w:rsidR="00B920EA">
        <w:rPr>
          <w:color w:val="FF0000"/>
        </w:rPr>
        <w:t>(</w:t>
      </w:r>
      <w:r w:rsidR="0001055D">
        <w:rPr>
          <w:color w:val="FF0000"/>
        </w:rPr>
        <w:t xml:space="preserve">(a) </w:t>
      </w:r>
      <w:r w:rsidR="00901128">
        <w:rPr>
          <w:color w:val="FF0000"/>
        </w:rPr>
        <w:t xml:space="preserve">NIR, </w:t>
      </w:r>
      <w:r w:rsidR="0001055D">
        <w:rPr>
          <w:color w:val="FF0000"/>
        </w:rPr>
        <w:t xml:space="preserve">(b) </w:t>
      </w:r>
      <w:r w:rsidR="00901128">
        <w:rPr>
          <w:color w:val="FF0000"/>
        </w:rPr>
        <w:t xml:space="preserve">red, </w:t>
      </w:r>
      <w:r w:rsidR="0001055D">
        <w:rPr>
          <w:color w:val="FF0000"/>
        </w:rPr>
        <w:t xml:space="preserve">(c) </w:t>
      </w:r>
      <w:r w:rsidR="00901128">
        <w:rPr>
          <w:color w:val="FF0000"/>
        </w:rPr>
        <w:t xml:space="preserve">green and </w:t>
      </w:r>
      <w:r w:rsidR="0001055D">
        <w:rPr>
          <w:color w:val="FF0000"/>
        </w:rPr>
        <w:t xml:space="preserve">(d) </w:t>
      </w:r>
      <w:r w:rsidR="00901128">
        <w:rPr>
          <w:color w:val="FF0000"/>
        </w:rPr>
        <w:t>blue bands</w:t>
      </w:r>
      <w:r w:rsidR="00B920EA">
        <w:rPr>
          <w:color w:val="FF0000"/>
        </w:rPr>
        <w:t>)</w:t>
      </w:r>
      <w:r w:rsidR="00704D02">
        <w:t>]</w:t>
      </w:r>
      <w:bookmarkEnd w:id="41"/>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6" w:name="_Toc448324296"/>
      <w:bookmarkStart w:id="47" w:name="_Ref512949718"/>
      <w:r>
        <w:t>Mosaicking</w:t>
      </w:r>
      <w:bookmarkEnd w:id="38"/>
      <w:bookmarkEnd w:id="46"/>
      <w:bookmarkEnd w:id="4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bookmarkStart w:id="48" w:name="_Toc524962816"/>
      <w:r>
        <w:t>[</w:t>
      </w:r>
      <w:bookmarkStart w:id="49" w:name="_Ref389939317"/>
      <w:bookmarkStart w:id="50" w:name="_Ref452304551"/>
      <w:bookmarkStart w:id="51" w:name="_Toc391220527"/>
      <w:bookmarkStart w:id="52" w:name="_Toc394582250"/>
      <w:bookmarkStart w:id="53"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9"/>
      <w:bookmarkEnd w:id="50"/>
      <w:r w:rsidR="00704D02">
        <w:t>.  Uncalibrated mosaic on MODIS reference image background</w:t>
      </w:r>
      <w:bookmarkEnd w:id="51"/>
      <w:bookmarkEnd w:id="52"/>
      <w:bookmarkEnd w:id="53"/>
      <w:r w:rsidR="00704D02">
        <w:t>]</w:t>
      </w:r>
      <w:bookmarkEnd w:id="48"/>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bookmarkStart w:id="54" w:name="_Toc524962817"/>
      <w:r>
        <w:t>[</w:t>
      </w:r>
      <w:bookmarkStart w:id="55" w:name="_Ref452304657"/>
      <w:bookmarkStart w:id="56"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5"/>
      <w:r w:rsidR="00704D02">
        <w:t>.  Homogenised mosaic on MODIS reference image background</w:t>
      </w:r>
      <w:bookmarkEnd w:id="56"/>
      <w:r w:rsidR="00704D02">
        <w:t>]</w:t>
      </w:r>
      <w:bookmarkEnd w:id="54"/>
    </w:p>
    <w:p w14:paraId="14571A5F" w14:textId="77777777" w:rsidR="00704D02" w:rsidRDefault="00704D02" w:rsidP="00704D02">
      <w:pPr>
        <w:pStyle w:val="1TeksCharChar"/>
      </w:pPr>
    </w:p>
    <w:p w14:paraId="6C9B76AA" w14:textId="2CC377DC"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a</w:t>
      </w:r>
      <w:r w:rsidR="004B0875" w:rsidRPr="004B0875">
        <w:rPr>
          <w:color w:val="FF0000"/>
        </w:rPr>
        <w:t>)</w:t>
      </w:r>
      <w:r>
        <w:t xml:space="preserve">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b</w:t>
      </w:r>
      <w:r w:rsidR="004B0875" w:rsidRPr="004B0875">
        <w:rPr>
          <w:color w:val="FF0000"/>
        </w:rPr>
        <w:t>)</w:t>
      </w:r>
      <w:r>
        <w:t xml:space="preserve">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bookmarkStart w:id="57" w:name="_Toc524962818"/>
      <w:r w:rsidRPr="009C13D9">
        <w:rPr>
          <w:color w:val="FF0000"/>
        </w:rPr>
        <w:t>[</w:t>
      </w:r>
      <w:bookmarkStart w:id="58" w:name="_Ref447547463"/>
      <w:bookmarkStart w:id="59" w:name="_Toc448324356"/>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7</w:t>
      </w:r>
      <w:r w:rsidR="00704D02" w:rsidRPr="009C13D9">
        <w:rPr>
          <w:color w:val="FF0000"/>
        </w:rPr>
        <w:fldChar w:fldCharType="end"/>
      </w:r>
      <w:bookmarkEnd w:id="58"/>
      <w:r w:rsidR="00704D02" w:rsidRPr="009C13D9">
        <w:rPr>
          <w:color w:val="FF0000"/>
        </w:rPr>
        <w:t>. Reduction of hot spot and seam lines, with (a) showing raw DN images including hot spot and seam lines and (b) the corrected surface reflectance image</w:t>
      </w:r>
      <w:bookmarkEnd w:id="59"/>
      <w:r w:rsidR="00704D02" w:rsidRPr="009C13D9">
        <w:rPr>
          <w:color w:val="FF0000"/>
        </w:rPr>
        <w:t>]</w:t>
      </w:r>
      <w:bookmarkEnd w:id="57"/>
    </w:p>
    <w:p w14:paraId="4AAF0352" w14:textId="77777777" w:rsidR="00704D02" w:rsidRPr="0030202D" w:rsidRDefault="00704D02" w:rsidP="00704D02"/>
    <w:p w14:paraId="371F3ED3" w14:textId="77777777" w:rsidR="00704D02" w:rsidRDefault="00704D02" w:rsidP="00704D02">
      <w:pPr>
        <w:pStyle w:val="Heading2"/>
      </w:pPr>
      <w:bookmarkStart w:id="60" w:name="_Toc448324297"/>
      <w:bookmarkStart w:id="61" w:name="_Toc394607646"/>
      <w:r>
        <w:t>MODIS Statistical Comparison</w:t>
      </w:r>
      <w:bookmarkEnd w:id="60"/>
    </w:p>
    <w:p w14:paraId="44B9FCEB" w14:textId="51533295"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00DF3D30" w:rsidRPr="00DF3D30">
        <w:rPr>
          <w:color w:val="FF0000"/>
        </w:rPr>
        <w:t>coefficient of determination (</w:t>
      </w:r>
      <w:r w:rsidRPr="00CA2802">
        <w:rPr>
          <w:i/>
          <w:iCs/>
        </w:rPr>
        <w:t>R</w:t>
      </w:r>
      <w:r w:rsidRPr="00CA2802">
        <w:rPr>
          <w:i/>
          <w:iCs/>
          <w:vertAlign w:val="superscript"/>
        </w:rPr>
        <w:t>2</w:t>
      </w:r>
      <w:r w:rsidR="00DF3D30" w:rsidRPr="00DF3D30">
        <w:rPr>
          <w:color w:val="FF0000"/>
        </w:rPr>
        <w:t xml:space="preserve">) </w:t>
      </w:r>
      <w:proofErr w:type="spellStart"/>
      <w:r w:rsidRPr="00DF3D30">
        <w:rPr>
          <w:strike/>
          <w:color w:val="FF0000"/>
        </w:rPr>
        <w:t>coefficients</w:t>
      </w:r>
      <w:r w:rsidR="00DF3D30" w:rsidRPr="00DF3D30">
        <w:rPr>
          <w:color w:val="FF0000"/>
        </w:rPr>
        <w:t>values</w:t>
      </w:r>
      <w:proofErr w:type="spellEnd"/>
      <w:r w:rsidRPr="00DF3D30">
        <w:rPr>
          <w:color w:val="FF0000"/>
        </w:rPr>
        <w:t xml:space="preserve"> </w:t>
      </w:r>
      <w:r>
        <w:t xml:space="preserve">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rsidRPr="0008319A">
        <w:rPr>
          <w:color w:val="FF0000"/>
        </w:rPr>
        <w:fldChar w:fldCharType="begin"/>
      </w:r>
      <w:r w:rsidRPr="0008319A">
        <w:rPr>
          <w:color w:val="FF0000"/>
        </w:rPr>
        <w:instrText xml:space="preserve"> REF _Ref447548615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8</w:t>
      </w:r>
      <w:r w:rsidRPr="0008319A">
        <w:rPr>
          <w:color w:val="FF0000"/>
        </w:rPr>
        <w:fldChar w:fldCharType="end"/>
      </w:r>
      <w:r w:rsidR="0008319A">
        <w:rPr>
          <w:color w:val="FF0000"/>
        </w:rPr>
        <w:t xml:space="preserve"> </w:t>
      </w:r>
      <w:r w:rsidRPr="0008319A">
        <w:rPr>
          <w:color w:val="FF0000"/>
        </w:rPr>
        <w:fldChar w:fldCharType="begin"/>
      </w:r>
      <w:r w:rsidRPr="0008319A">
        <w:rPr>
          <w:color w:val="FF0000"/>
        </w:rPr>
        <w:instrText xml:space="preserve"> REF _Ref447546798 \h  \* MERGEFORMAT </w:instrText>
      </w:r>
      <w:r w:rsidRPr="0008319A">
        <w:rPr>
          <w:color w:val="FF0000"/>
        </w:rPr>
      </w:r>
      <w:r w:rsidRPr="0008319A">
        <w:rPr>
          <w:color w:val="FF0000"/>
        </w:rPr>
        <w:fldChar w:fldCharType="separate"/>
      </w:r>
      <w:r w:rsidR="007F3F46" w:rsidRPr="007F3F46">
        <w:rPr>
          <w:color w:val="FF0000"/>
          <w:lang w:val="en-US"/>
        </w:rPr>
        <w:t>–</w:t>
      </w:r>
      <w:r w:rsidR="0008319A">
        <w:rPr>
          <w:color w:val="FF0000"/>
        </w:rPr>
        <w:t xml:space="preserve"> </w:t>
      </w:r>
      <w:r w:rsidR="00A823EB" w:rsidRPr="0008319A">
        <w:rPr>
          <w:noProof/>
          <w:color w:val="FF0000"/>
        </w:rPr>
        <w:t>9</w:t>
      </w:r>
      <w:r w:rsidRPr="0008319A">
        <w:rPr>
          <w:color w:val="FF0000"/>
        </w:rP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w:t>
      </w:r>
      <w:r>
        <w:lastRenderedPageBreak/>
        <w:t xml:space="preserve">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3FD1CCBA" w:rsidR="00704D02" w:rsidRDefault="00214903" w:rsidP="00214903">
      <w:pPr>
        <w:pStyle w:val="ThesisBody"/>
        <w:keepNext/>
      </w:pPr>
      <w:bookmarkStart w:id="62" w:name="_Toc524962819"/>
      <w:r>
        <w:t>[</w:t>
      </w:r>
      <w:bookmarkStart w:id="63" w:name="_Ref447548615"/>
      <w:bookmarkStart w:id="64"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63"/>
      <w:r w:rsidR="00704D02">
        <w:t>.  DMC DN values and MODIS surface reflectance correlation</w:t>
      </w:r>
      <w:bookmarkEnd w:id="64"/>
      <w:r w:rsidR="00B920EA" w:rsidRPr="00B920EA">
        <w:rPr>
          <w:color w:val="FF0000"/>
        </w:rPr>
        <w:t xml:space="preserve"> for the (a) NIR, (b) red, (c) green and (d) blue bands</w:t>
      </w:r>
      <w:r w:rsidR="00704D02">
        <w:t>]</w:t>
      </w:r>
      <w:bookmarkEnd w:id="62"/>
    </w:p>
    <w:p w14:paraId="61390FCD" w14:textId="77777777" w:rsidR="00704D02" w:rsidRDefault="00704D02" w:rsidP="00214903">
      <w:pPr>
        <w:pStyle w:val="Newparagraph"/>
        <w:ind w:firstLine="0"/>
      </w:pPr>
    </w:p>
    <w:p w14:paraId="65201AD0" w14:textId="3784FFAF" w:rsidR="00704D02" w:rsidRDefault="00214903" w:rsidP="00214903">
      <w:pPr>
        <w:pStyle w:val="Newparagraph"/>
        <w:ind w:firstLine="0"/>
      </w:pPr>
      <w:bookmarkStart w:id="65" w:name="_Toc524962820"/>
      <w:r>
        <w:t>[</w:t>
      </w:r>
      <w:bookmarkStart w:id="66" w:name="_Ref447546798"/>
      <w:bookmarkStart w:id="67" w:name="_Ref452304734"/>
      <w:bookmarkStart w:id="68"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66"/>
      <w:bookmarkEnd w:id="67"/>
      <w:r w:rsidR="00704D02">
        <w:t>.  DMC homogenised mosaic and MODIS surface reflectance correlation</w:t>
      </w:r>
      <w:bookmarkEnd w:id="68"/>
      <w:r w:rsidR="00B920EA" w:rsidRPr="00B920EA">
        <w:t xml:space="preserve"> </w:t>
      </w:r>
      <w:r w:rsidR="00B920EA">
        <w:rPr>
          <w:color w:val="FF0000"/>
        </w:rPr>
        <w:t>f</w:t>
      </w:r>
      <w:r w:rsidR="00B920EA" w:rsidRPr="00B920EA">
        <w:rPr>
          <w:color w:val="FF0000"/>
        </w:rPr>
        <w:t>or the (a) NIR, (b) red, (c) green and (d) blue bands</w:t>
      </w:r>
      <w:r w:rsidR="00704D02">
        <w:t>]</w:t>
      </w:r>
      <w:bookmarkEnd w:id="65"/>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bookmarkStart w:id="69" w:name="_Toc524600561"/>
      <w:r>
        <w:t>[</w:t>
      </w:r>
      <w:bookmarkStart w:id="70" w:name="_Ref447552510"/>
      <w:bookmarkStart w:id="71" w:name="_Ref447552506"/>
      <w:bookmarkStart w:id="72"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70"/>
      <w:r w:rsidR="00704D02">
        <w:t>.  Statistical comparison between MODIS and DMC surface reflectance images</w:t>
      </w:r>
      <w:bookmarkEnd w:id="71"/>
      <w:bookmarkEnd w:id="72"/>
      <w:r w:rsidR="00704D02">
        <w:t>]</w:t>
      </w:r>
      <w:bookmarkEnd w:id="69"/>
    </w:p>
    <w:p w14:paraId="2771C05C" w14:textId="77777777" w:rsidR="00704D02" w:rsidRDefault="00704D02" w:rsidP="00704D02">
      <w:pPr>
        <w:pStyle w:val="Newparagraph"/>
      </w:pPr>
    </w:p>
    <w:p w14:paraId="51ED47E9" w14:textId="77777777" w:rsidR="00704D02" w:rsidRDefault="00704D02" w:rsidP="00704D02">
      <w:pPr>
        <w:pStyle w:val="Heading2"/>
      </w:pPr>
      <w:bookmarkStart w:id="73" w:name="_Toc448324298"/>
      <w:bookmarkStart w:id="74" w:name="_Ref513023287"/>
      <w:bookmarkStart w:id="75" w:name="_Ref513816074"/>
      <w:r>
        <w:t>SPOT 5 Statistical Comparison</w:t>
      </w:r>
      <w:bookmarkEnd w:id="61"/>
      <w:bookmarkEnd w:id="73"/>
      <w:bookmarkEnd w:id="74"/>
      <w:bookmarkEnd w:id="75"/>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20D64797"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w:t>
      </w:r>
      <w:r>
        <w:lastRenderedPageBreak/>
        <w:t xml:space="preserve">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A53561" w:rsidRPr="00A53561">
        <w:rPr>
          <w:strike/>
          <w:color w:val="FF0000"/>
        </w:rPr>
        <w:t>4</w:t>
      </w:r>
      <w:r w:rsidR="00A53561" w:rsidRPr="00A53561">
        <w:rPr>
          <w:strike/>
          <w:color w:val="FF0000"/>
        </w:rPr>
        <w:softHyphen/>
        <w:t xml:space="preserve">–10% </w:t>
      </w:r>
      <w:r w:rsidR="00D065AA">
        <w:rPr>
          <w:color w:val="FF0000"/>
        </w:rPr>
        <w:t>1.37</w:t>
      </w:r>
      <w:r w:rsidR="00C46348" w:rsidRPr="00430779">
        <w:rPr>
          <w:color w:val="FF0000"/>
        </w:rPr>
        <w:t>%</w:t>
      </w:r>
      <w:r w:rsidR="003359B2" w:rsidRPr="003359B2">
        <w:rPr>
          <w:color w:val="FF0000"/>
        </w:rPr>
        <w:t>–</w:t>
      </w:r>
      <w:r w:rsidR="00D065AA">
        <w:rPr>
          <w:color w:val="FF0000"/>
        </w:rPr>
        <w:t>12.30</w:t>
      </w:r>
      <w:r w:rsidR="00C46348" w:rsidRPr="00430779">
        <w:rPr>
          <w:color w:val="FF0000"/>
        </w:rPr>
        <w:t>%</w:t>
      </w:r>
      <w:r>
        <w:t xml:space="preserve"> measured on placed targets of known reflectance for their aerial mosaic correction techn</w:t>
      </w:r>
      <w:bookmarkStart w:id="76" w:name="_GoBack"/>
      <w:bookmarkEnd w:id="76"/>
      <w:r>
        <w:t xml:space="preserve">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w:t>
      </w:r>
      <w:r w:rsidR="00D065AA" w:rsidRPr="00D065AA">
        <w:rPr>
          <w:color w:val="FF0000"/>
        </w:rPr>
        <w:t xml:space="preserve">approximately </w:t>
      </w:r>
      <w:r>
        <w:t>3</w:t>
      </w:r>
      <w:r w:rsidR="0059493E">
        <w:rPr>
          <w:color w:val="FF0000"/>
        </w:rPr>
        <w:t>.3</w:t>
      </w:r>
      <w:r w:rsidR="00D065AA" w:rsidRPr="00D065AA">
        <w:rPr>
          <w:color w:val="FF0000"/>
        </w:rPr>
        <w:t>0</w:t>
      </w:r>
      <w:r w:rsidR="00A56F69" w:rsidRPr="00A56F69">
        <w:rPr>
          <w:color w:val="FF0000"/>
        </w:rPr>
        <w:t>%</w:t>
      </w:r>
      <w:r>
        <w:t>–5</w:t>
      </w:r>
      <w:r w:rsidR="00D065AA" w:rsidRPr="00D065AA">
        <w:rPr>
          <w:color w:val="FF0000"/>
        </w:rPr>
        <w:t>.00</w:t>
      </w:r>
      <w:r>
        <w:t xml:space="preserve">%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rsidRPr="0008319A">
        <w:rPr>
          <w:color w:val="FF0000"/>
        </w:rPr>
        <w:fldChar w:fldCharType="begin"/>
      </w:r>
      <w:r w:rsidRPr="0008319A">
        <w:rPr>
          <w:color w:val="FF0000"/>
        </w:rPr>
        <w:instrText xml:space="preserve"> REF _Ref452304563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2</w:t>
      </w:r>
      <w:r w:rsidRPr="0008319A">
        <w:rPr>
          <w:color w:val="FF0000"/>
        </w:rPr>
        <w:fldChar w:fldCharType="end"/>
      </w:r>
      <w:r w:rsidRPr="0008319A">
        <w:rPr>
          <w:color w:val="FF0000"/>
        </w:rPr>
        <w:t xml:space="preserve"> and </w:t>
      </w:r>
      <w:r w:rsidRPr="0008319A">
        <w:rPr>
          <w:color w:val="FF0000"/>
        </w:rPr>
        <w:fldChar w:fldCharType="begin"/>
      </w:r>
      <w:r w:rsidRPr="0008319A">
        <w:rPr>
          <w:color w:val="FF0000"/>
        </w:rPr>
        <w:instrText xml:space="preserve"> REF _Ref447606984 \h  \* MERGEFORMAT </w:instrText>
      </w:r>
      <w:r w:rsidRPr="0008319A">
        <w:rPr>
          <w:color w:val="FF0000"/>
        </w:rPr>
      </w:r>
      <w:r w:rsidRPr="0008319A">
        <w:rPr>
          <w:color w:val="FF0000"/>
        </w:rPr>
        <w:fldChar w:fldCharType="separate"/>
      </w:r>
      <w:r w:rsidR="00A823EB" w:rsidRPr="0008319A">
        <w:rPr>
          <w:noProof/>
          <w:color w:val="FF0000"/>
        </w:rPr>
        <w:t>11</w:t>
      </w:r>
      <w:r w:rsidRPr="0008319A">
        <w:rPr>
          <w:color w:val="FF0000"/>
        </w:rPr>
        <w:fldChar w:fldCharType="end"/>
      </w:r>
      <w:r>
        <w:t xml:space="preserve">).  </w:t>
      </w:r>
    </w:p>
    <w:p w14:paraId="649F3BB6" w14:textId="77777777" w:rsidR="00704D02" w:rsidRDefault="00704D02" w:rsidP="00704D02">
      <w:pPr>
        <w:pStyle w:val="Newparagraph"/>
      </w:pPr>
    </w:p>
    <w:p w14:paraId="4BC2A92E" w14:textId="11DA065E"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rsidRPr="005D0C0E">
        <w:rPr>
          <w:color w:val="FF0000"/>
        </w:rPr>
        <w:fldChar w:fldCharType="begin"/>
      </w:r>
      <w:r w:rsidRPr="005D0C0E">
        <w:rPr>
          <w:color w:val="FF0000"/>
        </w:rPr>
        <w:instrText xml:space="preserve"> REF _Ref447612403 \h  \* MERGEFORMAT </w:instrText>
      </w:r>
      <w:r w:rsidRPr="005D0C0E">
        <w:rPr>
          <w:color w:val="FF0000"/>
        </w:rPr>
      </w:r>
      <w:r w:rsidRPr="005D0C0E">
        <w:rPr>
          <w:color w:val="FF0000"/>
        </w:rPr>
        <w:fldChar w:fldCharType="separate"/>
      </w:r>
      <w:r w:rsidR="00A823EB" w:rsidRPr="005D0C0E">
        <w:rPr>
          <w:color w:val="FF0000"/>
        </w:rPr>
        <w:t>Figure</w:t>
      </w:r>
      <w:r w:rsidR="005D0C0E" w:rsidRPr="005D0C0E">
        <w:rPr>
          <w:color w:val="FF0000"/>
        </w:rPr>
        <w:t>s</w:t>
      </w:r>
      <w:r w:rsidR="00A823EB" w:rsidRPr="005D0C0E">
        <w:rPr>
          <w:color w:val="FF0000"/>
        </w:rPr>
        <w:t xml:space="preserve"> </w:t>
      </w:r>
      <w:r w:rsidR="00A823EB" w:rsidRPr="005D0C0E">
        <w:rPr>
          <w:noProof/>
          <w:color w:val="FF0000"/>
        </w:rPr>
        <w:t>13</w:t>
      </w:r>
      <w:r w:rsidRPr="005D0C0E">
        <w:rPr>
          <w:color w:val="FF0000"/>
        </w:rPr>
        <w:fldChar w:fldCharType="end"/>
      </w:r>
      <w:r w:rsidRPr="005D0C0E">
        <w:rPr>
          <w:color w:val="FF0000"/>
        </w:rPr>
        <w:t xml:space="preserve"> and </w:t>
      </w:r>
      <w:r w:rsidRPr="005D0C0E">
        <w:rPr>
          <w:color w:val="FF0000"/>
        </w:rPr>
        <w:fldChar w:fldCharType="begin"/>
      </w:r>
      <w:r w:rsidRPr="005D0C0E">
        <w:rPr>
          <w:color w:val="FF0000"/>
        </w:rPr>
        <w:instrText xml:space="preserve"> REF _Ref475458708 \h  \* MERGEFORMAT </w:instrText>
      </w:r>
      <w:r w:rsidRPr="005D0C0E">
        <w:rPr>
          <w:color w:val="FF0000"/>
        </w:rPr>
      </w:r>
      <w:r w:rsidRPr="005D0C0E">
        <w:rPr>
          <w:color w:val="FF0000"/>
        </w:rPr>
        <w:fldChar w:fldCharType="separate"/>
      </w:r>
      <w:r w:rsidR="00A823EB" w:rsidRPr="005D0C0E">
        <w:rPr>
          <w:noProof/>
          <w:color w:val="FF0000"/>
        </w:rPr>
        <w:t>14</w:t>
      </w:r>
      <w:r w:rsidRPr="005D0C0E">
        <w:rPr>
          <w:color w:val="FF0000"/>
        </w:rP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5E62F080"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w:t>
      </w:r>
      <w:r>
        <w:lastRenderedPageBreak/>
        <w:t xml:space="preserve">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w:t>
      </w:r>
      <w:proofErr w:type="spellStart"/>
      <w:r w:rsidR="00306E26" w:rsidRPr="00306E26">
        <w:rPr>
          <w:strike/>
          <w:color w:val="FF0000"/>
        </w:rPr>
        <w:t>am</w:t>
      </w:r>
      <w:r w:rsidR="00306E26" w:rsidRPr="00306E26">
        <w:rPr>
          <w:color w:val="FF0000"/>
        </w:rPr>
        <w:t>AM</w:t>
      </w:r>
      <w:proofErr w:type="spellEnd"/>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p w14:paraId="0170C303" w14:textId="77777777" w:rsidR="00704D02" w:rsidRDefault="00602A7E" w:rsidP="00602A7E">
      <w:pPr>
        <w:pStyle w:val="1TeksCharChar"/>
      </w:pPr>
      <w:bookmarkStart w:id="77" w:name="_Toc524962821"/>
      <w:r w:rsidRPr="009C13D9">
        <w:rPr>
          <w:color w:val="FF0000"/>
        </w:rPr>
        <w:t>[</w:t>
      </w:r>
      <w:bookmarkStart w:id="78" w:name="_Ref391064113"/>
      <w:bookmarkStart w:id="79" w:name="_Toc448324359"/>
      <w:bookmarkStart w:id="80" w:name="_Toc391220531"/>
      <w:bookmarkStart w:id="81" w:name="_Toc394582254"/>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10</w:t>
      </w:r>
      <w:r w:rsidR="00704D02" w:rsidRPr="009C13D9">
        <w:rPr>
          <w:color w:val="FF0000"/>
        </w:rPr>
        <w:fldChar w:fldCharType="end"/>
      </w:r>
      <w:bookmarkEnd w:id="78"/>
      <w:r w:rsidR="00704D02" w:rsidRPr="009C13D9">
        <w:rPr>
          <w:color w:val="FF0000"/>
        </w:rPr>
        <w:t>.  DMC and SPOT 5 surface reflectance comparison with (a) DMC homogenised mosaic masked to SPOT 5 extent; (b) SPOT 5 surface reflectance image; and (c) contrast stretched absolute difference image</w:t>
      </w:r>
      <w:bookmarkEnd w:id="79"/>
      <w:bookmarkEnd w:id="80"/>
      <w:bookmarkEnd w:id="81"/>
      <w:r w:rsidR="00704D02" w:rsidRPr="009C13D9">
        <w:rPr>
          <w:color w:val="FF0000"/>
        </w:rPr>
        <w:t>]</w:t>
      </w:r>
      <w:bookmarkEnd w:id="77"/>
    </w:p>
    <w:p w14:paraId="5DF5F938" w14:textId="77777777" w:rsidR="00704D02" w:rsidRDefault="00704D02" w:rsidP="00704D02"/>
    <w:p w14:paraId="4066BCDA" w14:textId="77777777" w:rsidR="00704D02" w:rsidRDefault="00602A7E" w:rsidP="00602A7E">
      <w:bookmarkStart w:id="82" w:name="_Toc524962822"/>
      <w:r>
        <w:t>[</w:t>
      </w:r>
      <w:bookmarkStart w:id="83" w:name="_Ref447606984"/>
      <w:bookmarkStart w:id="84" w:name="_Ref452304797"/>
      <w:bookmarkStart w:id="85" w:name="_Ref447557093"/>
      <w:bookmarkStart w:id="86"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83"/>
      <w:bookmarkEnd w:id="84"/>
      <w:r w:rsidR="00704D02">
        <w:t xml:space="preserve">.  DMC and SPOT 5 </w:t>
      </w:r>
      <w:bookmarkEnd w:id="85"/>
      <w:r w:rsidR="00704D02">
        <w:t>RSRs</w:t>
      </w:r>
      <w:bookmarkEnd w:id="86"/>
      <w:r w:rsidR="00704D02">
        <w:t>]</w:t>
      </w:r>
      <w:bookmarkEnd w:id="82"/>
    </w:p>
    <w:p w14:paraId="4067BE87" w14:textId="77777777" w:rsidR="00704D02" w:rsidRDefault="00704D02" w:rsidP="00602A7E">
      <w:pPr>
        <w:pStyle w:val="Newparagraph"/>
        <w:ind w:firstLine="0"/>
      </w:pPr>
    </w:p>
    <w:p w14:paraId="670517E2" w14:textId="65DB63B9" w:rsidR="00704D02" w:rsidRDefault="00602A7E" w:rsidP="00602A7E">
      <w:pPr>
        <w:pStyle w:val="Newparagraph"/>
        <w:ind w:firstLine="0"/>
      </w:pPr>
      <w:bookmarkStart w:id="87" w:name="_Toc524962823"/>
      <w:r>
        <w:t>[</w:t>
      </w:r>
      <w:bookmarkStart w:id="88" w:name="_Ref447612399"/>
      <w:bookmarkStart w:id="89"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88"/>
      <w:r w:rsidR="00704D02">
        <w:t>.  DMC DN mosaic and SPOT 5 surface reflectance correlation</w:t>
      </w:r>
      <w:bookmarkEnd w:id="89"/>
      <w:r w:rsidR="00681EC7" w:rsidRPr="00681EC7">
        <w:rPr>
          <w:color w:val="FF0000"/>
        </w:rPr>
        <w:t xml:space="preserve"> for the (a) NIR, (b) red and (c) green bands</w:t>
      </w:r>
      <w:r w:rsidR="00704D02">
        <w:t>]</w:t>
      </w:r>
      <w:bookmarkEnd w:id="87"/>
    </w:p>
    <w:p w14:paraId="497226F2" w14:textId="77777777" w:rsidR="00704D02" w:rsidRDefault="00704D02" w:rsidP="00602A7E">
      <w:pPr>
        <w:pStyle w:val="Newparagraph"/>
        <w:ind w:firstLine="0"/>
      </w:pPr>
    </w:p>
    <w:p w14:paraId="3B4CF6B1" w14:textId="2DBAEBFF" w:rsidR="00704D02" w:rsidRDefault="00602A7E" w:rsidP="00602A7E">
      <w:pPr>
        <w:pStyle w:val="Newparagraph"/>
        <w:ind w:firstLine="0"/>
      </w:pPr>
      <w:bookmarkStart w:id="90" w:name="_Toc524962824"/>
      <w:r>
        <w:t>[</w:t>
      </w:r>
      <w:bookmarkStart w:id="91" w:name="_Ref447612403"/>
      <w:bookmarkStart w:id="92"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91"/>
      <w:r w:rsidR="00704D02">
        <w:t>.  DMC homogenised mosaic and SPOT 5 surface reflectance correlation</w:t>
      </w:r>
      <w:bookmarkEnd w:id="92"/>
      <w:r w:rsidR="00681EC7" w:rsidRPr="00681EC7">
        <w:t xml:space="preserve"> </w:t>
      </w:r>
      <w:r w:rsidR="00681EC7" w:rsidRPr="00681EC7">
        <w:rPr>
          <w:color w:val="FF0000"/>
        </w:rPr>
        <w:t>for the (a) NIR, (b) red and (c) green bands</w:t>
      </w:r>
      <w:r w:rsidR="00704D02">
        <w:t>]</w:t>
      </w:r>
      <w:bookmarkEnd w:id="90"/>
      <w:r w:rsidR="00704D02">
        <w:t xml:space="preserve"> </w:t>
      </w:r>
    </w:p>
    <w:p w14:paraId="12A0C9E8" w14:textId="77777777" w:rsidR="00704D02" w:rsidRDefault="00704D02" w:rsidP="00602A7E">
      <w:pPr>
        <w:pStyle w:val="Newparagraph"/>
        <w:ind w:firstLine="0"/>
      </w:pPr>
    </w:p>
    <w:p w14:paraId="3D6E8872" w14:textId="175DB736" w:rsidR="00704D02" w:rsidRDefault="00602A7E" w:rsidP="00602A7E">
      <w:pPr>
        <w:pStyle w:val="Newparagraph"/>
        <w:ind w:firstLine="0"/>
      </w:pPr>
      <w:bookmarkStart w:id="93" w:name="_Toc524962825"/>
      <w:r>
        <w:t>[</w:t>
      </w:r>
      <w:bookmarkStart w:id="94"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94"/>
      <w:r w:rsidR="00704D02">
        <w:t>.  MODIS and SPOT 5 surface reflectance correlation</w:t>
      </w:r>
      <w:r w:rsidR="008550AF">
        <w:t xml:space="preserve"> </w:t>
      </w:r>
      <w:r w:rsidR="008550AF" w:rsidRPr="00681EC7">
        <w:rPr>
          <w:color w:val="FF0000"/>
        </w:rPr>
        <w:t>for the (a) NIR, (b) red and (c) green bands</w:t>
      </w:r>
      <w:r w:rsidR="00704D02">
        <w:t>]</w:t>
      </w:r>
      <w:bookmarkEnd w:id="93"/>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bookmarkStart w:id="95" w:name="_Toc524600562"/>
      <w:r>
        <w:t>[</w:t>
      </w:r>
      <w:bookmarkStart w:id="96"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96"/>
      <w:r w:rsidR="00704D02">
        <w:t xml:space="preserve">. </w:t>
      </w:r>
      <w:r w:rsidR="00704D02" w:rsidRPr="0002729A">
        <w:t xml:space="preserve"> </w:t>
      </w:r>
      <w:r w:rsidR="00704D02">
        <w:t>Statistical comparison between SPOT 5 and MODIS surface reflectance images]</w:t>
      </w:r>
      <w:bookmarkEnd w:id="95"/>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bookmarkStart w:id="97" w:name="_Toc524600563"/>
      <w:r>
        <w:t>[</w:t>
      </w:r>
      <w:bookmarkStart w:id="98" w:name="_Ref447556200"/>
      <w:bookmarkStart w:id="99" w:name="_Ref452304869"/>
      <w:bookmarkStart w:id="100"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98"/>
      <w:bookmarkEnd w:id="99"/>
      <w:r w:rsidR="00704D02">
        <w:t>.</w:t>
      </w:r>
      <w:r w:rsidR="00704D02" w:rsidRPr="0002729A">
        <w:t xml:space="preserve"> </w:t>
      </w:r>
      <w:r w:rsidR="00704D02">
        <w:t xml:space="preserve"> Statistical comparison between SPOT 5 and DMC surface reflectance images</w:t>
      </w:r>
      <w:bookmarkEnd w:id="100"/>
      <w:r w:rsidR="00704D02">
        <w:t>]</w:t>
      </w:r>
      <w:bookmarkEnd w:id="97"/>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bookmarkStart w:id="101" w:name="_Toc524962826"/>
      <w:r>
        <w:t>[</w:t>
      </w:r>
      <w:bookmarkStart w:id="102"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102"/>
      <w:r w:rsidR="0057061A">
        <w:t xml:space="preserve">.  </w:t>
      </w:r>
      <w:r w:rsidR="002C17FB">
        <w:t>Effect of sliding window size on SPOT 5 comparison</w:t>
      </w:r>
      <w:r w:rsidR="0057061A">
        <w:t>]</w:t>
      </w:r>
      <w:bookmarkEnd w:id="101"/>
    </w:p>
    <w:p w14:paraId="7DD49022" w14:textId="77777777" w:rsidR="0057061A" w:rsidRDefault="0057061A" w:rsidP="00602A7E">
      <w:pPr>
        <w:pStyle w:val="Newparagraph"/>
        <w:ind w:firstLine="0"/>
      </w:pPr>
    </w:p>
    <w:p w14:paraId="5A69EF6F" w14:textId="40B9B4CC" w:rsidR="00704D02" w:rsidRDefault="00602A7E" w:rsidP="00602A7E">
      <w:pPr>
        <w:pStyle w:val="Newparagraph"/>
        <w:ind w:firstLine="0"/>
      </w:pPr>
      <w:bookmarkStart w:id="103" w:name="_Toc524962827"/>
      <w:r>
        <w:t>[</w:t>
      </w:r>
      <w:bookmarkStart w:id="104" w:name="_Ref475615975"/>
      <w:bookmarkStart w:id="105"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104"/>
      <w:r w:rsidR="00704D02">
        <w:t>.  Comparison of DMC and SPOT 5 spectra</w:t>
      </w:r>
      <w:bookmarkEnd w:id="105"/>
      <w:r w:rsidR="00767168" w:rsidRPr="00767168">
        <w:rPr>
          <w:color w:val="FF0000"/>
        </w:rPr>
        <w:t xml:space="preserve"> for</w:t>
      </w:r>
      <w:r w:rsidR="00767168">
        <w:rPr>
          <w:color w:val="FF0000"/>
        </w:rPr>
        <w:t xml:space="preserve"> (a) water, (b) bright sand, (c) bare ground, (d) vegetation </w:t>
      </w:r>
      <w:r w:rsidR="00083A6B">
        <w:rPr>
          <w:color w:val="FF0000"/>
        </w:rPr>
        <w:t>type 1</w:t>
      </w:r>
      <w:r w:rsidR="00767168">
        <w:rPr>
          <w:color w:val="FF0000"/>
        </w:rPr>
        <w:t xml:space="preserve"> and (e) vegetation </w:t>
      </w:r>
      <w:r w:rsidR="00083A6B">
        <w:rPr>
          <w:color w:val="FF0000"/>
        </w:rPr>
        <w:t xml:space="preserve">type </w:t>
      </w:r>
      <w:r w:rsidR="00767168">
        <w:rPr>
          <w:color w:val="FF0000"/>
        </w:rPr>
        <w:t>2 surfaces</w:t>
      </w:r>
      <w:r w:rsidR="00704D02">
        <w:t>]</w:t>
      </w:r>
      <w:bookmarkEnd w:id="103"/>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06" w:name="_Ref452458695"/>
      <w:r>
        <w:t>Conclusions</w:t>
      </w:r>
      <w:bookmarkEnd w:id="106"/>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7B403B7B"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w:t>
      </w:r>
      <w:r w:rsidRPr="00B7730F">
        <w:rPr>
          <w:strike/>
          <w:color w:val="FF0000"/>
        </w:rPr>
        <w:t>x</w:t>
      </w:r>
      <w:r w:rsidR="00B7730F" w:rsidRPr="00B7730F">
        <w:rPr>
          <w:color w:val="FF0000"/>
          <w:lang w:val="en-US"/>
        </w:rPr>
        <w:sym w:font="Symbol" w:char="F0B4"/>
      </w:r>
      <w:r>
        <w:t xml:space="preserve"> 107 km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xml:space="preserve">).  </w:t>
      </w:r>
      <w:r>
        <w:lastRenderedPageBreak/>
        <w:t>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w:t>
      </w:r>
      <w:r>
        <w:lastRenderedPageBreak/>
        <w:t xml:space="preserve">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w:t>
      </w:r>
      <w:r w:rsidRPr="00426E9E">
        <w:rPr>
          <w:noProof/>
        </w:rPr>
        <w:lastRenderedPageBreak/>
        <w:t>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w:t>
      </w:r>
      <w:r w:rsidRPr="00426E9E">
        <w:rPr>
          <w:noProof/>
        </w:rPr>
        <w:lastRenderedPageBreak/>
        <w:t>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 xml:space="preserve">Second Simulation of a Satellite </w:t>
      </w:r>
      <w:r w:rsidRPr="00426E9E">
        <w:rPr>
          <w:i/>
          <w:iCs/>
          <w:noProof/>
        </w:rPr>
        <w:lastRenderedPageBreak/>
        <w:t>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p w14:paraId="77F2EF30" w14:textId="072D15C8" w:rsidR="008E6E12" w:rsidRPr="008E6E12" w:rsidRDefault="008E6E12" w:rsidP="008E6E12">
      <w:pPr>
        <w:pStyle w:val="Heading1"/>
        <w:numPr>
          <w:ilvl w:val="0"/>
          <w:numId w:val="0"/>
        </w:numPr>
        <w:rPr>
          <w:color w:val="FF0000"/>
        </w:rPr>
      </w:pPr>
      <w:r w:rsidRPr="008E6E12">
        <w:rPr>
          <w:color w:val="FF0000"/>
        </w:rPr>
        <w:t>List of Figures</w:t>
      </w:r>
    </w:p>
    <w:p w14:paraId="0ABDE202" w14:textId="44C47A97" w:rsidR="00535AFB" w:rsidRPr="00535AFB" w:rsidRDefault="008E6E12">
      <w:pPr>
        <w:pStyle w:val="TableofFigures"/>
        <w:tabs>
          <w:tab w:val="right" w:leader="dot" w:pos="9016"/>
        </w:tabs>
        <w:rPr>
          <w:rFonts w:asciiTheme="minorHAnsi" w:eastAsiaTheme="minorEastAsia" w:hAnsiTheme="minorHAnsi" w:cstheme="minorBidi"/>
          <w:noProof/>
          <w:color w:val="FF0000"/>
          <w:sz w:val="22"/>
          <w:szCs w:val="22"/>
        </w:rPr>
      </w:pPr>
      <w:r w:rsidRPr="008E6E12">
        <w:rPr>
          <w:color w:val="FF0000"/>
        </w:rPr>
        <w:fldChar w:fldCharType="begin"/>
      </w:r>
      <w:r w:rsidRPr="008E6E12">
        <w:rPr>
          <w:color w:val="FF0000"/>
        </w:rPr>
        <w:instrText xml:space="preserve"> TOC \n \h \z \c "Figure" </w:instrText>
      </w:r>
      <w:r w:rsidRPr="008E6E12">
        <w:rPr>
          <w:color w:val="FF0000"/>
        </w:rPr>
        <w:fldChar w:fldCharType="separate"/>
      </w:r>
      <w:hyperlink w:anchor="_Toc524962812" w:history="1">
        <w:r w:rsidR="00535AFB" w:rsidRPr="00535AFB">
          <w:rPr>
            <w:rStyle w:val="Hyperlink"/>
            <w:noProof/>
            <w:color w:val="FF0000"/>
          </w:rPr>
          <w:t>Figure 1. Study area orientation map</w:t>
        </w:r>
      </w:hyperlink>
    </w:p>
    <w:p w14:paraId="319413E9" w14:textId="409FD2FD"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3" w:history="1">
        <w:r w:rsidRPr="00535AFB">
          <w:rPr>
            <w:rStyle w:val="Hyperlink"/>
            <w:noProof/>
            <w:color w:val="FF0000"/>
          </w:rPr>
          <w:t>Figure 2. DMC’s and MODIS’s RSR</w:t>
        </w:r>
      </w:hyperlink>
    </w:p>
    <w:p w14:paraId="18CC996E" w14:textId="4E6E0F79"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4" w:history="1">
        <w:r w:rsidRPr="00535AFB">
          <w:rPr>
            <w:rStyle w:val="Hyperlink"/>
            <w:noProof/>
            <w:color w:val="FF0000"/>
          </w:rPr>
          <w:t>Figure 3. SPOT 5 scene and mosaic extents</w:t>
        </w:r>
      </w:hyperlink>
    </w:p>
    <w:p w14:paraId="7C26C4E2" w14:textId="6F546D72"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5" w:history="1">
        <w:r w:rsidRPr="00535AFB">
          <w:rPr>
            <w:rStyle w:val="Hyperlink"/>
            <w:noProof/>
            <w:color w:val="FF0000"/>
          </w:rPr>
          <w:t>Figure 4. DMC versus MODIS simulated band averaged relationship for typical surface reflectances ((a) NIR, (b) red, (c) green and (d) blue bands)</w:t>
        </w:r>
      </w:hyperlink>
    </w:p>
    <w:p w14:paraId="765C0D95" w14:textId="14F79C1D"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6" w:history="1">
        <w:r w:rsidRPr="00535AFB">
          <w:rPr>
            <w:rStyle w:val="Hyperlink"/>
            <w:noProof/>
            <w:color w:val="FF0000"/>
          </w:rPr>
          <w:t>Figure 5.  Uncalibrated mosaic on MODIS reference image background</w:t>
        </w:r>
      </w:hyperlink>
    </w:p>
    <w:p w14:paraId="4481F428" w14:textId="7A2CB503"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7" w:history="1">
        <w:r w:rsidRPr="00535AFB">
          <w:rPr>
            <w:rStyle w:val="Hyperlink"/>
            <w:noProof/>
            <w:color w:val="FF0000"/>
          </w:rPr>
          <w:t>Figure 6.  Homogenised mosaic on MODIS reference image background</w:t>
        </w:r>
      </w:hyperlink>
    </w:p>
    <w:p w14:paraId="48807314" w14:textId="202921F0"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8" w:history="1">
        <w:r w:rsidRPr="00535AFB">
          <w:rPr>
            <w:rStyle w:val="Hyperlink"/>
            <w:noProof/>
            <w:color w:val="FF0000"/>
          </w:rPr>
          <w:t>Figure 7. Reduction of hot spot and seam lines, with (a) showing raw DN images including hot spot and seam lines and (b) the corrected surface reflectance image</w:t>
        </w:r>
      </w:hyperlink>
    </w:p>
    <w:p w14:paraId="02CBAA39" w14:textId="6507B2C0"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19" w:history="1">
        <w:r w:rsidRPr="00535AFB">
          <w:rPr>
            <w:rStyle w:val="Hyperlink"/>
            <w:noProof/>
            <w:color w:val="FF0000"/>
          </w:rPr>
          <w:t>Figure 8.  DMC DN values and MODIS surface reflectance correlation for the (a) NIR, (b) red, (c) green and (d) blue bands</w:t>
        </w:r>
      </w:hyperlink>
    </w:p>
    <w:p w14:paraId="5A4E0C05" w14:textId="73616349"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0" w:history="1">
        <w:r w:rsidRPr="00535AFB">
          <w:rPr>
            <w:rStyle w:val="Hyperlink"/>
            <w:noProof/>
            <w:color w:val="FF0000"/>
          </w:rPr>
          <w:t>Figure 9.  DMC homogenised mosaic and MODIS surface reflectance correlation for the (a) NIR, (b) red, (c) green and (d) blue bands</w:t>
        </w:r>
      </w:hyperlink>
    </w:p>
    <w:p w14:paraId="7F300850" w14:textId="7A2AEB2A"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1" w:history="1">
        <w:r w:rsidRPr="00535AFB">
          <w:rPr>
            <w:rStyle w:val="Hyperlink"/>
            <w:noProof/>
            <w:color w:val="FF0000"/>
          </w:rPr>
          <w:t>Figure 10.  DMC and SPOT 5 surface reflectance comparison with (a) DMC homogenised mosaic masked to SPOT 5 extent; (b) SPOT 5 surface reflectance image; and (c) contrast stretched absolute difference image</w:t>
        </w:r>
      </w:hyperlink>
    </w:p>
    <w:p w14:paraId="70BBD680" w14:textId="5B8CB001"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2" w:history="1">
        <w:r w:rsidRPr="00535AFB">
          <w:rPr>
            <w:rStyle w:val="Hyperlink"/>
            <w:noProof/>
            <w:color w:val="FF0000"/>
          </w:rPr>
          <w:t>Figure 11.  DMC and SPOT 5 RSRs</w:t>
        </w:r>
      </w:hyperlink>
    </w:p>
    <w:p w14:paraId="7120ED00" w14:textId="3F48F90B"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3" w:history="1">
        <w:r w:rsidRPr="00535AFB">
          <w:rPr>
            <w:rStyle w:val="Hyperlink"/>
            <w:noProof/>
            <w:color w:val="FF0000"/>
          </w:rPr>
          <w:t>Figure 12.  DMC DN mosaic and SPOT 5 surface reflectance correlation for the (a) NIR, (b) red and (c) green bands</w:t>
        </w:r>
      </w:hyperlink>
    </w:p>
    <w:p w14:paraId="1731069F" w14:textId="6D86FD4D"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4" w:history="1">
        <w:r w:rsidRPr="00535AFB">
          <w:rPr>
            <w:rStyle w:val="Hyperlink"/>
            <w:noProof/>
            <w:color w:val="FF0000"/>
          </w:rPr>
          <w:t>Figure 13.  DMC homogenised mosaic and SPOT 5 surface reflectance correlation for the (a) NIR, (b) red and (c) green bands</w:t>
        </w:r>
      </w:hyperlink>
    </w:p>
    <w:p w14:paraId="4ED7D1B6" w14:textId="6EB058CC"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5" w:history="1">
        <w:r w:rsidRPr="00535AFB">
          <w:rPr>
            <w:rStyle w:val="Hyperlink"/>
            <w:noProof/>
            <w:color w:val="FF0000"/>
          </w:rPr>
          <w:t>Figure 14.  MODIS and SPOT 5 surface reflectance correlation for the (a) NIR, (b) red and (c) green bands</w:t>
        </w:r>
      </w:hyperlink>
    </w:p>
    <w:p w14:paraId="489505B0" w14:textId="7E4B849D"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6" w:history="1">
        <w:r w:rsidRPr="00535AFB">
          <w:rPr>
            <w:rStyle w:val="Hyperlink"/>
            <w:noProof/>
            <w:color w:val="FF0000"/>
          </w:rPr>
          <w:t>Figure 15.  Effect of sliding window size on SPOT 5 comparison</w:t>
        </w:r>
      </w:hyperlink>
    </w:p>
    <w:p w14:paraId="18081139" w14:textId="322B7AA4" w:rsidR="00535AFB" w:rsidRPr="00535AFB" w:rsidRDefault="00535AFB">
      <w:pPr>
        <w:pStyle w:val="TableofFigures"/>
        <w:tabs>
          <w:tab w:val="right" w:leader="dot" w:pos="9016"/>
        </w:tabs>
        <w:rPr>
          <w:rFonts w:asciiTheme="minorHAnsi" w:eastAsiaTheme="minorEastAsia" w:hAnsiTheme="minorHAnsi" w:cstheme="minorBidi"/>
          <w:noProof/>
          <w:color w:val="FF0000"/>
          <w:sz w:val="22"/>
          <w:szCs w:val="22"/>
        </w:rPr>
      </w:pPr>
      <w:hyperlink w:anchor="_Toc524962827" w:history="1">
        <w:r w:rsidRPr="00535AFB">
          <w:rPr>
            <w:rStyle w:val="Hyperlink"/>
            <w:noProof/>
            <w:color w:val="FF0000"/>
          </w:rPr>
          <w:t>Figure 16.  Comparison of DMC and SPOT 5 spectra for (a) water, (b) bright sand, (c) bare ground, (d) vegetation type 1 and (e) vegetation type 2 surfaces</w:t>
        </w:r>
      </w:hyperlink>
    </w:p>
    <w:p w14:paraId="3DCEFC40" w14:textId="77777777" w:rsidR="008E6E12" w:rsidRDefault="008E6E12">
      <w:pPr>
        <w:rPr>
          <w:color w:val="FF0000"/>
        </w:rPr>
      </w:pPr>
      <w:r w:rsidRPr="008E6E12">
        <w:rPr>
          <w:color w:val="FF0000"/>
        </w:rPr>
        <w:fldChar w:fldCharType="end"/>
      </w:r>
    </w:p>
    <w:p w14:paraId="5B00F682" w14:textId="23FAB475" w:rsidR="00091ADC" w:rsidRPr="008E6E12" w:rsidRDefault="00091ADC" w:rsidP="00091ADC">
      <w:pPr>
        <w:pStyle w:val="Heading1"/>
        <w:numPr>
          <w:ilvl w:val="0"/>
          <w:numId w:val="0"/>
        </w:numPr>
        <w:rPr>
          <w:color w:val="FF0000"/>
        </w:rPr>
      </w:pPr>
      <w:r w:rsidRPr="008E6E12">
        <w:rPr>
          <w:color w:val="FF0000"/>
        </w:rPr>
        <w:t xml:space="preserve">List of </w:t>
      </w:r>
      <w:r>
        <w:rPr>
          <w:color w:val="FF0000"/>
        </w:rPr>
        <w:t>Tables</w:t>
      </w:r>
    </w:p>
    <w:p w14:paraId="3A0DC56E" w14:textId="4BDB44F9"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r w:rsidRPr="00091ADC">
        <w:rPr>
          <w:color w:val="FF0000"/>
        </w:rPr>
        <w:fldChar w:fldCharType="begin"/>
      </w:r>
      <w:r w:rsidRPr="00091ADC">
        <w:rPr>
          <w:color w:val="FF0000"/>
        </w:rPr>
        <w:instrText xml:space="preserve"> TOC \n \h \z \c "Table" </w:instrText>
      </w:r>
      <w:r w:rsidRPr="00091ADC">
        <w:rPr>
          <w:color w:val="FF0000"/>
        </w:rPr>
        <w:fldChar w:fldCharType="separate"/>
      </w:r>
      <w:hyperlink w:anchor="_Toc524600561" w:history="1">
        <w:r w:rsidRPr="00091ADC">
          <w:rPr>
            <w:rStyle w:val="Hyperlink"/>
            <w:noProof/>
            <w:color w:val="FF0000"/>
          </w:rPr>
          <w:t>Table 1.  Statistical comparison between MODIS and DMC surface reflectance images</w:t>
        </w:r>
      </w:hyperlink>
    </w:p>
    <w:p w14:paraId="3D5BCD06" w14:textId="35F1ED22"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2" w:history="1">
        <w:r w:rsidRPr="00091ADC">
          <w:rPr>
            <w:rStyle w:val="Hyperlink"/>
            <w:noProof/>
            <w:color w:val="FF0000"/>
          </w:rPr>
          <w:t>Table 2.  Statistical comparison between SPOT 5 and MODIS surface reflectance images</w:t>
        </w:r>
      </w:hyperlink>
    </w:p>
    <w:p w14:paraId="05D544A3" w14:textId="1D2301AD"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3" w:history="1">
        <w:r w:rsidRPr="00091ADC">
          <w:rPr>
            <w:rStyle w:val="Hyperlink"/>
            <w:noProof/>
            <w:color w:val="FF0000"/>
          </w:rPr>
          <w:t>Table 3.  Statistical comparison between SPOT 5 and DMC surface reflectance images</w:t>
        </w:r>
      </w:hyperlink>
    </w:p>
    <w:p w14:paraId="061B2902" w14:textId="77777777" w:rsidR="00091ADC" w:rsidRDefault="00091ADC">
      <w:r w:rsidRPr="00091ADC">
        <w:rPr>
          <w:color w:val="FF0000"/>
        </w:rPr>
        <w:fldChar w:fldCharType="end"/>
      </w:r>
    </w:p>
    <w:sectPr w:rsidR="00091ADC"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B5814" w14:textId="77777777" w:rsidR="004D1FC7" w:rsidRDefault="004D1FC7">
      <w:pPr>
        <w:spacing w:line="240" w:lineRule="auto"/>
      </w:pPr>
      <w:r>
        <w:separator/>
      </w:r>
    </w:p>
  </w:endnote>
  <w:endnote w:type="continuationSeparator" w:id="0">
    <w:p w14:paraId="65DBA619" w14:textId="77777777" w:rsidR="004D1FC7" w:rsidRDefault="004D1F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991EA" w14:textId="77777777" w:rsidR="004D1FC7" w:rsidRDefault="004D1FC7">
      <w:pPr>
        <w:spacing w:line="240" w:lineRule="auto"/>
      </w:pPr>
      <w:r>
        <w:separator/>
      </w:r>
    </w:p>
  </w:footnote>
  <w:footnote w:type="continuationSeparator" w:id="0">
    <w:p w14:paraId="7278F350" w14:textId="77777777" w:rsidR="004D1FC7" w:rsidRDefault="004D1F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A53561">
          <w:rPr>
            <w:noProof/>
          </w:rPr>
          <w:t>33</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55D"/>
    <w:rsid w:val="000106F1"/>
    <w:rsid w:val="00010B14"/>
    <w:rsid w:val="00015790"/>
    <w:rsid w:val="000250A6"/>
    <w:rsid w:val="0003170C"/>
    <w:rsid w:val="000362DA"/>
    <w:rsid w:val="00041E87"/>
    <w:rsid w:val="00045A53"/>
    <w:rsid w:val="00057840"/>
    <w:rsid w:val="00071030"/>
    <w:rsid w:val="00073685"/>
    <w:rsid w:val="0008319A"/>
    <w:rsid w:val="00083A6B"/>
    <w:rsid w:val="000875CF"/>
    <w:rsid w:val="00091ADC"/>
    <w:rsid w:val="00095D9F"/>
    <w:rsid w:val="00096789"/>
    <w:rsid w:val="0009681F"/>
    <w:rsid w:val="000A4543"/>
    <w:rsid w:val="000B4329"/>
    <w:rsid w:val="000D7B05"/>
    <w:rsid w:val="000E4C92"/>
    <w:rsid w:val="000F20E4"/>
    <w:rsid w:val="00110430"/>
    <w:rsid w:val="001138DC"/>
    <w:rsid w:val="00115CEC"/>
    <w:rsid w:val="00116A88"/>
    <w:rsid w:val="00117D7E"/>
    <w:rsid w:val="0014263E"/>
    <w:rsid w:val="001542A2"/>
    <w:rsid w:val="00163C8D"/>
    <w:rsid w:val="00173551"/>
    <w:rsid w:val="001737F9"/>
    <w:rsid w:val="00176D87"/>
    <w:rsid w:val="001820EB"/>
    <w:rsid w:val="001845F9"/>
    <w:rsid w:val="001D7D91"/>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47AE4"/>
    <w:rsid w:val="00251295"/>
    <w:rsid w:val="002973C6"/>
    <w:rsid w:val="002B04FF"/>
    <w:rsid w:val="002B2D50"/>
    <w:rsid w:val="002C17FB"/>
    <w:rsid w:val="002C77B0"/>
    <w:rsid w:val="002E417B"/>
    <w:rsid w:val="002F4D8E"/>
    <w:rsid w:val="00302885"/>
    <w:rsid w:val="00304500"/>
    <w:rsid w:val="00306E26"/>
    <w:rsid w:val="00330A80"/>
    <w:rsid w:val="003359B2"/>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6E9E"/>
    <w:rsid w:val="00427644"/>
    <w:rsid w:val="00430779"/>
    <w:rsid w:val="004322DE"/>
    <w:rsid w:val="0044787E"/>
    <w:rsid w:val="00450357"/>
    <w:rsid w:val="00450565"/>
    <w:rsid w:val="004523DE"/>
    <w:rsid w:val="0045270B"/>
    <w:rsid w:val="00455C02"/>
    <w:rsid w:val="00455DB9"/>
    <w:rsid w:val="00471884"/>
    <w:rsid w:val="00492664"/>
    <w:rsid w:val="00492AEC"/>
    <w:rsid w:val="004A561C"/>
    <w:rsid w:val="004B0875"/>
    <w:rsid w:val="004C73C8"/>
    <w:rsid w:val="004D1FC7"/>
    <w:rsid w:val="004E0944"/>
    <w:rsid w:val="004E5D40"/>
    <w:rsid w:val="0050316E"/>
    <w:rsid w:val="0051366F"/>
    <w:rsid w:val="00515809"/>
    <w:rsid w:val="005262F2"/>
    <w:rsid w:val="00535AFB"/>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493E"/>
    <w:rsid w:val="00597EAA"/>
    <w:rsid w:val="005A1A14"/>
    <w:rsid w:val="005B4D83"/>
    <w:rsid w:val="005B66E1"/>
    <w:rsid w:val="005C3FA5"/>
    <w:rsid w:val="005D07E4"/>
    <w:rsid w:val="005D0C0E"/>
    <w:rsid w:val="005D3AF2"/>
    <w:rsid w:val="005E1CDC"/>
    <w:rsid w:val="005E5FF3"/>
    <w:rsid w:val="005F414B"/>
    <w:rsid w:val="005F5580"/>
    <w:rsid w:val="00601E07"/>
    <w:rsid w:val="00602A7E"/>
    <w:rsid w:val="00611CA1"/>
    <w:rsid w:val="006133EB"/>
    <w:rsid w:val="00630409"/>
    <w:rsid w:val="00647D69"/>
    <w:rsid w:val="00652BCD"/>
    <w:rsid w:val="00653ACD"/>
    <w:rsid w:val="00662628"/>
    <w:rsid w:val="0068089A"/>
    <w:rsid w:val="00681EC7"/>
    <w:rsid w:val="00684BEA"/>
    <w:rsid w:val="00690924"/>
    <w:rsid w:val="006A53B2"/>
    <w:rsid w:val="006A62C7"/>
    <w:rsid w:val="006B3D8F"/>
    <w:rsid w:val="006C0C2E"/>
    <w:rsid w:val="006C7E78"/>
    <w:rsid w:val="006E1E92"/>
    <w:rsid w:val="006F6700"/>
    <w:rsid w:val="00704D02"/>
    <w:rsid w:val="00725F1E"/>
    <w:rsid w:val="00732325"/>
    <w:rsid w:val="007328A7"/>
    <w:rsid w:val="007472B0"/>
    <w:rsid w:val="00752C2B"/>
    <w:rsid w:val="00767168"/>
    <w:rsid w:val="00782A1E"/>
    <w:rsid w:val="00791A38"/>
    <w:rsid w:val="00796072"/>
    <w:rsid w:val="007A2E11"/>
    <w:rsid w:val="007B14CD"/>
    <w:rsid w:val="007B224B"/>
    <w:rsid w:val="007D1F1F"/>
    <w:rsid w:val="007D2C25"/>
    <w:rsid w:val="007D4D6C"/>
    <w:rsid w:val="007D52BE"/>
    <w:rsid w:val="007D5E0D"/>
    <w:rsid w:val="007D7507"/>
    <w:rsid w:val="007D7F8B"/>
    <w:rsid w:val="007F3F46"/>
    <w:rsid w:val="00830204"/>
    <w:rsid w:val="008550AF"/>
    <w:rsid w:val="00876DC0"/>
    <w:rsid w:val="008802DA"/>
    <w:rsid w:val="00887697"/>
    <w:rsid w:val="008B5458"/>
    <w:rsid w:val="008E6E12"/>
    <w:rsid w:val="008F0509"/>
    <w:rsid w:val="008F74E0"/>
    <w:rsid w:val="00900E34"/>
    <w:rsid w:val="00901128"/>
    <w:rsid w:val="00904C63"/>
    <w:rsid w:val="00910C7C"/>
    <w:rsid w:val="00911292"/>
    <w:rsid w:val="00911368"/>
    <w:rsid w:val="009129D5"/>
    <w:rsid w:val="00930508"/>
    <w:rsid w:val="0094605E"/>
    <w:rsid w:val="009508D2"/>
    <w:rsid w:val="009537E8"/>
    <w:rsid w:val="009712D6"/>
    <w:rsid w:val="0097537E"/>
    <w:rsid w:val="00995F70"/>
    <w:rsid w:val="009A2F41"/>
    <w:rsid w:val="009C13D9"/>
    <w:rsid w:val="009F0949"/>
    <w:rsid w:val="00A062B0"/>
    <w:rsid w:val="00A41F1A"/>
    <w:rsid w:val="00A51D21"/>
    <w:rsid w:val="00A53561"/>
    <w:rsid w:val="00A53CD5"/>
    <w:rsid w:val="00A56F69"/>
    <w:rsid w:val="00A6350B"/>
    <w:rsid w:val="00A823EB"/>
    <w:rsid w:val="00A86274"/>
    <w:rsid w:val="00A94A1A"/>
    <w:rsid w:val="00AA0369"/>
    <w:rsid w:val="00AA130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20EA"/>
    <w:rsid w:val="00B94721"/>
    <w:rsid w:val="00BC15C8"/>
    <w:rsid w:val="00BC16BE"/>
    <w:rsid w:val="00BD735E"/>
    <w:rsid w:val="00BE6845"/>
    <w:rsid w:val="00C01B65"/>
    <w:rsid w:val="00C1348F"/>
    <w:rsid w:val="00C3042B"/>
    <w:rsid w:val="00C31713"/>
    <w:rsid w:val="00C33927"/>
    <w:rsid w:val="00C46348"/>
    <w:rsid w:val="00C46DE8"/>
    <w:rsid w:val="00C55794"/>
    <w:rsid w:val="00C62CCE"/>
    <w:rsid w:val="00C63BF1"/>
    <w:rsid w:val="00C826DF"/>
    <w:rsid w:val="00C91FAC"/>
    <w:rsid w:val="00C92E0D"/>
    <w:rsid w:val="00CA4EA7"/>
    <w:rsid w:val="00CB3CEA"/>
    <w:rsid w:val="00CC4D18"/>
    <w:rsid w:val="00CD2631"/>
    <w:rsid w:val="00CD5ED5"/>
    <w:rsid w:val="00CE1191"/>
    <w:rsid w:val="00CE7B7A"/>
    <w:rsid w:val="00D03094"/>
    <w:rsid w:val="00D065AA"/>
    <w:rsid w:val="00D12C91"/>
    <w:rsid w:val="00D13827"/>
    <w:rsid w:val="00D23A80"/>
    <w:rsid w:val="00D476EB"/>
    <w:rsid w:val="00D4793E"/>
    <w:rsid w:val="00D645CE"/>
    <w:rsid w:val="00D66406"/>
    <w:rsid w:val="00D849C4"/>
    <w:rsid w:val="00DA7D4E"/>
    <w:rsid w:val="00DB080A"/>
    <w:rsid w:val="00DD31C0"/>
    <w:rsid w:val="00DE0E19"/>
    <w:rsid w:val="00DF3D30"/>
    <w:rsid w:val="00E035CF"/>
    <w:rsid w:val="00E04706"/>
    <w:rsid w:val="00E05D3E"/>
    <w:rsid w:val="00E060BE"/>
    <w:rsid w:val="00E0705C"/>
    <w:rsid w:val="00E10C7A"/>
    <w:rsid w:val="00E40C8B"/>
    <w:rsid w:val="00E43E34"/>
    <w:rsid w:val="00E532B3"/>
    <w:rsid w:val="00E76DDE"/>
    <w:rsid w:val="00E95661"/>
    <w:rsid w:val="00E97AB2"/>
    <w:rsid w:val="00E97CAD"/>
    <w:rsid w:val="00EB6E95"/>
    <w:rsid w:val="00EC5654"/>
    <w:rsid w:val="00EC642A"/>
    <w:rsid w:val="00ED166C"/>
    <w:rsid w:val="00EE372E"/>
    <w:rsid w:val="00EE4910"/>
    <w:rsid w:val="00EF17D0"/>
    <w:rsid w:val="00F2378E"/>
    <w:rsid w:val="00F2766F"/>
    <w:rsid w:val="00F510B0"/>
    <w:rsid w:val="00F60844"/>
    <w:rsid w:val="00F7050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D30AE-662F-47F1-88CA-C0BC7FBCC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15223</TotalTime>
  <Pages>35</Pages>
  <Words>35715</Words>
  <Characters>203580</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92</cp:revision>
  <dcterms:created xsi:type="dcterms:W3CDTF">2018-05-03T11:02:00Z</dcterms:created>
  <dcterms:modified xsi:type="dcterms:W3CDTF">2018-09-17T14:29:00Z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