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05" w:type="dxa"/>
        <w:jc w:val="center"/>
        <w:tblLayout w:type="fixed"/>
        <w:tblLook w:val="04A0" w:firstRow="1" w:lastRow="0" w:firstColumn="1" w:lastColumn="0" w:noHBand="0" w:noVBand="1"/>
      </w:tblPr>
      <w:tblGrid>
        <w:gridCol w:w="2065"/>
        <w:gridCol w:w="34"/>
        <w:gridCol w:w="1818"/>
        <w:gridCol w:w="105"/>
        <w:gridCol w:w="1853"/>
        <w:gridCol w:w="71"/>
        <w:gridCol w:w="1888"/>
        <w:gridCol w:w="35"/>
        <w:gridCol w:w="1924"/>
        <w:gridCol w:w="12"/>
      </w:tblGrid>
      <w:tr w:rsidR="0093166C" w14:paraId="443DA8A7" w14:textId="2BF5E418" w:rsidTr="0093166C">
        <w:trPr>
          <w:gridAfter w:val="1"/>
          <w:wAfter w:w="12" w:type="dxa"/>
          <w:trHeight w:val="737"/>
          <w:jc w:val="center"/>
        </w:trPr>
        <w:tc>
          <w:tcPr>
            <w:tcW w:w="9793" w:type="dxa"/>
            <w:gridSpan w:val="9"/>
            <w:shd w:val="clear" w:color="auto" w:fill="D9D9D9" w:themeFill="background1" w:themeFillShade="D9"/>
            <w:vAlign w:val="center"/>
          </w:tcPr>
          <w:p w14:paraId="133C4789" w14:textId="0E51EBFC" w:rsidR="0093166C" w:rsidRDefault="0093166C" w:rsidP="00946B58">
            <w:pPr>
              <w:pStyle w:val="Heading1"/>
              <w:spacing w:before="0"/>
              <w:outlineLvl w:val="0"/>
            </w:pPr>
            <w:r>
              <w:t>Age Groups Analysis</w:t>
            </w:r>
          </w:p>
        </w:tc>
      </w:tr>
      <w:tr w:rsidR="0093166C" w:rsidRPr="00946B58" w14:paraId="4E98D03D" w14:textId="0A910BF2" w:rsidTr="0093166C">
        <w:trPr>
          <w:gridAfter w:val="1"/>
          <w:wAfter w:w="12" w:type="dxa"/>
          <w:trHeight w:val="530"/>
          <w:jc w:val="center"/>
        </w:trPr>
        <w:tc>
          <w:tcPr>
            <w:tcW w:w="2099" w:type="dxa"/>
            <w:gridSpan w:val="2"/>
            <w:shd w:val="clear" w:color="auto" w:fill="B01513" w:themeFill="accent1"/>
            <w:vAlign w:val="center"/>
          </w:tcPr>
          <w:p w14:paraId="505C9248" w14:textId="31C53C16" w:rsidR="0093166C" w:rsidRPr="00946B58" w:rsidRDefault="0093166C" w:rsidP="00946B58">
            <w:pPr>
              <w:jc w:val="center"/>
              <w:rPr>
                <w:color w:val="F2F2F2" w:themeColor="background1" w:themeShade="F2"/>
              </w:rPr>
            </w:pPr>
            <w:r w:rsidRPr="00946B58">
              <w:rPr>
                <w:color w:val="F2F2F2" w:themeColor="background1" w:themeShade="F2"/>
              </w:rPr>
              <w:t>Age Group</w:t>
            </w:r>
          </w:p>
        </w:tc>
        <w:tc>
          <w:tcPr>
            <w:tcW w:w="1923" w:type="dxa"/>
            <w:gridSpan w:val="2"/>
            <w:shd w:val="clear" w:color="auto" w:fill="B01513" w:themeFill="accent1"/>
            <w:vAlign w:val="center"/>
          </w:tcPr>
          <w:p w14:paraId="0A64ACA6" w14:textId="70726143" w:rsidR="0093166C" w:rsidRPr="00946B58" w:rsidRDefault="0093166C" w:rsidP="00946B58">
            <w:pPr>
              <w:jc w:val="center"/>
              <w:rPr>
                <w:color w:val="F2F2F2" w:themeColor="background1" w:themeShade="F2"/>
              </w:rPr>
            </w:pPr>
            <w:r w:rsidRPr="00BE53F7">
              <w:rPr>
                <w:color w:val="F2F2F2" w:themeColor="background1" w:themeShade="F2"/>
              </w:rPr>
              <w:t>Percentage</w:t>
            </w:r>
          </w:p>
        </w:tc>
        <w:tc>
          <w:tcPr>
            <w:tcW w:w="1924" w:type="dxa"/>
            <w:gridSpan w:val="2"/>
            <w:shd w:val="clear" w:color="auto" w:fill="B01513" w:themeFill="accent1"/>
            <w:vAlign w:val="center"/>
          </w:tcPr>
          <w:p w14:paraId="534023A3" w14:textId="3D69FA9F" w:rsidR="0093166C" w:rsidRPr="00946B58" w:rsidRDefault="0093166C" w:rsidP="00946B58">
            <w:pPr>
              <w:jc w:val="center"/>
              <w:rPr>
                <w:color w:val="F2F2F2" w:themeColor="background1" w:themeShade="F2"/>
              </w:rPr>
            </w:pPr>
            <w:r w:rsidRPr="00946B58">
              <w:rPr>
                <w:color w:val="F2F2F2" w:themeColor="background1" w:themeShade="F2"/>
              </w:rPr>
              <w:t>Number of Purchases</w:t>
            </w:r>
          </w:p>
        </w:tc>
        <w:tc>
          <w:tcPr>
            <w:tcW w:w="1923" w:type="dxa"/>
            <w:gridSpan w:val="2"/>
            <w:shd w:val="clear" w:color="auto" w:fill="B01513" w:themeFill="accent1"/>
            <w:vAlign w:val="center"/>
          </w:tcPr>
          <w:p w14:paraId="5EA3FB0E" w14:textId="199CEE2F" w:rsidR="0093166C" w:rsidRPr="00946B58" w:rsidRDefault="0093166C" w:rsidP="00946B58">
            <w:pPr>
              <w:jc w:val="center"/>
              <w:rPr>
                <w:color w:val="F2F2F2" w:themeColor="background1" w:themeShade="F2"/>
              </w:rPr>
            </w:pPr>
            <w:r w:rsidRPr="00946B58">
              <w:rPr>
                <w:color w:val="F2F2F2" w:themeColor="background1" w:themeShade="F2"/>
              </w:rPr>
              <w:t>Avg Spent Per Person</w:t>
            </w:r>
          </w:p>
        </w:tc>
        <w:tc>
          <w:tcPr>
            <w:tcW w:w="1924" w:type="dxa"/>
            <w:shd w:val="clear" w:color="auto" w:fill="B01513" w:themeFill="accent1"/>
            <w:vAlign w:val="center"/>
          </w:tcPr>
          <w:p w14:paraId="53E335EE" w14:textId="1AE86D2C" w:rsidR="0093166C" w:rsidRPr="00946B58" w:rsidRDefault="0093166C" w:rsidP="00946B58">
            <w:pPr>
              <w:jc w:val="center"/>
              <w:rPr>
                <w:color w:val="F2F2F2" w:themeColor="background1" w:themeShade="F2"/>
              </w:rPr>
            </w:pPr>
            <w:r w:rsidRPr="00946B58">
              <w:rPr>
                <w:color w:val="F2F2F2" w:themeColor="background1" w:themeShade="F2"/>
              </w:rPr>
              <w:t>Avg Price</w:t>
            </w:r>
          </w:p>
        </w:tc>
      </w:tr>
      <w:tr w:rsidR="0093166C" w14:paraId="715243C1" w14:textId="54376707" w:rsidTr="0093166C">
        <w:trPr>
          <w:gridAfter w:val="1"/>
          <w:wAfter w:w="12" w:type="dxa"/>
          <w:trHeight w:val="466"/>
          <w:jc w:val="center"/>
        </w:trPr>
        <w:tc>
          <w:tcPr>
            <w:tcW w:w="2099" w:type="dxa"/>
            <w:gridSpan w:val="2"/>
            <w:vAlign w:val="center"/>
          </w:tcPr>
          <w:p w14:paraId="42645EE7" w14:textId="547F9778" w:rsidR="0093166C" w:rsidRDefault="0093166C" w:rsidP="00946B58">
            <w:pPr>
              <w:jc w:val="center"/>
            </w:pPr>
            <w:r w:rsidRPr="00646D74">
              <w:t>Young Adult</w:t>
            </w:r>
          </w:p>
        </w:tc>
        <w:tc>
          <w:tcPr>
            <w:tcW w:w="1923" w:type="dxa"/>
            <w:gridSpan w:val="2"/>
            <w:vAlign w:val="center"/>
          </w:tcPr>
          <w:p w14:paraId="1F998F13" w14:textId="3DE2A6C4" w:rsidR="0093166C" w:rsidRDefault="0093166C" w:rsidP="00946B58">
            <w:pPr>
              <w:jc w:val="center"/>
            </w:pPr>
            <w:r w:rsidRPr="00646D74">
              <w:t>57.0%</w:t>
            </w:r>
          </w:p>
        </w:tc>
        <w:tc>
          <w:tcPr>
            <w:tcW w:w="1924" w:type="dxa"/>
            <w:gridSpan w:val="2"/>
            <w:vAlign w:val="center"/>
          </w:tcPr>
          <w:p w14:paraId="6112867F" w14:textId="3B2494AE" w:rsidR="0093166C" w:rsidRDefault="0093166C" w:rsidP="00946B58">
            <w:pPr>
              <w:jc w:val="center"/>
            </w:pPr>
            <w:r w:rsidRPr="00646D74">
              <w:t>318</w:t>
            </w:r>
          </w:p>
        </w:tc>
        <w:tc>
          <w:tcPr>
            <w:tcW w:w="1923" w:type="dxa"/>
            <w:gridSpan w:val="2"/>
            <w:vAlign w:val="center"/>
          </w:tcPr>
          <w:p w14:paraId="1EBE91A0" w14:textId="0568AB22" w:rsidR="0093166C" w:rsidRDefault="0093166C" w:rsidP="00946B58">
            <w:pPr>
              <w:jc w:val="center"/>
            </w:pPr>
            <w:r w:rsidRPr="00646D74">
              <w:t>$4.30</w:t>
            </w:r>
          </w:p>
        </w:tc>
        <w:tc>
          <w:tcPr>
            <w:tcW w:w="1924" w:type="dxa"/>
            <w:vAlign w:val="center"/>
          </w:tcPr>
          <w:p w14:paraId="0FE578A6" w14:textId="1B79FB9D" w:rsidR="0093166C" w:rsidRDefault="0093166C" w:rsidP="00946B58">
            <w:pPr>
              <w:jc w:val="center"/>
            </w:pPr>
            <w:r w:rsidRPr="00646D74">
              <w:t>$3.06</w:t>
            </w:r>
          </w:p>
        </w:tc>
      </w:tr>
      <w:tr w:rsidR="0093166C" w14:paraId="09D1FF39" w14:textId="6160910B" w:rsidTr="0093166C">
        <w:trPr>
          <w:gridAfter w:val="1"/>
          <w:wAfter w:w="12" w:type="dxa"/>
          <w:trHeight w:val="466"/>
          <w:jc w:val="center"/>
        </w:trPr>
        <w:tc>
          <w:tcPr>
            <w:tcW w:w="2099" w:type="dxa"/>
            <w:gridSpan w:val="2"/>
            <w:vAlign w:val="center"/>
          </w:tcPr>
          <w:p w14:paraId="7BFE3FF1" w14:textId="31B67BB8" w:rsidR="0093166C" w:rsidRDefault="0093166C" w:rsidP="00946B58">
            <w:pPr>
              <w:jc w:val="center"/>
            </w:pPr>
            <w:r w:rsidRPr="00646D74">
              <w:t>Adult</w:t>
            </w:r>
          </w:p>
        </w:tc>
        <w:tc>
          <w:tcPr>
            <w:tcW w:w="1923" w:type="dxa"/>
            <w:gridSpan w:val="2"/>
            <w:vAlign w:val="center"/>
          </w:tcPr>
          <w:p w14:paraId="63E7F211" w14:textId="40B518D6" w:rsidR="0093166C" w:rsidRDefault="0093166C" w:rsidP="00946B58">
            <w:pPr>
              <w:jc w:val="center"/>
            </w:pPr>
            <w:r w:rsidRPr="00646D74">
              <w:t>22.0%</w:t>
            </w:r>
          </w:p>
        </w:tc>
        <w:tc>
          <w:tcPr>
            <w:tcW w:w="1924" w:type="dxa"/>
            <w:gridSpan w:val="2"/>
            <w:vAlign w:val="center"/>
          </w:tcPr>
          <w:p w14:paraId="543E5735" w14:textId="7E869F28" w:rsidR="0093166C" w:rsidRDefault="0093166C" w:rsidP="00946B58">
            <w:pPr>
              <w:jc w:val="center"/>
            </w:pPr>
            <w:r w:rsidRPr="00646D74">
              <w:t>129</w:t>
            </w:r>
          </w:p>
        </w:tc>
        <w:tc>
          <w:tcPr>
            <w:tcW w:w="1923" w:type="dxa"/>
            <w:gridSpan w:val="2"/>
            <w:vAlign w:val="center"/>
          </w:tcPr>
          <w:p w14:paraId="76A46EB5" w14:textId="0D94C46F" w:rsidR="0093166C" w:rsidRDefault="0093166C" w:rsidP="00946B58">
            <w:pPr>
              <w:jc w:val="center"/>
            </w:pPr>
            <w:r w:rsidRPr="00646D74">
              <w:t>$3.96</w:t>
            </w:r>
          </w:p>
        </w:tc>
        <w:tc>
          <w:tcPr>
            <w:tcW w:w="1924" w:type="dxa"/>
            <w:vAlign w:val="center"/>
          </w:tcPr>
          <w:p w14:paraId="1D380985" w14:textId="1F409664" w:rsidR="0093166C" w:rsidRDefault="0093166C" w:rsidP="00946B58">
            <w:pPr>
              <w:jc w:val="center"/>
            </w:pPr>
            <w:r w:rsidRPr="00646D74">
              <w:t>$3.02</w:t>
            </w:r>
          </w:p>
        </w:tc>
      </w:tr>
      <w:tr w:rsidR="0093166C" w14:paraId="14BE144C" w14:textId="09403058" w:rsidTr="0093166C">
        <w:trPr>
          <w:gridAfter w:val="1"/>
          <w:wAfter w:w="12" w:type="dxa"/>
          <w:trHeight w:val="448"/>
          <w:jc w:val="center"/>
        </w:trPr>
        <w:tc>
          <w:tcPr>
            <w:tcW w:w="2099" w:type="dxa"/>
            <w:gridSpan w:val="2"/>
            <w:vAlign w:val="center"/>
          </w:tcPr>
          <w:p w14:paraId="5838E142" w14:textId="0BD6396C" w:rsidR="0093166C" w:rsidRDefault="0093166C" w:rsidP="00946B58">
            <w:pPr>
              <w:jc w:val="center"/>
            </w:pPr>
            <w:r w:rsidRPr="00646D74">
              <w:t>Minor</w:t>
            </w:r>
          </w:p>
        </w:tc>
        <w:tc>
          <w:tcPr>
            <w:tcW w:w="1923" w:type="dxa"/>
            <w:gridSpan w:val="2"/>
            <w:vAlign w:val="center"/>
          </w:tcPr>
          <w:p w14:paraId="1926799F" w14:textId="34659577" w:rsidR="0093166C" w:rsidRDefault="0093166C" w:rsidP="00946B58">
            <w:pPr>
              <w:jc w:val="center"/>
            </w:pPr>
            <w:r w:rsidRPr="00646D74">
              <w:t>17.0%</w:t>
            </w:r>
          </w:p>
        </w:tc>
        <w:tc>
          <w:tcPr>
            <w:tcW w:w="1924" w:type="dxa"/>
            <w:gridSpan w:val="2"/>
            <w:vAlign w:val="center"/>
          </w:tcPr>
          <w:p w14:paraId="741477AA" w14:textId="3823B6AB" w:rsidR="0093166C" w:rsidRDefault="0093166C" w:rsidP="00946B58">
            <w:pPr>
              <w:jc w:val="center"/>
            </w:pPr>
            <w:r w:rsidRPr="00646D74">
              <w:t>105</w:t>
            </w:r>
          </w:p>
        </w:tc>
        <w:tc>
          <w:tcPr>
            <w:tcW w:w="1923" w:type="dxa"/>
            <w:gridSpan w:val="2"/>
            <w:vAlign w:val="center"/>
          </w:tcPr>
          <w:p w14:paraId="503FA9B8" w14:textId="4D23A00D" w:rsidR="0093166C" w:rsidRDefault="0093166C" w:rsidP="00946B58">
            <w:pPr>
              <w:jc w:val="center"/>
            </w:pPr>
            <w:r w:rsidRPr="00646D74">
              <w:t>$3.75</w:t>
            </w:r>
          </w:p>
        </w:tc>
        <w:tc>
          <w:tcPr>
            <w:tcW w:w="1924" w:type="dxa"/>
            <w:vAlign w:val="center"/>
          </w:tcPr>
          <w:p w14:paraId="355EE684" w14:textId="6ABFFC12" w:rsidR="0093166C" w:rsidRDefault="0093166C" w:rsidP="00946B58">
            <w:pPr>
              <w:jc w:val="center"/>
            </w:pPr>
            <w:r w:rsidRPr="00646D74">
              <w:t>$2.98</w:t>
            </w:r>
          </w:p>
        </w:tc>
      </w:tr>
      <w:tr w:rsidR="002C7B3D" w14:paraId="32F7E94A" w14:textId="77777777" w:rsidTr="0093166C">
        <w:trPr>
          <w:gridAfter w:val="1"/>
          <w:wAfter w:w="12" w:type="dxa"/>
          <w:trHeight w:val="448"/>
          <w:jc w:val="center"/>
        </w:trPr>
        <w:tc>
          <w:tcPr>
            <w:tcW w:w="2099" w:type="dxa"/>
            <w:gridSpan w:val="2"/>
            <w:vAlign w:val="center"/>
          </w:tcPr>
          <w:p w14:paraId="1B2005CC" w14:textId="371B1CBD" w:rsidR="002C7B3D" w:rsidRPr="00646D74" w:rsidRDefault="002C7B3D" w:rsidP="00946B58">
            <w:pPr>
              <w:jc w:val="center"/>
            </w:pPr>
            <w:r>
              <w:t>Child</w:t>
            </w:r>
          </w:p>
        </w:tc>
        <w:tc>
          <w:tcPr>
            <w:tcW w:w="1923" w:type="dxa"/>
            <w:gridSpan w:val="2"/>
            <w:vAlign w:val="center"/>
          </w:tcPr>
          <w:p w14:paraId="368B27AB" w14:textId="2EF9D813" w:rsidR="002C7B3D" w:rsidRPr="00646D74" w:rsidRDefault="002C7B3D" w:rsidP="00946B58">
            <w:pPr>
              <w:jc w:val="center"/>
            </w:pPr>
            <w:r>
              <w:t>4.0%</w:t>
            </w:r>
          </w:p>
        </w:tc>
        <w:tc>
          <w:tcPr>
            <w:tcW w:w="1924" w:type="dxa"/>
            <w:gridSpan w:val="2"/>
            <w:vAlign w:val="center"/>
          </w:tcPr>
          <w:p w14:paraId="137DACAE" w14:textId="3FE08FBE" w:rsidR="002C7B3D" w:rsidRPr="00646D74" w:rsidRDefault="002C7B3D" w:rsidP="00946B58">
            <w:pPr>
              <w:jc w:val="center"/>
            </w:pPr>
            <w:r>
              <w:t>24</w:t>
            </w:r>
          </w:p>
        </w:tc>
        <w:tc>
          <w:tcPr>
            <w:tcW w:w="1923" w:type="dxa"/>
            <w:gridSpan w:val="2"/>
            <w:vAlign w:val="center"/>
          </w:tcPr>
          <w:p w14:paraId="575655B8" w14:textId="7F7B2AF0" w:rsidR="002C7B3D" w:rsidRPr="00646D74" w:rsidRDefault="002C7B3D" w:rsidP="00946B58">
            <w:pPr>
              <w:jc w:val="center"/>
            </w:pPr>
            <w:r>
              <w:t>$4.54</w:t>
            </w:r>
          </w:p>
        </w:tc>
        <w:tc>
          <w:tcPr>
            <w:tcW w:w="1924" w:type="dxa"/>
            <w:vAlign w:val="center"/>
          </w:tcPr>
          <w:p w14:paraId="26234AC3" w14:textId="4FABB61C" w:rsidR="002C7B3D" w:rsidRPr="00646D74" w:rsidRDefault="002C7B3D" w:rsidP="00946B58">
            <w:pPr>
              <w:jc w:val="center"/>
            </w:pPr>
            <w:r>
              <w:t>$3.40</w:t>
            </w:r>
          </w:p>
        </w:tc>
      </w:tr>
      <w:tr w:rsidR="0093166C" w14:paraId="17625AE2" w14:textId="41665596" w:rsidTr="0093166C">
        <w:trPr>
          <w:gridAfter w:val="1"/>
          <w:wAfter w:w="12" w:type="dxa"/>
          <w:trHeight w:val="701"/>
          <w:jc w:val="center"/>
        </w:trPr>
        <w:tc>
          <w:tcPr>
            <w:tcW w:w="9793" w:type="dxa"/>
            <w:gridSpan w:val="9"/>
            <w:shd w:val="clear" w:color="auto" w:fill="D9D9D9" w:themeFill="background1" w:themeFillShade="D9"/>
            <w:vAlign w:val="center"/>
          </w:tcPr>
          <w:p w14:paraId="0DEE3DBA" w14:textId="21121D71" w:rsidR="0093166C" w:rsidRDefault="0093166C" w:rsidP="00B7164B">
            <w:pPr>
              <w:pStyle w:val="Heading1"/>
              <w:spacing w:before="0"/>
              <w:outlineLvl w:val="0"/>
            </w:pPr>
            <w:r>
              <w:t>Gender Groups Analysis</w:t>
            </w:r>
          </w:p>
        </w:tc>
      </w:tr>
      <w:tr w:rsidR="0093166C" w:rsidRPr="00946B58" w14:paraId="0A305700" w14:textId="07C2C112" w:rsidTr="0093166C">
        <w:trPr>
          <w:gridAfter w:val="1"/>
          <w:wAfter w:w="12" w:type="dxa"/>
          <w:trHeight w:val="566"/>
          <w:jc w:val="center"/>
        </w:trPr>
        <w:tc>
          <w:tcPr>
            <w:tcW w:w="2099" w:type="dxa"/>
            <w:gridSpan w:val="2"/>
            <w:shd w:val="clear" w:color="auto" w:fill="B01513" w:themeFill="accent1"/>
            <w:vAlign w:val="center"/>
          </w:tcPr>
          <w:p w14:paraId="3345569C" w14:textId="6A9FF37D" w:rsidR="0093166C" w:rsidRPr="00946B58" w:rsidRDefault="0093166C" w:rsidP="00D20111">
            <w:pPr>
              <w:jc w:val="center"/>
              <w:rPr>
                <w:color w:val="F2F2F2" w:themeColor="background1" w:themeShade="F2"/>
              </w:rPr>
            </w:pPr>
            <w:r w:rsidRPr="00BE53F7">
              <w:rPr>
                <w:color w:val="F2F2F2" w:themeColor="background1" w:themeShade="F2"/>
              </w:rPr>
              <w:t>Gender</w:t>
            </w:r>
          </w:p>
        </w:tc>
        <w:tc>
          <w:tcPr>
            <w:tcW w:w="1923" w:type="dxa"/>
            <w:gridSpan w:val="2"/>
            <w:shd w:val="clear" w:color="auto" w:fill="B01513" w:themeFill="accent1"/>
            <w:vAlign w:val="center"/>
          </w:tcPr>
          <w:p w14:paraId="06187598" w14:textId="7A387FAA" w:rsidR="0093166C" w:rsidRPr="00946B58" w:rsidRDefault="0093166C" w:rsidP="00D20111">
            <w:pPr>
              <w:jc w:val="center"/>
              <w:rPr>
                <w:color w:val="F2F2F2" w:themeColor="background1" w:themeShade="F2"/>
              </w:rPr>
            </w:pPr>
            <w:r w:rsidRPr="00BE53F7">
              <w:rPr>
                <w:color w:val="F2F2F2" w:themeColor="background1" w:themeShade="F2"/>
              </w:rPr>
              <w:t>Percentage</w:t>
            </w:r>
          </w:p>
        </w:tc>
        <w:tc>
          <w:tcPr>
            <w:tcW w:w="1924" w:type="dxa"/>
            <w:gridSpan w:val="2"/>
            <w:shd w:val="clear" w:color="auto" w:fill="B01513" w:themeFill="accent1"/>
            <w:vAlign w:val="center"/>
          </w:tcPr>
          <w:p w14:paraId="7363F04D" w14:textId="5FA18D5C" w:rsidR="0093166C" w:rsidRPr="00946B58" w:rsidRDefault="0093166C" w:rsidP="00D20111">
            <w:pPr>
              <w:jc w:val="center"/>
              <w:rPr>
                <w:color w:val="F2F2F2" w:themeColor="background1" w:themeShade="F2"/>
              </w:rPr>
            </w:pPr>
            <w:r w:rsidRPr="00946B58">
              <w:rPr>
                <w:color w:val="F2F2F2" w:themeColor="background1" w:themeShade="F2"/>
              </w:rPr>
              <w:t>Number of Purchases</w:t>
            </w:r>
          </w:p>
        </w:tc>
        <w:tc>
          <w:tcPr>
            <w:tcW w:w="1923" w:type="dxa"/>
            <w:gridSpan w:val="2"/>
            <w:shd w:val="clear" w:color="auto" w:fill="B01513" w:themeFill="accent1"/>
            <w:vAlign w:val="center"/>
          </w:tcPr>
          <w:p w14:paraId="5C06C0FE" w14:textId="56CC8C29" w:rsidR="0093166C" w:rsidRPr="00946B58" w:rsidRDefault="0093166C" w:rsidP="00D20111">
            <w:pPr>
              <w:jc w:val="center"/>
              <w:rPr>
                <w:color w:val="F2F2F2" w:themeColor="background1" w:themeShade="F2"/>
              </w:rPr>
            </w:pPr>
            <w:r w:rsidRPr="00946B58">
              <w:rPr>
                <w:color w:val="F2F2F2" w:themeColor="background1" w:themeShade="F2"/>
              </w:rPr>
              <w:t>Avg Spent Per Person</w:t>
            </w:r>
          </w:p>
        </w:tc>
        <w:tc>
          <w:tcPr>
            <w:tcW w:w="1924" w:type="dxa"/>
            <w:shd w:val="clear" w:color="auto" w:fill="B01513" w:themeFill="accent1"/>
            <w:vAlign w:val="center"/>
          </w:tcPr>
          <w:p w14:paraId="0A26B668" w14:textId="7A9683C9" w:rsidR="0093166C" w:rsidRPr="00946B58" w:rsidRDefault="0093166C" w:rsidP="00D20111">
            <w:pPr>
              <w:jc w:val="center"/>
              <w:rPr>
                <w:color w:val="F2F2F2" w:themeColor="background1" w:themeShade="F2"/>
              </w:rPr>
            </w:pPr>
            <w:r w:rsidRPr="00946B58">
              <w:rPr>
                <w:color w:val="F2F2F2" w:themeColor="background1" w:themeShade="F2"/>
              </w:rPr>
              <w:t>Avg Price</w:t>
            </w:r>
          </w:p>
        </w:tc>
      </w:tr>
      <w:tr w:rsidR="0093166C" w14:paraId="617F4E53" w14:textId="17F0C4F9" w:rsidTr="0093166C">
        <w:trPr>
          <w:gridAfter w:val="1"/>
          <w:wAfter w:w="12" w:type="dxa"/>
          <w:trHeight w:val="448"/>
          <w:jc w:val="center"/>
        </w:trPr>
        <w:tc>
          <w:tcPr>
            <w:tcW w:w="2099" w:type="dxa"/>
            <w:gridSpan w:val="2"/>
            <w:vAlign w:val="center"/>
          </w:tcPr>
          <w:p w14:paraId="2A68332F" w14:textId="2662DA30" w:rsidR="0093166C" w:rsidRPr="00BE53F7" w:rsidRDefault="0093166C" w:rsidP="00BE53F7">
            <w:pPr>
              <w:jc w:val="center"/>
            </w:pPr>
            <w:r w:rsidRPr="00BE53F7">
              <w:t>Male</w:t>
            </w:r>
          </w:p>
        </w:tc>
        <w:tc>
          <w:tcPr>
            <w:tcW w:w="1923" w:type="dxa"/>
            <w:gridSpan w:val="2"/>
            <w:vAlign w:val="center"/>
          </w:tcPr>
          <w:p w14:paraId="7A806E4F" w14:textId="2C4C241A" w:rsidR="0093166C" w:rsidRPr="00BE53F7" w:rsidRDefault="0093166C" w:rsidP="00BE53F7">
            <w:pPr>
              <w:jc w:val="center"/>
            </w:pPr>
            <w:r w:rsidRPr="00BE53F7">
              <w:t>83.6%</w:t>
            </w:r>
          </w:p>
        </w:tc>
        <w:tc>
          <w:tcPr>
            <w:tcW w:w="1924" w:type="dxa"/>
            <w:gridSpan w:val="2"/>
            <w:vAlign w:val="center"/>
          </w:tcPr>
          <w:p w14:paraId="2C14BD8B" w14:textId="4290BAFB" w:rsidR="0093166C" w:rsidRPr="00BE53F7" w:rsidRDefault="0093166C" w:rsidP="00BE53F7">
            <w:pPr>
              <w:jc w:val="center"/>
            </w:pPr>
            <w:r w:rsidRPr="00BE53F7">
              <w:t>484</w:t>
            </w:r>
          </w:p>
        </w:tc>
        <w:tc>
          <w:tcPr>
            <w:tcW w:w="1923" w:type="dxa"/>
            <w:gridSpan w:val="2"/>
            <w:vAlign w:val="center"/>
          </w:tcPr>
          <w:p w14:paraId="32B84641" w14:textId="5EFDD399" w:rsidR="0093166C" w:rsidRPr="00BE53F7" w:rsidRDefault="0093166C" w:rsidP="00BE53F7">
            <w:pPr>
              <w:jc w:val="center"/>
            </w:pPr>
            <w:r w:rsidRPr="00BE53F7">
              <w:t>$4.07</w:t>
            </w:r>
          </w:p>
        </w:tc>
        <w:tc>
          <w:tcPr>
            <w:tcW w:w="1924" w:type="dxa"/>
            <w:vAlign w:val="center"/>
          </w:tcPr>
          <w:p w14:paraId="626BED66" w14:textId="2DE8D4B6" w:rsidR="0093166C" w:rsidRPr="00BE53F7" w:rsidRDefault="0093166C" w:rsidP="00BE53F7">
            <w:pPr>
              <w:jc w:val="center"/>
            </w:pPr>
            <w:r w:rsidRPr="00BE53F7">
              <w:t>$3.02</w:t>
            </w:r>
          </w:p>
        </w:tc>
      </w:tr>
      <w:tr w:rsidR="0093166C" w14:paraId="102513FE" w14:textId="33910638" w:rsidTr="0093166C">
        <w:trPr>
          <w:gridAfter w:val="1"/>
          <w:wAfter w:w="12" w:type="dxa"/>
          <w:trHeight w:val="448"/>
          <w:jc w:val="center"/>
        </w:trPr>
        <w:tc>
          <w:tcPr>
            <w:tcW w:w="2099" w:type="dxa"/>
            <w:gridSpan w:val="2"/>
            <w:vAlign w:val="center"/>
          </w:tcPr>
          <w:p w14:paraId="54F199C8" w14:textId="23942671" w:rsidR="0093166C" w:rsidRPr="00BE53F7" w:rsidRDefault="0093166C" w:rsidP="00BE53F7">
            <w:pPr>
              <w:jc w:val="center"/>
            </w:pPr>
            <w:r w:rsidRPr="00BE53F7">
              <w:t>Female</w:t>
            </w:r>
          </w:p>
        </w:tc>
        <w:tc>
          <w:tcPr>
            <w:tcW w:w="1923" w:type="dxa"/>
            <w:gridSpan w:val="2"/>
            <w:vAlign w:val="center"/>
          </w:tcPr>
          <w:p w14:paraId="53A578E1" w14:textId="05937B52" w:rsidR="0093166C" w:rsidRPr="00BE53F7" w:rsidRDefault="0093166C" w:rsidP="00BE53F7">
            <w:pPr>
              <w:jc w:val="center"/>
            </w:pPr>
            <w:r w:rsidRPr="00BE53F7">
              <w:t>14.5%</w:t>
            </w:r>
          </w:p>
        </w:tc>
        <w:tc>
          <w:tcPr>
            <w:tcW w:w="1924" w:type="dxa"/>
            <w:gridSpan w:val="2"/>
            <w:vAlign w:val="center"/>
          </w:tcPr>
          <w:p w14:paraId="0E1B26CF" w14:textId="05EEAA19" w:rsidR="0093166C" w:rsidRPr="00BE53F7" w:rsidRDefault="0093166C" w:rsidP="00BE53F7">
            <w:pPr>
              <w:jc w:val="center"/>
            </w:pPr>
            <w:r w:rsidRPr="00BE53F7">
              <w:t>81</w:t>
            </w:r>
          </w:p>
        </w:tc>
        <w:tc>
          <w:tcPr>
            <w:tcW w:w="1923" w:type="dxa"/>
            <w:gridSpan w:val="2"/>
            <w:vAlign w:val="center"/>
          </w:tcPr>
          <w:p w14:paraId="42AC8939" w14:textId="30002220" w:rsidR="0093166C" w:rsidRPr="00BE53F7" w:rsidRDefault="0093166C" w:rsidP="00BE53F7">
            <w:pPr>
              <w:jc w:val="center"/>
            </w:pPr>
            <w:r w:rsidRPr="00BE53F7">
              <w:t>$4.47</w:t>
            </w:r>
          </w:p>
        </w:tc>
        <w:tc>
          <w:tcPr>
            <w:tcW w:w="1924" w:type="dxa"/>
            <w:vAlign w:val="center"/>
          </w:tcPr>
          <w:p w14:paraId="7019281F" w14:textId="102A0370" w:rsidR="0093166C" w:rsidRPr="00BE53F7" w:rsidRDefault="0093166C" w:rsidP="00BE53F7">
            <w:pPr>
              <w:jc w:val="center"/>
            </w:pPr>
            <w:r w:rsidRPr="00BE53F7">
              <w:t>$3.20</w:t>
            </w:r>
          </w:p>
        </w:tc>
      </w:tr>
      <w:tr w:rsidR="0093166C" w14:paraId="303B39AE" w14:textId="1F4B6FC5" w:rsidTr="0093166C">
        <w:trPr>
          <w:gridAfter w:val="1"/>
          <w:wAfter w:w="12" w:type="dxa"/>
          <w:trHeight w:val="448"/>
          <w:jc w:val="center"/>
        </w:trPr>
        <w:tc>
          <w:tcPr>
            <w:tcW w:w="2099" w:type="dxa"/>
            <w:gridSpan w:val="2"/>
            <w:vAlign w:val="center"/>
          </w:tcPr>
          <w:p w14:paraId="594176AB" w14:textId="4140B4E6" w:rsidR="0093166C" w:rsidRPr="00BE53F7" w:rsidRDefault="0093166C" w:rsidP="00BE53F7">
            <w:pPr>
              <w:jc w:val="center"/>
            </w:pPr>
            <w:r w:rsidRPr="00BE53F7">
              <w:t>Other / Non-Disclosed</w:t>
            </w:r>
          </w:p>
        </w:tc>
        <w:tc>
          <w:tcPr>
            <w:tcW w:w="1923" w:type="dxa"/>
            <w:gridSpan w:val="2"/>
            <w:vAlign w:val="center"/>
          </w:tcPr>
          <w:p w14:paraId="3F72642C" w14:textId="6A68B192" w:rsidR="0093166C" w:rsidRPr="00BE53F7" w:rsidRDefault="0093166C" w:rsidP="00BE53F7">
            <w:pPr>
              <w:jc w:val="center"/>
            </w:pPr>
            <w:r w:rsidRPr="00BE53F7">
              <w:t>1.9%</w:t>
            </w:r>
          </w:p>
        </w:tc>
        <w:tc>
          <w:tcPr>
            <w:tcW w:w="1924" w:type="dxa"/>
            <w:gridSpan w:val="2"/>
            <w:vAlign w:val="center"/>
          </w:tcPr>
          <w:p w14:paraId="2279D4F6" w14:textId="4D711BF5" w:rsidR="0093166C" w:rsidRPr="00BE53F7" w:rsidRDefault="0093166C" w:rsidP="00BE53F7">
            <w:pPr>
              <w:jc w:val="center"/>
            </w:pPr>
            <w:r w:rsidRPr="00BE53F7">
              <w:t>11</w:t>
            </w:r>
          </w:p>
        </w:tc>
        <w:tc>
          <w:tcPr>
            <w:tcW w:w="1923" w:type="dxa"/>
            <w:gridSpan w:val="2"/>
            <w:vAlign w:val="center"/>
          </w:tcPr>
          <w:p w14:paraId="36EBA734" w14:textId="074A71C1" w:rsidR="0093166C" w:rsidRPr="00BE53F7" w:rsidRDefault="0093166C" w:rsidP="00BE53F7">
            <w:pPr>
              <w:jc w:val="center"/>
            </w:pPr>
            <w:r w:rsidRPr="00BE53F7">
              <w:t>$4.56</w:t>
            </w:r>
          </w:p>
        </w:tc>
        <w:tc>
          <w:tcPr>
            <w:tcW w:w="1924" w:type="dxa"/>
            <w:vAlign w:val="center"/>
          </w:tcPr>
          <w:p w14:paraId="097A3476" w14:textId="4DFAB43B" w:rsidR="0093166C" w:rsidRPr="00BE53F7" w:rsidRDefault="0093166C" w:rsidP="00BE53F7">
            <w:pPr>
              <w:jc w:val="center"/>
            </w:pPr>
            <w:r w:rsidRPr="00BE53F7">
              <w:t>$3.35</w:t>
            </w:r>
          </w:p>
        </w:tc>
      </w:tr>
      <w:tr w:rsidR="0093166C" w14:paraId="533637FB" w14:textId="52A94C6D" w:rsidTr="0093166C">
        <w:trPr>
          <w:gridAfter w:val="1"/>
          <w:wAfter w:w="12" w:type="dxa"/>
          <w:trHeight w:val="719"/>
          <w:jc w:val="center"/>
        </w:trPr>
        <w:tc>
          <w:tcPr>
            <w:tcW w:w="9793" w:type="dxa"/>
            <w:gridSpan w:val="9"/>
            <w:shd w:val="clear" w:color="auto" w:fill="D9D9D9" w:themeFill="background1" w:themeFillShade="D9"/>
            <w:vAlign w:val="center"/>
          </w:tcPr>
          <w:p w14:paraId="43E5CA63" w14:textId="0949EB48" w:rsidR="0093166C" w:rsidRDefault="0093166C" w:rsidP="00B7164B">
            <w:pPr>
              <w:pStyle w:val="Heading1"/>
              <w:spacing w:before="0"/>
              <w:outlineLvl w:val="0"/>
            </w:pPr>
            <w:r>
              <w:t xml:space="preserve">Top </w:t>
            </w:r>
            <w:r w:rsidR="002C7B3D">
              <w:t>5</w:t>
            </w:r>
            <w:r>
              <w:t xml:space="preserve"> Product Analysis</w:t>
            </w:r>
          </w:p>
        </w:tc>
      </w:tr>
      <w:tr w:rsidR="0093166C" w:rsidRPr="00946B58" w14:paraId="195A86C7" w14:textId="61921B2B" w:rsidTr="0093166C">
        <w:trPr>
          <w:trHeight w:val="503"/>
          <w:jc w:val="center"/>
        </w:trPr>
        <w:tc>
          <w:tcPr>
            <w:tcW w:w="2065" w:type="dxa"/>
            <w:shd w:val="clear" w:color="auto" w:fill="B01513" w:themeFill="accent1"/>
            <w:vAlign w:val="center"/>
          </w:tcPr>
          <w:p w14:paraId="620E710C" w14:textId="33E8E9FC" w:rsidR="00D20111" w:rsidRPr="00946B58" w:rsidRDefault="00D20111" w:rsidP="003630E1">
            <w:pPr>
              <w:jc w:val="center"/>
              <w:rPr>
                <w:color w:val="F2F2F2" w:themeColor="background1" w:themeShade="F2"/>
              </w:rPr>
            </w:pPr>
            <w:r w:rsidRPr="003630E1">
              <w:rPr>
                <w:color w:val="F2F2F2" w:themeColor="background1" w:themeShade="F2"/>
              </w:rPr>
              <w:t>Item Name</w:t>
            </w:r>
          </w:p>
        </w:tc>
        <w:tc>
          <w:tcPr>
            <w:tcW w:w="1852" w:type="dxa"/>
            <w:gridSpan w:val="2"/>
            <w:shd w:val="clear" w:color="auto" w:fill="B01513" w:themeFill="accent1"/>
            <w:vAlign w:val="center"/>
          </w:tcPr>
          <w:p w14:paraId="5F13C388" w14:textId="0965331B" w:rsidR="00D20111" w:rsidRPr="00946B58" w:rsidRDefault="00D20111" w:rsidP="003630E1">
            <w:pPr>
              <w:jc w:val="center"/>
              <w:rPr>
                <w:color w:val="F2F2F2" w:themeColor="background1" w:themeShade="F2"/>
              </w:rPr>
            </w:pPr>
            <w:r w:rsidRPr="003630E1">
              <w:rPr>
                <w:color w:val="F2F2F2" w:themeColor="background1" w:themeShade="F2"/>
              </w:rPr>
              <w:t>Gender</w:t>
            </w:r>
          </w:p>
        </w:tc>
        <w:tc>
          <w:tcPr>
            <w:tcW w:w="1958" w:type="dxa"/>
            <w:gridSpan w:val="2"/>
            <w:shd w:val="clear" w:color="auto" w:fill="B01513" w:themeFill="accent1"/>
            <w:vAlign w:val="center"/>
          </w:tcPr>
          <w:p w14:paraId="14412102" w14:textId="0A663C06" w:rsidR="00D20111" w:rsidRPr="00946B58" w:rsidRDefault="00D20111" w:rsidP="003630E1">
            <w:pPr>
              <w:jc w:val="center"/>
              <w:rPr>
                <w:color w:val="F2F2F2" w:themeColor="background1" w:themeShade="F2"/>
              </w:rPr>
            </w:pPr>
            <w:r w:rsidRPr="003630E1">
              <w:rPr>
                <w:color w:val="F2F2F2" w:themeColor="background1" w:themeShade="F2"/>
              </w:rPr>
              <w:t>Age Group</w:t>
            </w:r>
          </w:p>
        </w:tc>
        <w:tc>
          <w:tcPr>
            <w:tcW w:w="1959" w:type="dxa"/>
            <w:gridSpan w:val="2"/>
            <w:shd w:val="clear" w:color="auto" w:fill="B01513" w:themeFill="accent1"/>
            <w:vAlign w:val="center"/>
          </w:tcPr>
          <w:p w14:paraId="219C1315" w14:textId="64229D82" w:rsidR="00D20111" w:rsidRPr="00946B58" w:rsidRDefault="00D20111" w:rsidP="003630E1">
            <w:pPr>
              <w:jc w:val="center"/>
              <w:rPr>
                <w:color w:val="F2F2F2" w:themeColor="background1" w:themeShade="F2"/>
              </w:rPr>
            </w:pPr>
            <w:r w:rsidRPr="003630E1">
              <w:rPr>
                <w:color w:val="F2F2F2" w:themeColor="background1" w:themeShade="F2"/>
              </w:rPr>
              <w:t>Total Purchases</w:t>
            </w:r>
          </w:p>
        </w:tc>
        <w:tc>
          <w:tcPr>
            <w:tcW w:w="1971" w:type="dxa"/>
            <w:gridSpan w:val="3"/>
            <w:shd w:val="clear" w:color="auto" w:fill="B01513" w:themeFill="accent1"/>
            <w:vAlign w:val="center"/>
          </w:tcPr>
          <w:p w14:paraId="3D292D58" w14:textId="49A1A059" w:rsidR="00D20111" w:rsidRPr="003630E1" w:rsidRDefault="0093166C" w:rsidP="003630E1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Total Value</w:t>
            </w:r>
          </w:p>
        </w:tc>
      </w:tr>
      <w:tr w:rsidR="0093166C" w14:paraId="059D1172" w14:textId="6FBD51F2" w:rsidTr="0093166C">
        <w:trPr>
          <w:trHeight w:val="515"/>
          <w:jc w:val="center"/>
        </w:trPr>
        <w:tc>
          <w:tcPr>
            <w:tcW w:w="2065" w:type="dxa"/>
            <w:vAlign w:val="center"/>
          </w:tcPr>
          <w:p w14:paraId="73A5D20A" w14:textId="0F0024AF" w:rsidR="0093166C" w:rsidRPr="00BE53F7" w:rsidRDefault="0093166C" w:rsidP="0093166C">
            <w:pPr>
              <w:jc w:val="right"/>
            </w:pPr>
            <w:r w:rsidRPr="0093166C">
              <w:t>Persuasion</w:t>
            </w:r>
          </w:p>
        </w:tc>
        <w:tc>
          <w:tcPr>
            <w:tcW w:w="1852" w:type="dxa"/>
            <w:gridSpan w:val="2"/>
            <w:vAlign w:val="center"/>
          </w:tcPr>
          <w:p w14:paraId="3B77B3E2" w14:textId="7B7BD3A0" w:rsidR="0093166C" w:rsidRPr="00BE53F7" w:rsidRDefault="0093166C" w:rsidP="0093166C">
            <w:pPr>
              <w:jc w:val="center"/>
            </w:pPr>
            <w:r w:rsidRPr="0093166C">
              <w:t>Male</w:t>
            </w:r>
          </w:p>
        </w:tc>
        <w:tc>
          <w:tcPr>
            <w:tcW w:w="1958" w:type="dxa"/>
            <w:gridSpan w:val="2"/>
            <w:vAlign w:val="center"/>
          </w:tcPr>
          <w:p w14:paraId="7A3CAE74" w14:textId="416A3C44" w:rsidR="0093166C" w:rsidRPr="00BE53F7" w:rsidRDefault="0093166C" w:rsidP="0093166C">
            <w:pPr>
              <w:jc w:val="center"/>
            </w:pPr>
            <w:r w:rsidRPr="0093166C">
              <w:t>Young Adult</w:t>
            </w:r>
          </w:p>
        </w:tc>
        <w:tc>
          <w:tcPr>
            <w:tcW w:w="1959" w:type="dxa"/>
            <w:gridSpan w:val="2"/>
            <w:vAlign w:val="center"/>
          </w:tcPr>
          <w:p w14:paraId="04FD91AE" w14:textId="6A41A03B" w:rsidR="0093166C" w:rsidRPr="00BE53F7" w:rsidRDefault="0093166C" w:rsidP="0093166C">
            <w:pPr>
              <w:jc w:val="center"/>
            </w:pPr>
            <w:r w:rsidRPr="0093166C">
              <w:t>7</w:t>
            </w:r>
          </w:p>
        </w:tc>
        <w:tc>
          <w:tcPr>
            <w:tcW w:w="1971" w:type="dxa"/>
            <w:gridSpan w:val="3"/>
            <w:vAlign w:val="center"/>
          </w:tcPr>
          <w:p w14:paraId="4CFDADF8" w14:textId="58915245" w:rsidR="0093166C" w:rsidRPr="00BD08B4" w:rsidRDefault="0093166C" w:rsidP="0093166C">
            <w:pPr>
              <w:jc w:val="center"/>
            </w:pPr>
            <w:r>
              <w:t>$</w:t>
            </w:r>
            <w:r w:rsidRPr="0093166C">
              <w:t>22.47</w:t>
            </w:r>
          </w:p>
        </w:tc>
      </w:tr>
      <w:tr w:rsidR="0093166C" w14:paraId="34C6935F" w14:textId="3B07E314" w:rsidTr="0093166C">
        <w:trPr>
          <w:trHeight w:val="515"/>
          <w:jc w:val="center"/>
        </w:trPr>
        <w:tc>
          <w:tcPr>
            <w:tcW w:w="2065" w:type="dxa"/>
            <w:vAlign w:val="center"/>
          </w:tcPr>
          <w:p w14:paraId="75B2E70D" w14:textId="545CD0EF" w:rsidR="0093166C" w:rsidRPr="00BE53F7" w:rsidRDefault="0093166C" w:rsidP="0093166C">
            <w:pPr>
              <w:jc w:val="right"/>
            </w:pPr>
            <w:r w:rsidRPr="0093166C">
              <w:t>Final Critic</w:t>
            </w:r>
          </w:p>
        </w:tc>
        <w:tc>
          <w:tcPr>
            <w:tcW w:w="1852" w:type="dxa"/>
            <w:gridSpan w:val="2"/>
            <w:vAlign w:val="center"/>
          </w:tcPr>
          <w:p w14:paraId="6B56D71B" w14:textId="2B4DD197" w:rsidR="0093166C" w:rsidRPr="00BE53F7" w:rsidRDefault="0093166C" w:rsidP="0093166C">
            <w:pPr>
              <w:jc w:val="center"/>
            </w:pPr>
            <w:r w:rsidRPr="0093166C">
              <w:t>Male</w:t>
            </w:r>
          </w:p>
        </w:tc>
        <w:tc>
          <w:tcPr>
            <w:tcW w:w="1958" w:type="dxa"/>
            <w:gridSpan w:val="2"/>
            <w:vAlign w:val="center"/>
          </w:tcPr>
          <w:p w14:paraId="7D870A89" w14:textId="1B1765A9" w:rsidR="0093166C" w:rsidRPr="00BE53F7" w:rsidRDefault="0093166C" w:rsidP="0093166C">
            <w:pPr>
              <w:jc w:val="center"/>
            </w:pPr>
            <w:r w:rsidRPr="0093166C">
              <w:t>Young Adult</w:t>
            </w:r>
          </w:p>
        </w:tc>
        <w:tc>
          <w:tcPr>
            <w:tcW w:w="1959" w:type="dxa"/>
            <w:gridSpan w:val="2"/>
            <w:vAlign w:val="center"/>
          </w:tcPr>
          <w:p w14:paraId="40AC20FB" w14:textId="05C5B5AD" w:rsidR="0093166C" w:rsidRPr="00BE53F7" w:rsidRDefault="0093166C" w:rsidP="0093166C">
            <w:pPr>
              <w:jc w:val="center"/>
            </w:pPr>
            <w:r w:rsidRPr="0093166C">
              <w:t>6</w:t>
            </w:r>
          </w:p>
        </w:tc>
        <w:tc>
          <w:tcPr>
            <w:tcW w:w="1971" w:type="dxa"/>
            <w:gridSpan w:val="3"/>
            <w:vAlign w:val="center"/>
          </w:tcPr>
          <w:p w14:paraId="389F43E4" w14:textId="5A0DF609" w:rsidR="0093166C" w:rsidRPr="00BD08B4" w:rsidRDefault="0093166C" w:rsidP="0093166C">
            <w:pPr>
              <w:jc w:val="center"/>
            </w:pPr>
            <w:r>
              <w:t>$</w:t>
            </w:r>
            <w:r w:rsidRPr="0093166C">
              <w:t>27.90</w:t>
            </w:r>
          </w:p>
        </w:tc>
      </w:tr>
      <w:tr w:rsidR="0093166C" w14:paraId="5B54C401" w14:textId="7BED381E" w:rsidTr="0093166C">
        <w:trPr>
          <w:trHeight w:val="515"/>
          <w:jc w:val="center"/>
        </w:trPr>
        <w:tc>
          <w:tcPr>
            <w:tcW w:w="2065" w:type="dxa"/>
            <w:vAlign w:val="center"/>
          </w:tcPr>
          <w:p w14:paraId="5FF6D404" w14:textId="1AB7E363" w:rsidR="0093166C" w:rsidRPr="00BE53F7" w:rsidRDefault="0093166C" w:rsidP="0093166C">
            <w:pPr>
              <w:jc w:val="right"/>
            </w:pPr>
            <w:r w:rsidRPr="0093166C">
              <w:t>Lightning, Etcher of the King</w:t>
            </w:r>
          </w:p>
        </w:tc>
        <w:tc>
          <w:tcPr>
            <w:tcW w:w="1852" w:type="dxa"/>
            <w:gridSpan w:val="2"/>
            <w:vAlign w:val="center"/>
          </w:tcPr>
          <w:p w14:paraId="1B308143" w14:textId="26BCE615" w:rsidR="0093166C" w:rsidRPr="00BE53F7" w:rsidRDefault="0093166C" w:rsidP="0093166C">
            <w:pPr>
              <w:jc w:val="center"/>
            </w:pPr>
            <w:r w:rsidRPr="0093166C">
              <w:t>Male</w:t>
            </w:r>
          </w:p>
        </w:tc>
        <w:tc>
          <w:tcPr>
            <w:tcW w:w="1958" w:type="dxa"/>
            <w:gridSpan w:val="2"/>
            <w:vAlign w:val="center"/>
          </w:tcPr>
          <w:p w14:paraId="2EDB98B8" w14:textId="49180F94" w:rsidR="0093166C" w:rsidRPr="00BE53F7" w:rsidRDefault="0093166C" w:rsidP="0093166C">
            <w:pPr>
              <w:jc w:val="center"/>
            </w:pPr>
            <w:r w:rsidRPr="0093166C">
              <w:t>Young Adult</w:t>
            </w:r>
          </w:p>
        </w:tc>
        <w:tc>
          <w:tcPr>
            <w:tcW w:w="1959" w:type="dxa"/>
            <w:gridSpan w:val="2"/>
            <w:vAlign w:val="center"/>
          </w:tcPr>
          <w:p w14:paraId="397E9938" w14:textId="00463059" w:rsidR="0093166C" w:rsidRPr="00BE53F7" w:rsidRDefault="0093166C" w:rsidP="0093166C">
            <w:pPr>
              <w:jc w:val="center"/>
            </w:pPr>
            <w:r w:rsidRPr="0093166C">
              <w:t>6</w:t>
            </w:r>
          </w:p>
        </w:tc>
        <w:tc>
          <w:tcPr>
            <w:tcW w:w="1971" w:type="dxa"/>
            <w:gridSpan w:val="3"/>
            <w:vAlign w:val="center"/>
          </w:tcPr>
          <w:p w14:paraId="568EDB98" w14:textId="1048A0DF" w:rsidR="0093166C" w:rsidRPr="00BD08B4" w:rsidRDefault="0093166C" w:rsidP="0093166C">
            <w:pPr>
              <w:jc w:val="center"/>
            </w:pPr>
            <w:r>
              <w:t>$</w:t>
            </w:r>
            <w:r w:rsidRPr="0093166C">
              <w:t>25.38</w:t>
            </w:r>
          </w:p>
        </w:tc>
      </w:tr>
      <w:tr w:rsidR="0093166C" w14:paraId="7D7238CD" w14:textId="418B4A6F" w:rsidTr="0093166C">
        <w:trPr>
          <w:trHeight w:val="515"/>
          <w:jc w:val="center"/>
        </w:trPr>
        <w:tc>
          <w:tcPr>
            <w:tcW w:w="2065" w:type="dxa"/>
            <w:vAlign w:val="center"/>
          </w:tcPr>
          <w:p w14:paraId="53F5A76A" w14:textId="10B214F5" w:rsidR="0093166C" w:rsidRPr="00BE53F7" w:rsidRDefault="0093166C" w:rsidP="0093166C">
            <w:pPr>
              <w:jc w:val="right"/>
            </w:pPr>
            <w:r w:rsidRPr="0093166C">
              <w:t>Fiery Glass Crusader</w:t>
            </w:r>
          </w:p>
        </w:tc>
        <w:tc>
          <w:tcPr>
            <w:tcW w:w="1852" w:type="dxa"/>
            <w:gridSpan w:val="2"/>
            <w:vAlign w:val="center"/>
          </w:tcPr>
          <w:p w14:paraId="12247164" w14:textId="55FC4CF8" w:rsidR="0093166C" w:rsidRPr="00BE53F7" w:rsidRDefault="0093166C" w:rsidP="0093166C">
            <w:pPr>
              <w:jc w:val="center"/>
            </w:pPr>
            <w:r w:rsidRPr="0093166C">
              <w:t>Male</w:t>
            </w:r>
          </w:p>
        </w:tc>
        <w:tc>
          <w:tcPr>
            <w:tcW w:w="1958" w:type="dxa"/>
            <w:gridSpan w:val="2"/>
            <w:vAlign w:val="center"/>
          </w:tcPr>
          <w:p w14:paraId="1B1EC1AD" w14:textId="6787FCE3" w:rsidR="0093166C" w:rsidRPr="00BE53F7" w:rsidRDefault="0093166C" w:rsidP="0093166C">
            <w:pPr>
              <w:jc w:val="center"/>
            </w:pPr>
            <w:r w:rsidRPr="0093166C">
              <w:t>Young Adult</w:t>
            </w:r>
          </w:p>
        </w:tc>
        <w:tc>
          <w:tcPr>
            <w:tcW w:w="1959" w:type="dxa"/>
            <w:gridSpan w:val="2"/>
            <w:vAlign w:val="center"/>
          </w:tcPr>
          <w:p w14:paraId="05F8D41B" w14:textId="245F72F0" w:rsidR="0093166C" w:rsidRPr="00BE53F7" w:rsidRDefault="0093166C" w:rsidP="0093166C">
            <w:pPr>
              <w:jc w:val="center"/>
            </w:pPr>
            <w:r w:rsidRPr="0093166C">
              <w:t>5</w:t>
            </w:r>
          </w:p>
        </w:tc>
        <w:tc>
          <w:tcPr>
            <w:tcW w:w="1971" w:type="dxa"/>
            <w:gridSpan w:val="3"/>
            <w:vAlign w:val="center"/>
          </w:tcPr>
          <w:p w14:paraId="17B3539A" w14:textId="4D503EDD" w:rsidR="0093166C" w:rsidRPr="00BD08B4" w:rsidRDefault="0093166C" w:rsidP="0093166C">
            <w:pPr>
              <w:jc w:val="center"/>
            </w:pPr>
            <w:r>
              <w:t>$</w:t>
            </w:r>
            <w:r w:rsidRPr="0093166C">
              <w:t>22.90</w:t>
            </w:r>
          </w:p>
        </w:tc>
      </w:tr>
      <w:tr w:rsidR="0093166C" w14:paraId="5867824E" w14:textId="31D4B5D5" w:rsidTr="0093166C">
        <w:trPr>
          <w:trHeight w:val="515"/>
          <w:jc w:val="center"/>
        </w:trPr>
        <w:tc>
          <w:tcPr>
            <w:tcW w:w="2065" w:type="dxa"/>
            <w:vAlign w:val="center"/>
          </w:tcPr>
          <w:p w14:paraId="79CFDEBA" w14:textId="2147C933" w:rsidR="0093166C" w:rsidRPr="00BE53F7" w:rsidRDefault="0093166C" w:rsidP="0093166C">
            <w:pPr>
              <w:jc w:val="right"/>
            </w:pPr>
            <w:r w:rsidRPr="0093166C">
              <w:t>Wolf</w:t>
            </w:r>
          </w:p>
        </w:tc>
        <w:tc>
          <w:tcPr>
            <w:tcW w:w="1852" w:type="dxa"/>
            <w:gridSpan w:val="2"/>
            <w:vAlign w:val="center"/>
          </w:tcPr>
          <w:p w14:paraId="36A06CBF" w14:textId="0F0BF7FC" w:rsidR="0093166C" w:rsidRPr="00BE53F7" w:rsidRDefault="0093166C" w:rsidP="0093166C">
            <w:pPr>
              <w:jc w:val="center"/>
            </w:pPr>
            <w:r w:rsidRPr="0093166C">
              <w:t>Male</w:t>
            </w:r>
          </w:p>
        </w:tc>
        <w:tc>
          <w:tcPr>
            <w:tcW w:w="1958" w:type="dxa"/>
            <w:gridSpan w:val="2"/>
            <w:vAlign w:val="center"/>
          </w:tcPr>
          <w:p w14:paraId="4378B9DF" w14:textId="6B7EC2D0" w:rsidR="0093166C" w:rsidRPr="00BE53F7" w:rsidRDefault="0093166C" w:rsidP="0093166C">
            <w:pPr>
              <w:jc w:val="center"/>
            </w:pPr>
            <w:r w:rsidRPr="0093166C">
              <w:t>Young Adult</w:t>
            </w:r>
          </w:p>
        </w:tc>
        <w:tc>
          <w:tcPr>
            <w:tcW w:w="1959" w:type="dxa"/>
            <w:gridSpan w:val="2"/>
            <w:vAlign w:val="center"/>
          </w:tcPr>
          <w:p w14:paraId="097F7BBA" w14:textId="3DC91675" w:rsidR="0093166C" w:rsidRPr="00BE53F7" w:rsidRDefault="0093166C" w:rsidP="0093166C">
            <w:pPr>
              <w:jc w:val="center"/>
            </w:pPr>
            <w:r w:rsidRPr="0093166C">
              <w:t>5</w:t>
            </w:r>
          </w:p>
        </w:tc>
        <w:tc>
          <w:tcPr>
            <w:tcW w:w="1971" w:type="dxa"/>
            <w:gridSpan w:val="3"/>
            <w:vAlign w:val="center"/>
          </w:tcPr>
          <w:p w14:paraId="485075F5" w14:textId="7E81C934" w:rsidR="0093166C" w:rsidRPr="00BD08B4" w:rsidRDefault="0093166C" w:rsidP="0093166C">
            <w:pPr>
              <w:jc w:val="center"/>
            </w:pPr>
            <w:r>
              <w:t>$</w:t>
            </w:r>
            <w:r w:rsidRPr="0093166C">
              <w:t>17.70</w:t>
            </w:r>
          </w:p>
        </w:tc>
      </w:tr>
    </w:tbl>
    <w:p w14:paraId="218A871D" w14:textId="77777777" w:rsidR="002C7B3D" w:rsidRDefault="002C7B3D" w:rsidP="00F56597">
      <w:pPr>
        <w:pStyle w:val="Heading1"/>
        <w:jc w:val="left"/>
        <w:rPr>
          <w:color w:val="1E5155" w:themeColor="text2"/>
          <w:u w:val="single"/>
        </w:rPr>
      </w:pPr>
    </w:p>
    <w:p w14:paraId="4D449673" w14:textId="77777777" w:rsidR="002C7B3D" w:rsidRDefault="002C7B3D">
      <w:pPr>
        <w:rPr>
          <w:rFonts w:asciiTheme="majorHAnsi" w:eastAsiaTheme="majorEastAsia" w:hAnsiTheme="majorHAnsi" w:cstheme="majorBidi"/>
          <w:color w:val="1E5155" w:themeColor="text2"/>
          <w:sz w:val="40"/>
          <w:szCs w:val="40"/>
          <w:u w:val="single"/>
        </w:rPr>
      </w:pPr>
      <w:r>
        <w:rPr>
          <w:color w:val="1E5155" w:themeColor="text2"/>
          <w:u w:val="single"/>
        </w:rPr>
        <w:br w:type="page"/>
      </w:r>
    </w:p>
    <w:p w14:paraId="23E63A29" w14:textId="5A6E1C68" w:rsidR="00BE53F7" w:rsidRDefault="00FB3C2D" w:rsidP="00F56597">
      <w:pPr>
        <w:pStyle w:val="Heading1"/>
        <w:jc w:val="left"/>
        <w:rPr>
          <w:color w:val="1E5155" w:themeColor="text2"/>
          <w:u w:val="single"/>
        </w:rPr>
      </w:pPr>
      <w:r>
        <w:rPr>
          <w:color w:val="1E5155" w:themeColor="text2"/>
          <w:u w:val="single"/>
        </w:rPr>
        <w:lastRenderedPageBreak/>
        <w:t>Conclusions</w:t>
      </w:r>
    </w:p>
    <w:p w14:paraId="2806C714" w14:textId="60521821" w:rsidR="00FB3C2D" w:rsidRPr="00FB3C2D" w:rsidRDefault="00FB3C2D" w:rsidP="00FB3C2D">
      <w:pPr>
        <w:spacing w:before="240" w:after="0"/>
        <w:rPr>
          <w:b/>
          <w:bCs/>
          <w:color w:val="B01513" w:themeColor="accent1"/>
        </w:rPr>
      </w:pPr>
      <w:r w:rsidRPr="00FB3C2D">
        <w:rPr>
          <w:b/>
          <w:bCs/>
          <w:color w:val="B01513" w:themeColor="accent1"/>
        </w:rPr>
        <w:t>Age Demographics</w:t>
      </w:r>
    </w:p>
    <w:p w14:paraId="485788EC" w14:textId="3A9ECB16" w:rsidR="00FB3C2D" w:rsidRDefault="00FB3C2D" w:rsidP="00FB3C2D">
      <w:r>
        <w:t xml:space="preserve">From the data we found that the market is </w:t>
      </w:r>
      <w:r w:rsidR="004536E3">
        <w:t>predominantly</w:t>
      </w:r>
      <w:r>
        <w:t xml:space="preserve"> players between the ages of 18 – 25. We were also able to see that over 20% of our market is below the age of 18, and 4% of th</w:t>
      </w:r>
      <w:r w:rsidR="00D8251F">
        <w:t>em</w:t>
      </w:r>
      <w:r>
        <w:t xml:space="preserve"> are 10 years old or younger.</w:t>
      </w:r>
      <w:r w:rsidR="004536E3">
        <w:t xml:space="preserve"> While making up </w:t>
      </w:r>
      <w:r w:rsidR="002C7B3D">
        <w:t xml:space="preserve">a smaller percentage of individual consumers their quantity of purchases is equal to </w:t>
      </w:r>
      <w:r w:rsidR="00D8251F">
        <w:t>the Adult age group.</w:t>
      </w:r>
      <w:r>
        <w:t xml:space="preserve"> </w:t>
      </w:r>
      <w:r w:rsidR="00D8251F">
        <w:t xml:space="preserve">Although only making up about 20% of purchases </w:t>
      </w:r>
      <w:r w:rsidR="00D8251F">
        <w:t xml:space="preserve">The </w:t>
      </w:r>
      <w:r w:rsidR="00D8251F">
        <w:t>C</w:t>
      </w:r>
      <w:r w:rsidR="00D8251F">
        <w:t xml:space="preserve">hild </w:t>
      </w:r>
      <w:r w:rsidR="00D8251F">
        <w:t xml:space="preserve">age </w:t>
      </w:r>
      <w:r w:rsidR="00D8251F">
        <w:t xml:space="preserve">group spends on avg </w:t>
      </w:r>
      <w:r w:rsidR="00D8251F">
        <w:t>$0.54</w:t>
      </w:r>
      <w:r w:rsidR="00D8251F">
        <w:t xml:space="preserve"> more than the other age </w:t>
      </w:r>
      <w:r w:rsidR="00D8251F">
        <w:t>groups. These</w:t>
      </w:r>
      <w:r>
        <w:t xml:space="preserve"> </w:t>
      </w:r>
      <w:r w:rsidR="004536E3">
        <w:t>insight</w:t>
      </w:r>
      <w:r w:rsidR="00054B67">
        <w:t>s</w:t>
      </w:r>
      <w:r w:rsidR="004536E3">
        <w:t xml:space="preserve"> </w:t>
      </w:r>
      <w:r w:rsidR="00054B67">
        <w:t xml:space="preserve">could </w:t>
      </w:r>
      <w:r w:rsidR="004536E3">
        <w:t xml:space="preserve">highlight a need to increase features around </w:t>
      </w:r>
      <w:r>
        <w:t>parental supervision</w:t>
      </w:r>
      <w:r w:rsidR="004536E3">
        <w:t xml:space="preserve"> and the purchaser’s consent.</w:t>
      </w:r>
    </w:p>
    <w:p w14:paraId="3EF46FDC" w14:textId="51EA69BB" w:rsidR="004536E3" w:rsidRDefault="004536E3" w:rsidP="004536E3">
      <w:pPr>
        <w:spacing w:before="240" w:after="0"/>
        <w:rPr>
          <w:b/>
          <w:bCs/>
          <w:color w:val="B01513" w:themeColor="accent1"/>
        </w:rPr>
      </w:pPr>
      <w:r w:rsidRPr="004536E3">
        <w:rPr>
          <w:b/>
          <w:bCs/>
          <w:color w:val="B01513" w:themeColor="accent1"/>
        </w:rPr>
        <w:t>Gender Demographics</w:t>
      </w:r>
    </w:p>
    <w:p w14:paraId="28E7151C" w14:textId="571875C1" w:rsidR="004536E3" w:rsidRDefault="004536E3" w:rsidP="004536E3">
      <w:r>
        <w:t>For</w:t>
      </w:r>
      <w:r w:rsidR="00054B67">
        <w:t xml:space="preserve"> Heroes of </w:t>
      </w:r>
      <w:proofErr w:type="spellStart"/>
      <w:r w:rsidR="00054B67">
        <w:t>Pymoli</w:t>
      </w:r>
      <w:proofErr w:type="spellEnd"/>
      <w:r>
        <w:t xml:space="preserve"> </w:t>
      </w:r>
      <w:r w:rsidR="00054B67">
        <w:t xml:space="preserve">in game purchases </w:t>
      </w:r>
      <w:r>
        <w:t>players identifying as male dominate at 84% of our total. While dominating the total number purchases, the average purchase for male players is slightly lower that the other 2 gender groups. Players who identify as female and other have an average total purchase of around $4.50, and the male players average around $4.00 per purchase. This could indicate that male players prefer the cheaper items in the game, and the other gender groups are willing to spend more.</w:t>
      </w:r>
      <w:r w:rsidR="00054B67">
        <w:t xml:space="preserve"> Increasing the availability of these types of items may encourage an increase in purchases of the more expensive items.</w:t>
      </w:r>
    </w:p>
    <w:p w14:paraId="606A41C8" w14:textId="0A7B01A0" w:rsidR="00054B67" w:rsidRPr="00054B67" w:rsidRDefault="00054B67" w:rsidP="00054B67">
      <w:pPr>
        <w:spacing w:before="240" w:after="0"/>
        <w:rPr>
          <w:b/>
          <w:bCs/>
          <w:color w:val="B01513" w:themeColor="accent1"/>
        </w:rPr>
      </w:pPr>
      <w:r w:rsidRPr="00054B67">
        <w:rPr>
          <w:b/>
          <w:bCs/>
          <w:color w:val="B01513" w:themeColor="accent1"/>
        </w:rPr>
        <w:t>Product Performance</w:t>
      </w:r>
    </w:p>
    <w:p w14:paraId="3B1EEE68" w14:textId="130F59E1" w:rsidR="00A820A2" w:rsidRPr="00FB3C2D" w:rsidRDefault="00054B67" w:rsidP="00FB3C2D">
      <w:r>
        <w:t xml:space="preserve">The item </w:t>
      </w:r>
      <w:r w:rsidRPr="0093166C">
        <w:t>Persuasion</w:t>
      </w:r>
      <w:r>
        <w:t xml:space="preserve"> attracts the highest number of </w:t>
      </w:r>
      <w:r w:rsidR="00A820A2">
        <w:t>purchases but</w:t>
      </w:r>
      <w:r>
        <w:t xml:space="preserve"> falls into a lower tier of item pricing.</w:t>
      </w:r>
      <w:r w:rsidR="00A820A2">
        <w:t xml:space="preserve"> Items such as</w:t>
      </w:r>
      <w:r>
        <w:t xml:space="preserve"> </w:t>
      </w:r>
      <w:r w:rsidR="00A820A2" w:rsidRPr="0093166C">
        <w:t>Final Critic</w:t>
      </w:r>
      <w:r w:rsidR="00A820A2">
        <w:t xml:space="preserve"> are only slightly less popular but brings in 44.86% more revenue for every purchase made. It could be helpful to promote i</w:t>
      </w:r>
      <w:r w:rsidR="00A820A2">
        <w:t xml:space="preserve">tems such as </w:t>
      </w:r>
      <w:r w:rsidR="00A820A2" w:rsidRPr="0093166C">
        <w:t>Final Critic</w:t>
      </w:r>
      <w:r w:rsidR="00A820A2">
        <w:t xml:space="preserve"> and </w:t>
      </w:r>
      <w:r w:rsidR="00A820A2" w:rsidRPr="0093166C">
        <w:t>Lightning, Etcher of the King</w:t>
      </w:r>
      <w:r w:rsidR="00A820A2">
        <w:t xml:space="preserve"> to</w:t>
      </w:r>
      <w:r w:rsidR="009F38D8">
        <w:t xml:space="preserve"> help</w:t>
      </w:r>
      <w:r w:rsidR="00A820A2">
        <w:t xml:space="preserve"> increase </w:t>
      </w:r>
      <w:r w:rsidR="009F38D8">
        <w:t>the average purchase price of the Male gender group.</w:t>
      </w:r>
    </w:p>
    <w:sectPr w:rsidR="00A820A2" w:rsidRPr="00FB3C2D" w:rsidSect="003630E1">
      <w:headerReference w:type="default" r:id="rId6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EACFC" w14:textId="77777777" w:rsidR="00393CAC" w:rsidRDefault="00393CAC" w:rsidP="00BE53F7">
      <w:pPr>
        <w:spacing w:after="0" w:line="240" w:lineRule="auto"/>
      </w:pPr>
      <w:r>
        <w:separator/>
      </w:r>
    </w:p>
  </w:endnote>
  <w:endnote w:type="continuationSeparator" w:id="0">
    <w:p w14:paraId="7204C600" w14:textId="77777777" w:rsidR="00393CAC" w:rsidRDefault="00393CAC" w:rsidP="00BE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27A0F" w14:textId="77777777" w:rsidR="00393CAC" w:rsidRDefault="00393CAC" w:rsidP="00BE53F7">
      <w:pPr>
        <w:spacing w:after="0" w:line="240" w:lineRule="auto"/>
      </w:pPr>
      <w:r>
        <w:separator/>
      </w:r>
    </w:p>
  </w:footnote>
  <w:footnote w:type="continuationSeparator" w:id="0">
    <w:p w14:paraId="31FF57A6" w14:textId="77777777" w:rsidR="00393CAC" w:rsidRDefault="00393CAC" w:rsidP="00BE5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CD242" w14:textId="77777777" w:rsidR="00BE53F7" w:rsidRDefault="00BE53F7" w:rsidP="00BE53F7">
    <w:pPr>
      <w:pStyle w:val="Title"/>
      <w:rPr>
        <w:sz w:val="36"/>
        <w:szCs w:val="36"/>
      </w:rPr>
    </w:pPr>
    <w:r w:rsidRPr="00BE53F7">
      <w:rPr>
        <w:sz w:val="48"/>
        <w:szCs w:val="48"/>
      </w:rPr>
      <w:t>Heros of Pymoli</w:t>
    </w:r>
    <w:r>
      <w:t xml:space="preserve"> </w:t>
    </w:r>
  </w:p>
  <w:p w14:paraId="59228ABB" w14:textId="545F73DB" w:rsidR="00BE53F7" w:rsidRPr="00BE53F7" w:rsidRDefault="00BE53F7" w:rsidP="00BE53F7">
    <w:pPr>
      <w:pStyle w:val="Title"/>
      <w:rPr>
        <w:sz w:val="28"/>
        <w:szCs w:val="28"/>
      </w:rPr>
    </w:pPr>
    <w:r w:rsidRPr="00BE53F7">
      <w:rPr>
        <w:sz w:val="28"/>
        <w:szCs w:val="28"/>
      </w:rPr>
      <w:t xml:space="preserve">Analysis and </w:t>
    </w:r>
    <w:r w:rsidR="00FB3C2D">
      <w:rPr>
        <w:sz w:val="28"/>
        <w:szCs w:val="28"/>
      </w:rPr>
      <w:t>Conclusions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78"/>
    <w:rsid w:val="00054B67"/>
    <w:rsid w:val="001E158F"/>
    <w:rsid w:val="002C7B3D"/>
    <w:rsid w:val="003630E1"/>
    <w:rsid w:val="00393CAC"/>
    <w:rsid w:val="003A2A7F"/>
    <w:rsid w:val="004536E3"/>
    <w:rsid w:val="0093166C"/>
    <w:rsid w:val="00946B58"/>
    <w:rsid w:val="009F38D8"/>
    <w:rsid w:val="00A820A2"/>
    <w:rsid w:val="00BE53F7"/>
    <w:rsid w:val="00D20111"/>
    <w:rsid w:val="00D8251F"/>
    <w:rsid w:val="00E34878"/>
    <w:rsid w:val="00F56597"/>
    <w:rsid w:val="00FB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387D"/>
  <w15:chartTrackingRefBased/>
  <w15:docId w15:val="{9C5E8B93-B0AA-41FC-9734-ED0FE89F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0A2"/>
  </w:style>
  <w:style w:type="paragraph" w:styleId="Heading1">
    <w:name w:val="heading 1"/>
    <w:basedOn w:val="Normal"/>
    <w:next w:val="Normal"/>
    <w:link w:val="Heading1Char"/>
    <w:uiPriority w:val="9"/>
    <w:qFormat/>
    <w:rsid w:val="00946B5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B5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B5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B5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B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B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B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B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B5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B58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6B5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B5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B5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B5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B5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B5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B5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B5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6B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6B58"/>
    <w:pPr>
      <w:pBdr>
        <w:top w:val="single" w:sz="6" w:space="8" w:color="E6B729" w:themeColor="accent3"/>
        <w:bottom w:val="single" w:sz="6" w:space="8" w:color="E6B7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6B58"/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B58"/>
    <w:pPr>
      <w:numPr>
        <w:ilvl w:val="1"/>
      </w:numPr>
      <w:jc w:val="center"/>
    </w:pPr>
    <w:rPr>
      <w:color w:val="1E515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B58"/>
    <w:rPr>
      <w:color w:val="1E515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46B58"/>
    <w:rPr>
      <w:b/>
      <w:bCs/>
    </w:rPr>
  </w:style>
  <w:style w:type="character" w:styleId="Emphasis">
    <w:name w:val="Emphasis"/>
    <w:basedOn w:val="DefaultParagraphFont"/>
    <w:uiPriority w:val="20"/>
    <w:qFormat/>
    <w:rsid w:val="00946B58"/>
    <w:rPr>
      <w:i/>
      <w:iCs/>
      <w:color w:val="000000" w:themeColor="text1"/>
    </w:rPr>
  </w:style>
  <w:style w:type="paragraph" w:styleId="NoSpacing">
    <w:name w:val="No Spacing"/>
    <w:uiPriority w:val="1"/>
    <w:qFormat/>
    <w:rsid w:val="00946B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6B58"/>
    <w:pPr>
      <w:spacing w:before="160"/>
      <w:ind w:left="720" w:right="720"/>
      <w:jc w:val="center"/>
    </w:pPr>
    <w:rPr>
      <w:i/>
      <w:iCs/>
      <w:color w:val="B58D1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6B58"/>
    <w:rPr>
      <w:i/>
      <w:iCs/>
      <w:color w:val="B58D1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B5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B58"/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46B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6B5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46B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46B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46B5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6B58"/>
    <w:pPr>
      <w:outlineLvl w:val="9"/>
    </w:pPr>
  </w:style>
  <w:style w:type="table" w:styleId="TableGrid">
    <w:name w:val="Table Grid"/>
    <w:basedOn w:val="TableNormal"/>
    <w:uiPriority w:val="39"/>
    <w:rsid w:val="00946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5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3F7"/>
  </w:style>
  <w:style w:type="paragraph" w:styleId="Footer">
    <w:name w:val="footer"/>
    <w:basedOn w:val="Normal"/>
    <w:link w:val="FooterChar"/>
    <w:uiPriority w:val="99"/>
    <w:unhideWhenUsed/>
    <w:rsid w:val="00BE5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3F7"/>
  </w:style>
  <w:style w:type="character" w:styleId="CommentReference">
    <w:name w:val="annotation reference"/>
    <w:basedOn w:val="DefaultParagraphFont"/>
    <w:uiPriority w:val="99"/>
    <w:semiHidden/>
    <w:unhideWhenUsed/>
    <w:rsid w:val="00931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6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6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6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Morgan</dc:creator>
  <cp:keywords/>
  <dc:description/>
  <cp:lastModifiedBy>Ema Morgan</cp:lastModifiedBy>
  <cp:revision>3</cp:revision>
  <dcterms:created xsi:type="dcterms:W3CDTF">2021-01-19T04:08:00Z</dcterms:created>
  <dcterms:modified xsi:type="dcterms:W3CDTF">2021-01-21T00:39:00Z</dcterms:modified>
</cp:coreProperties>
</file>