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t xml:space="preserve"/>
      </w:r>
    </w:p>
    <w:p>
      <w:pPr>
        <w:spacing w:after="120" w:before="0"/>
        <w:jc w:val="center"/>
      </w:pPr>
      <w:r>
        <w:rPr>
          <w:rFonts w:ascii="Georgia" w:cs="Georgia" w:eastAsia="Georgia" w:hAnsi="Georgia"/>
          <w:b/>
          <w:bCs/>
          <w:color w:val="1F4E5A"/>
          <w:sz w:val="64"/>
          <w:szCs w:val="64"/>
        </w:rPr>
        <w:t xml:space="preserve">SHOT WITHOUT FEAR</w:t>
      </w:r>
    </w:p>
    <w:p>
      <w:pPr>
        <w:spacing w:after="480" w:before="0"/>
        <w:jc w:val="center"/>
      </w:pPr>
      <w:r>
        <w:rPr>
          <w:rFonts w:ascii="Georgia" w:cs="Georgia" w:eastAsia="Georgia" w:hAnsi="Georgia"/>
          <w:i/>
          <w:iCs/>
          <w:color w:val="5C9C8F"/>
          <w:sz w:val="30"/>
          <w:szCs w:val="30"/>
        </w:rPr>
        <w:t xml:space="preserve">The GLP-1 Guide to Keep Your Muscle &amp; Keep the Weight Off</w:t>
      </w:r>
    </w:p>
    <w:p>
      <w:pPr>
        <w:pBdr>
          <w:top w:val="single" w:color="CE9B4C" w:sz="3" w:space="1"/>
          <w:bottom w:val="single" w:color="CE9B4C" w:sz="3" w:space="1"/>
        </w:pBdr>
        <w:spacing w:after="200" w:before="200"/>
        <w:jc w:val="center"/>
      </w:pPr>
      <w:r>
        <w:rPr>
          <w:rFonts w:ascii="Arial" w:cs="Arial" w:eastAsia="Arial" w:hAnsi="Arial"/>
          <w:color w:val="CE9B4C"/>
          <w:sz w:val="22"/>
          <w:szCs w:val="22"/>
        </w:rPr>
        <w:t xml:space="preserve">For Ozempic · Mounjaro · Wegovy · Zepbound · Saxenda users</w:t>
      </w:r>
    </w:p>
    <w:p>
      <w:pPr>
        <w:spacing w:after="480" w:before="0"/>
      </w:pPr>
      <w:r>
        <w:t xml:space="preserve"/>
      </w:r>
    </w:p>
    <w:p>
      <w:pPr>
        <w:jc w:val="center"/>
      </w:pPr>
      <w:r>
        <w:rPr>
          <w:rFonts w:ascii="Arial" w:cs="Arial" w:eastAsia="Arial" w:hAnsi="Arial"/>
          <w:color w:val="888888"/>
          <w:sz w:val="20"/>
          <w:szCs w:val="20"/>
        </w:rPr>
        <w:t xml:space="preserve">1st Edition</w:t>
      </w:r>
    </w:p>
    <w:p>
      <w:pPr>
        <w:sectPr>
          <w:pgSz w:w="12240" w:h="15840" w:orient="portrait"/>
          <w:pgMar w:top="720" w:right="1080" w:bottom="720" w:left="1080" w:header="708" w:footer="708" w:gutter="0"/>
          <w:pgNumType/>
          <w:docGrid w:linePitch="360"/>
        </w:sectPr>
      </w:pPr>
    </w:p>
    <w:p>
      <w:pPr>
        <w:pStyle w:val="Heading1"/>
      </w:pPr>
      <w:r>
        <w:rPr>
          <w:rFonts w:ascii="Georgia" w:cs="Georgia" w:eastAsia="Georgia" w:hAnsi="Georgia"/>
          <w:b/>
          <w:bCs/>
          <w:color w:val="1F4E5A"/>
          <w:sz w:val="40"/>
          <w:szCs w:val="40"/>
        </w:rPr>
        <w:t xml:space="preserve">Important Notice Before You Begin</w:t>
      </w:r>
    </w:p>
    <w:p>
      <w:pPr>
        <w:spacing w:after="160" w:before="100"/>
      </w:pPr>
      <w:r>
        <w:rPr>
          <w:rFonts w:ascii="Arial" w:cs="Arial" w:eastAsia="Arial" w:hAnsi="Arial"/>
          <w:color w:val="1E2E2C"/>
          <w:sz w:val="22"/>
          <w:szCs w:val="22"/>
        </w:rPr>
        <w:t xml:space="preserve">This e-book is an educational guide on nutrition, strength training, and lifestyle habits for people who are using — or considering using, or have already used — GLP-1 receptor agonist medications (such as semaglutide and tirzepatide, sold under brand names including Ozempic, Wegovy, Mounjaro, and Zepbound).</w:t>
      </w:r>
    </w:p>
    <w:p>
      <w:pPr>
        <w:spacing w:after="160" w:before="100"/>
      </w:pPr>
      <w:r>
        <w:rPr>
          <w:rFonts w:ascii="Arial" w:cs="Arial" w:eastAsia="Arial" w:hAnsi="Arial"/>
          <w:color w:val="1E2E2C"/>
          <w:sz w:val="22"/>
          <w:szCs w:val="22"/>
        </w:rPr>
        <w:t xml:space="preserve">I am not a doctor, and this material does not replace consultation, diagnosis, monitoring, or prescription by a healthcare professional. Every body responds differently to these medications, and dosing, side effects, and contraindications vary from person to person.</w:t>
      </w:r>
    </w:p>
    <w:p>
      <w:pPr>
        <w:spacing w:after="160" w:before="100"/>
      </w:pPr>
      <w:r>
        <w:rPr>
          <w:rFonts w:ascii="Arial" w:cs="Arial" w:eastAsia="Arial" w:hAnsi="Arial"/>
          <w:color w:val="1E2E2C"/>
          <w:sz w:val="22"/>
          <w:szCs w:val="22"/>
        </w:rPr>
        <w:t xml:space="preserve">Before starting, adjusting, or stopping any medication, talk to your doctor. Before making significant changes to your diet or starting an exercise program — especially if you have a pre-existing health condition — consult a registered dietitian and/or certified fitness professional.</w:t>
      </w:r>
    </w:p>
    <w:p>
      <w:pPr>
        <w:pBdr>
          <w:left w:val="thick" w:color="CE9B4C" w:sz="12" w:space="12"/>
        </w:pBdr>
        <w:shd w:fill="FDF6E8" w:val="clear"/>
        <w:spacing w:after="200" w:before="200"/>
        <w:ind w:left="720" w:right="720"/>
      </w:pPr>
      <w:r>
        <w:rPr>
          <w:rFonts w:ascii="Georgia" w:cs="Georgia" w:eastAsia="Georgia" w:hAnsi="Georgia"/>
          <w:i/>
          <w:iCs/>
          <w:color w:val="1E2E2C"/>
          <w:sz w:val="24"/>
          <w:szCs w:val="24"/>
        </w:rPr>
        <w:t xml:space="preserve">What you’ll find here is what the 10-minute appointment rarely has time to cover: how to organize your protein intake, training, supplementation, and expectations so that the results of your treatment are as good as possible — and last.</w:t>
      </w:r>
    </w:p>
    <w:p>
      <w:pPr>
        <w:pStyle w:val="Heading1"/>
        <w:pageBreakBefore/>
      </w:pPr>
      <w:r>
        <w:rPr>
          <w:rFonts w:ascii="Georgia" w:cs="Georgia" w:eastAsia="Georgia" w:hAnsi="Georgia"/>
          <w:b/>
          <w:bCs/>
          <w:color w:val="1F4E5A"/>
          <w:sz w:val="40"/>
          <w:szCs w:val="40"/>
        </w:rPr>
        <w:t xml:space="preserve">Table of Contents</w:t>
      </w:r>
    </w:p>
    <w:p>
      <w:pPr>
        <w:spacing w:after="80" w:before="80"/>
      </w:pPr>
      <w:r>
        <w:rPr>
          <w:rFonts w:ascii="Arial" w:cs="Arial" w:eastAsia="Arial" w:hAnsi="Arial"/>
          <w:b/>
          <w:bCs/>
          <w:color w:val="1F4E5A"/>
          <w:sz w:val="22"/>
          <w:szCs w:val="22"/>
        </w:rPr>
        <w:t xml:space="preserve">Introduction  —  </w:t>
      </w:r>
      <w:r>
        <w:rPr>
          <w:rFonts w:ascii="Arial" w:cs="Arial" w:eastAsia="Arial" w:hAnsi="Arial"/>
          <w:color w:val="1E2E2C"/>
          <w:sz w:val="22"/>
          <w:szCs w:val="22"/>
        </w:rPr>
        <w:t xml:space="preserve">Why this guide exists</w:t>
      </w:r>
    </w:p>
    <w:p>
      <w:pPr>
        <w:spacing w:after="80" w:before="80"/>
      </w:pPr>
      <w:r>
        <w:rPr>
          <w:rFonts w:ascii="Arial" w:cs="Arial" w:eastAsia="Arial" w:hAnsi="Arial"/>
          <w:b/>
          <w:bCs/>
          <w:color w:val="1F4E5A"/>
          <w:sz w:val="22"/>
          <w:szCs w:val="22"/>
        </w:rPr>
        <w:t xml:space="preserve">Chapter 1  —  </w:t>
      </w:r>
      <w:r>
        <w:rPr>
          <w:rFonts w:ascii="Arial" w:cs="Arial" w:eastAsia="Arial" w:hAnsi="Arial"/>
          <w:color w:val="1E2E2C"/>
          <w:sz w:val="22"/>
          <w:szCs w:val="22"/>
        </w:rPr>
        <w:t xml:space="preserve">How GLP-1 medications work (no fluff)</w:t>
      </w:r>
    </w:p>
    <w:p>
      <w:pPr>
        <w:spacing w:after="80" w:before="80"/>
      </w:pPr>
      <w:r>
        <w:rPr>
          <w:rFonts w:ascii="Arial" w:cs="Arial" w:eastAsia="Arial" w:hAnsi="Arial"/>
          <w:b/>
          <w:bCs/>
          <w:color w:val="1F4E5A"/>
          <w:sz w:val="22"/>
          <w:szCs w:val="22"/>
        </w:rPr>
        <w:t xml:space="preserve">Chapter 2  —  </w:t>
      </w:r>
      <w:r>
        <w:rPr>
          <w:rFonts w:ascii="Arial" w:cs="Arial" w:eastAsia="Arial" w:hAnsi="Arial"/>
          <w:color w:val="1E2E2C"/>
          <w:sz w:val="22"/>
          <w:szCs w:val="22"/>
        </w:rPr>
        <w:t xml:space="preserve">The real risk: muscle loss</w:t>
      </w:r>
    </w:p>
    <w:p>
      <w:pPr>
        <w:spacing w:after="80" w:before="80"/>
      </w:pPr>
      <w:r>
        <w:rPr>
          <w:rFonts w:ascii="Arial" w:cs="Arial" w:eastAsia="Arial" w:hAnsi="Arial"/>
          <w:b/>
          <w:bCs/>
          <w:color w:val="1F4E5A"/>
          <w:sz w:val="22"/>
          <w:szCs w:val="22"/>
        </w:rPr>
        <w:t xml:space="preserve">Chapter 3  —  </w:t>
      </w:r>
      <w:r>
        <w:rPr>
          <w:rFonts w:ascii="Arial" w:cs="Arial" w:eastAsia="Arial" w:hAnsi="Arial"/>
          <w:color w:val="1E2E2C"/>
          <w:sz w:val="22"/>
          <w:szCs w:val="22"/>
        </w:rPr>
        <w:t xml:space="preserve">Protein: the foundation of everything</w:t>
      </w:r>
    </w:p>
    <w:p>
      <w:pPr>
        <w:spacing w:after="80" w:before="80"/>
      </w:pPr>
      <w:r>
        <w:rPr>
          <w:rFonts w:ascii="Arial" w:cs="Arial" w:eastAsia="Arial" w:hAnsi="Arial"/>
          <w:b/>
          <w:bCs/>
          <w:color w:val="1F4E5A"/>
          <w:sz w:val="22"/>
          <w:szCs w:val="22"/>
        </w:rPr>
        <w:t xml:space="preserve">Chapter 4  —  </w:t>
      </w:r>
      <w:r>
        <w:rPr>
          <w:rFonts w:ascii="Arial" w:cs="Arial" w:eastAsia="Arial" w:hAnsi="Arial"/>
          <w:color w:val="1E2E2C"/>
          <w:sz w:val="22"/>
          <w:szCs w:val="22"/>
        </w:rPr>
        <w:t xml:space="preserve">The minimum effective workout</w:t>
      </w:r>
    </w:p>
    <w:p>
      <w:pPr>
        <w:spacing w:after="80" w:before="80"/>
      </w:pPr>
      <w:r>
        <w:rPr>
          <w:rFonts w:ascii="Arial" w:cs="Arial" w:eastAsia="Arial" w:hAnsi="Arial"/>
          <w:b/>
          <w:bCs/>
          <w:color w:val="1F4E5A"/>
          <w:sz w:val="22"/>
          <w:szCs w:val="22"/>
        </w:rPr>
        <w:t xml:space="preserve">Chapter 5  —  </w:t>
      </w:r>
      <w:r>
        <w:rPr>
          <w:rFonts w:ascii="Arial" w:cs="Arial" w:eastAsia="Arial" w:hAnsi="Arial"/>
          <w:color w:val="1E2E2C"/>
          <w:sz w:val="22"/>
          <w:szCs w:val="22"/>
        </w:rPr>
        <w:t xml:space="preserve">Managing the most common side effects</w:t>
      </w:r>
    </w:p>
    <w:p>
      <w:pPr>
        <w:spacing w:after="80" w:before="80"/>
      </w:pPr>
      <w:r>
        <w:rPr>
          <w:rFonts w:ascii="Arial" w:cs="Arial" w:eastAsia="Arial" w:hAnsi="Arial"/>
          <w:b/>
          <w:bCs/>
          <w:color w:val="1F4E5A"/>
          <w:sz w:val="22"/>
          <w:szCs w:val="22"/>
        </w:rPr>
        <w:t xml:space="preserve">Chapter 6  —  </w:t>
      </w:r>
      <w:r>
        <w:rPr>
          <w:rFonts w:ascii="Arial" w:cs="Arial" w:eastAsia="Arial" w:hAnsi="Arial"/>
          <w:color w:val="1E2E2C"/>
          <w:sz w:val="22"/>
          <w:szCs w:val="22"/>
        </w:rPr>
        <w:t xml:space="preserve">Supplementation: what’s worth considering</w:t>
      </w:r>
    </w:p>
    <w:p>
      <w:pPr>
        <w:spacing w:after="80" w:before="80"/>
      </w:pPr>
      <w:r>
        <w:rPr>
          <w:rFonts w:ascii="Arial" w:cs="Arial" w:eastAsia="Arial" w:hAnsi="Arial"/>
          <w:b/>
          <w:bCs/>
          <w:color w:val="1F4E5A"/>
          <w:sz w:val="22"/>
          <w:szCs w:val="22"/>
        </w:rPr>
        <w:t xml:space="preserve">Chapter 7  —  </w:t>
      </w:r>
      <w:r>
        <w:rPr>
          <w:rFonts w:ascii="Arial" w:cs="Arial" w:eastAsia="Arial" w:hAnsi="Arial"/>
          <w:color w:val="1E2E2C"/>
          <w:sz w:val="22"/>
          <w:szCs w:val="22"/>
        </w:rPr>
        <w:t xml:space="preserve">Sample meal templates</w:t>
      </w:r>
    </w:p>
    <w:p>
      <w:pPr>
        <w:spacing w:after="80" w:before="80"/>
      </w:pPr>
      <w:r>
        <w:rPr>
          <w:rFonts w:ascii="Arial" w:cs="Arial" w:eastAsia="Arial" w:hAnsi="Arial"/>
          <w:b/>
          <w:bCs/>
          <w:color w:val="1F4E5A"/>
          <w:sz w:val="22"/>
          <w:szCs w:val="22"/>
        </w:rPr>
        <w:t xml:space="preserve">Chapter 8  —  </w:t>
      </w:r>
      <w:r>
        <w:rPr>
          <w:rFonts w:ascii="Arial" w:cs="Arial" w:eastAsia="Arial" w:hAnsi="Arial"/>
          <w:color w:val="1E2E2C"/>
          <w:sz w:val="22"/>
          <w:szCs w:val="22"/>
        </w:rPr>
        <w:t xml:space="preserve">The exit strategy: avoiding the rebound</w:t>
      </w:r>
    </w:p>
    <w:p>
      <w:pPr>
        <w:spacing w:after="80" w:before="80"/>
      </w:pPr>
      <w:r>
        <w:rPr>
          <w:rFonts w:ascii="Arial" w:cs="Arial" w:eastAsia="Arial" w:hAnsi="Arial"/>
          <w:b/>
          <w:bCs/>
          <w:color w:val="1F4E5A"/>
          <w:sz w:val="22"/>
          <w:szCs w:val="22"/>
        </w:rPr>
        <w:t xml:space="preserve">Chapter 9  —  </w:t>
      </w:r>
      <w:r>
        <w:rPr>
          <w:rFonts w:ascii="Arial" w:cs="Arial" w:eastAsia="Arial" w:hAnsi="Arial"/>
          <w:color w:val="1E2E2C"/>
          <w:sz w:val="22"/>
          <w:szCs w:val="22"/>
        </w:rPr>
        <w:t xml:space="preserve">Myths &amp; facts + weekly checklist</w:t>
      </w:r>
    </w:p>
    <w:p>
      <w:pPr>
        <w:pStyle w:val="Heading1"/>
        <w:pageBreakBefore/>
        <w:spacing w:after="240" w:before="0"/>
      </w:pPr>
      <w:r>
        <w:rPr>
          <w:rFonts w:ascii="Georgia" w:cs="Georgia" w:eastAsia="Georgia" w:hAnsi="Georgia"/>
          <w:b/>
          <w:bCs/>
          <w:color w:val="1F4E5A"/>
          <w:sz w:val="40"/>
          <w:szCs w:val="40"/>
        </w:rPr>
        <w:t xml:space="preserve">Introduction — Why This Guide Exists</w:t>
      </w:r>
    </w:p>
    <w:p>
      <w:pPr>
        <w:spacing w:after="160" w:before="100"/>
      </w:pPr>
      <w:r>
        <w:rPr>
          <w:rFonts w:ascii="Arial" w:cs="Arial" w:eastAsia="Arial" w:hAnsi="Arial"/>
          <w:color w:val="1E2E2C"/>
          <w:sz w:val="22"/>
          <w:szCs w:val="22"/>
        </w:rPr>
        <w:t xml:space="preserve">In recent years, GLP-1 receptor agonists have completely changed the landscape of weight management and type 2 diabetes treatment. These are effective, well-studied medications, and for millions of people they represent the first tool that actually works after decades of diets that didn’t hold.</w:t>
      </w:r>
    </w:p>
    <w:p>
      <w:pPr>
        <w:spacing w:after="160" w:before="100"/>
      </w:pPr>
      <w:r>
        <w:rPr>
          <w:rFonts w:ascii="Arial" w:cs="Arial" w:eastAsia="Arial" w:hAnsi="Arial"/>
          <w:color w:val="1E2E2C"/>
          <w:sz w:val="22"/>
          <w:szCs w:val="22"/>
        </w:rPr>
        <w:t xml:space="preserve">But there is a side of the story that rarely appears in advertising, and that often goes unaddressed in a rushed appointment: these medications drastically reduce appetite — and when that happens without any strategy, the body doesn’t just lose fat. It loses muscle too, sometimes in concerning proportions.</w:t>
      </w:r>
    </w:p>
    <w:p>
      <w:pPr>
        <w:spacing w:after="160" w:before="100"/>
      </w:pPr>
      <w:r>
        <w:rPr>
          <w:rFonts w:ascii="Arial" w:cs="Arial" w:eastAsia="Arial" w:hAnsi="Arial"/>
          <w:color w:val="1E2E2C"/>
          <w:sz w:val="22"/>
          <w:szCs w:val="22"/>
        </w:rPr>
        <w:t xml:space="preserve">There is a second problem: what happens when treatment ends, appetite returns to normal, but habits were never built? For many people, the weight comes back — the classic rebound effect — and with it comes the frustration.</w:t>
      </w:r>
    </w:p>
    <w:p>
      <w:pPr>
        <w:pBdr>
          <w:left w:val="thick" w:color="CE9B4C" w:sz="12" w:space="12"/>
        </w:pBdr>
        <w:shd w:fill="FDF6E8" w:val="clear"/>
        <w:spacing w:after="200" w:before="200"/>
        <w:ind w:left="720" w:right="720"/>
      </w:pPr>
      <w:r>
        <w:rPr>
          <w:rFonts w:ascii="Georgia" w:cs="Georgia" w:eastAsia="Georgia" w:hAnsi="Georgia"/>
          <w:i/>
          <w:iCs/>
          <w:color w:val="1E2E2C"/>
          <w:sz w:val="24"/>
          <w:szCs w:val="24"/>
        </w:rPr>
        <w:t xml:space="preserve">This guide is not against the medication. On the contrary: it exists so you can make the most of the window of opportunity that treatment opens. While appetite is under control, it’s the best moment of your life to build protein, training, and eating habits that will keep working for you even after the pen is no longer part of the equation.</w:t>
      </w:r>
    </w:p>
    <w:p>
      <w:pPr>
        <w:pStyle w:val="Heading3"/>
        <w:spacing w:after="120" w:before="240"/>
      </w:pPr>
      <w:r>
        <w:rPr>
          <w:rFonts w:ascii="Arial" w:cs="Arial" w:eastAsia="Arial" w:hAnsi="Arial"/>
          <w:b/>
          <w:bCs/>
          <w:color w:val="5C9C8F"/>
          <w:sz w:val="26"/>
          <w:szCs w:val="26"/>
        </w:rPr>
        <w:t xml:space="preserve">Who this guide is for</w:t>
      </w:r>
    </w:p>
    <w:p>
      <w:pPr>
        <w:pStyle w:val="ListParagraph"/>
        <w:numPr>
          <w:ilvl w:val="0"/>
          <w:numId w:val="2"/>
        </w:numPr>
        <w:spacing w:after="60" w:before="60"/>
      </w:pPr>
      <w:r>
        <w:rPr>
          <w:rFonts w:ascii="Arial" w:cs="Arial" w:eastAsia="Arial" w:hAnsi="Arial"/>
          <w:color w:val="1E2E2C"/>
          <w:sz w:val="22"/>
          <w:szCs w:val="22"/>
        </w:rPr>
        <w:t xml:space="preserve">People currently using Ozempic, Wegovy, Mounjaro, Zepbound, Saxenda, or similar (semaglutide, tirzepatide, liraglutide, etc.)</w:t>
      </w:r>
    </w:p>
    <w:p>
      <w:pPr>
        <w:pStyle w:val="ListParagraph"/>
        <w:numPr>
          <w:ilvl w:val="0"/>
          <w:numId w:val="2"/>
        </w:numPr>
        <w:spacing w:after="60" w:before="60"/>
      </w:pPr>
      <w:r>
        <w:rPr>
          <w:rFonts w:ascii="Arial" w:cs="Arial" w:eastAsia="Arial" w:hAnsi="Arial"/>
          <w:color w:val="1E2E2C"/>
          <w:sz w:val="22"/>
          <w:szCs w:val="22"/>
        </w:rPr>
        <w:t xml:space="preserve">People considering starting treatment and who want to go in prepared</w:t>
      </w:r>
    </w:p>
    <w:p>
      <w:pPr>
        <w:pStyle w:val="ListParagraph"/>
        <w:numPr>
          <w:ilvl w:val="0"/>
          <w:numId w:val="2"/>
        </w:numPr>
        <w:spacing w:after="60" w:before="60"/>
      </w:pPr>
      <w:r>
        <w:rPr>
          <w:rFonts w:ascii="Arial" w:cs="Arial" w:eastAsia="Arial" w:hAnsi="Arial"/>
          <w:color w:val="1E2E2C"/>
          <w:sz w:val="22"/>
          <w:szCs w:val="22"/>
        </w:rPr>
        <w:t xml:space="preserve">People who have already finished treatment and want to keep the results without the rebound</w:t>
      </w:r>
    </w:p>
    <w:p>
      <w:pPr>
        <w:pStyle w:val="ListParagraph"/>
        <w:numPr>
          <w:ilvl w:val="0"/>
          <w:numId w:val="2"/>
        </w:numPr>
        <w:spacing w:after="60" w:before="60"/>
      </w:pPr>
      <w:r>
        <w:rPr>
          <w:rFonts w:ascii="Arial" w:cs="Arial" w:eastAsia="Arial" w:hAnsi="Arial"/>
          <w:color w:val="1E2E2C"/>
          <w:sz w:val="22"/>
          <w:szCs w:val="22"/>
        </w:rPr>
        <w:t xml:space="preserve">Family members and caregivers who want to understand what the person is going through and how to help with daily meals</w:t>
      </w:r>
    </w:p>
    <w:p>
      <w:pPr>
        <w:pStyle w:val="Heading1"/>
        <w:pageBreakBefore/>
        <w:spacing w:after="240" w:before="0"/>
      </w:pPr>
      <w:r>
        <w:rPr>
          <w:rFonts w:ascii="Georgia" w:cs="Georgia" w:eastAsia="Georgia" w:hAnsi="Georgia"/>
          <w:b/>
          <w:bCs/>
          <w:color w:val="1F4E5A"/>
          <w:sz w:val="40"/>
          <w:szCs w:val="40"/>
        </w:rPr>
        <w:t xml:space="preserve">Chapter 1 — How GLP-1 Medications Work (No Fluff)</w:t>
      </w:r>
    </w:p>
    <w:p>
      <w:pPr>
        <w:spacing w:after="160" w:before="100"/>
      </w:pPr>
      <w:r>
        <w:rPr>
          <w:rFonts w:ascii="Arial" w:cs="Arial" w:eastAsia="Arial" w:hAnsi="Arial"/>
          <w:color w:val="1E2E2C"/>
          <w:sz w:val="22"/>
          <w:szCs w:val="22"/>
        </w:rPr>
        <w:t xml:space="preserve">GLP-1 medications mimic a hormone that the gut naturally produces after meals. This hormone signals the brain that you’re full, slows stomach emptying, and helps the pancreas regulate blood sugar.</w:t>
      </w:r>
    </w:p>
    <w:p>
      <w:pPr>
        <w:spacing w:after="160" w:before="100"/>
      </w:pPr>
      <w:r>
        <w:rPr>
          <w:rFonts w:ascii="Arial" w:cs="Arial" w:eastAsia="Arial" w:hAnsi="Arial"/>
          <w:color w:val="1E2E2C"/>
          <w:sz w:val="22"/>
          <w:szCs w:val="22"/>
        </w:rPr>
        <w:t xml:space="preserve">In practice, the result is: you feel hungry later, you’re satisfied with smaller portions, and for many people the urge to binge-eat simply disappears. For someone who spent years trying to “have willpower,” it feels almost liberating.</w:t>
      </w:r>
    </w:p>
    <w:p>
      <w:pPr>
        <w:spacing w:after="160" w:before="100"/>
      </w:pPr>
      <w:r>
        <w:rPr>
          <w:rFonts w:ascii="Arial" w:cs="Arial" w:eastAsia="Arial" w:hAnsi="Arial"/>
          <w:color w:val="1E2E2C"/>
          <w:sz w:val="22"/>
          <w:szCs w:val="22"/>
        </w:rPr>
        <w:t xml:space="preserve">The problem is that this appetite reduction is non-selective. The body doesn’t automatically distinguish between “this food is important for maintaining my muscle” and “this food is just an extra dessert.” If total food intake drops but quality isn’t adjusted, the caloric deficit will pull energy from wherever it’s easiest to access — and unfortunately, muscle tissue is an easy target when protein is lacking.</w:t>
      </w:r>
    </w:p>
    <w:p>
      <w:pPr>
        <w:pBdr>
          <w:left w:val="thick" w:color="CE9B4C" w:sz="12" w:space="12"/>
        </w:pBdr>
        <w:shd w:fill="FDF6E8" w:val="clear"/>
        <w:spacing w:after="200" w:before="200"/>
        <w:ind w:left="720" w:right="720"/>
      </w:pPr>
      <w:r>
        <w:rPr>
          <w:rFonts w:ascii="Georgia" w:cs="Georgia" w:eastAsia="Georgia" w:hAnsi="Georgia"/>
          <w:i/>
          <w:iCs/>
          <w:color w:val="1E2E2C"/>
          <w:sz w:val="24"/>
          <w:szCs w:val="24"/>
        </w:rPr>
        <w:t xml:space="preserve">The core point of this guide: losing weight is easy with these medications. The real challenge is choosing where that weight comes from — and that depends almost entirely on three things: protein intake, strength stimulus to your muscles, and consistency over weeks.</w:t>
      </w:r>
    </w:p>
    <w:p>
      <w:pPr>
        <w:pStyle w:val="Heading1"/>
        <w:pageBreakBefore/>
        <w:spacing w:after="240" w:before="0"/>
      </w:pPr>
      <w:r>
        <w:rPr>
          <w:rFonts w:ascii="Georgia" w:cs="Georgia" w:eastAsia="Georgia" w:hAnsi="Georgia"/>
          <w:b/>
          <w:bCs/>
          <w:color w:val="1F4E5A"/>
          <w:sz w:val="40"/>
          <w:szCs w:val="40"/>
        </w:rPr>
        <w:t xml:space="preserve">Chapter 2 — The Real Risk: Muscle Loss</w:t>
      </w:r>
    </w:p>
    <w:p>
      <w:pPr>
        <w:spacing w:after="160" w:before="100"/>
      </w:pPr>
      <w:r>
        <w:rPr>
          <w:rFonts w:ascii="Arial" w:cs="Arial" w:eastAsia="Arial" w:hAnsi="Arial"/>
          <w:color w:val="1E2E2C"/>
          <w:sz w:val="22"/>
          <w:szCs w:val="22"/>
        </w:rPr>
        <w:t xml:space="preserve">Studies on GLP-1 agonists show that, on average, between 25% and 40% of total weight lost can come from lean mass (muscle, not just fat) when no protein and training strategy is in place. In older or sedentary individuals, that number can be even higher.</w:t>
      </w:r>
    </w:p>
    <w:p>
      <w:pPr>
        <w:spacing w:after="160" w:before="100"/>
      </w:pPr>
      <w:r>
        <w:rPr>
          <w:rFonts w:ascii="Arial" w:cs="Arial" w:eastAsia="Arial" w:hAnsi="Arial"/>
          <w:color w:val="1E2E2C"/>
          <w:sz w:val="22"/>
          <w:szCs w:val="22"/>
        </w:rPr>
        <w:t xml:space="preserve">Why is this a serious problem, not just an aesthetic one? Because muscle is your metabolic engine. It’s what burns calories at rest, protects your joints, and keeps you functional — able to climb stairs, carry groceries, and maintain balance as you age. Losing muscle alongside fat is losing weight the wrong way: you end up lighter but proportionally more fragile.</w:t>
      </w:r>
    </w:p>
    <w:p>
      <w:pPr>
        <w:spacing w:after="160" w:before="100"/>
      </w:pPr>
      <w:r>
        <w:rPr>
          <w:rFonts w:ascii="Arial" w:cs="Arial" w:eastAsia="Arial" w:hAnsi="Arial"/>
          <w:color w:val="1E2E2C"/>
          <w:sz w:val="22"/>
          <w:szCs w:val="22"/>
        </w:rPr>
        <w:t xml:space="preserve">Beyond that, less muscle means a slower metabolism. This helps explain why, when the medication is stopped and appetite returns, the weight comes back so fast: the body now needs fewer calories than it did before, but the appetite has returned to its previous level — a perfect formula for the rebound.</w:t>
      </w:r>
    </w:p>
    <w:p>
      <w:pPr>
        <w:pStyle w:val="Heading3"/>
        <w:spacing w:after="120" w:before="240"/>
      </w:pPr>
      <w:r>
        <w:rPr>
          <w:rFonts w:ascii="Arial" w:cs="Arial" w:eastAsia="Arial" w:hAnsi="Arial"/>
          <w:b/>
          <w:bCs/>
          <w:color w:val="5C9C8F"/>
          <w:sz w:val="26"/>
          <w:szCs w:val="26"/>
        </w:rPr>
        <w:t xml:space="preserve">The three pillars of muscle protection</w:t>
      </w:r>
    </w:p>
    <w:p>
      <w:pPr>
        <w:pStyle w:val="ListParagraph"/>
        <w:numPr>
          <w:ilvl w:val="0"/>
          <w:numId w:val="2"/>
        </w:numPr>
        <w:spacing w:after="60" w:before="60"/>
      </w:pPr>
      <w:r>
        <w:rPr>
          <w:rFonts w:ascii="Arial" w:cs="Arial" w:eastAsia="Arial" w:hAnsi="Arial"/>
          <w:color w:val="1E2E2C"/>
          <w:sz w:val="22"/>
          <w:szCs w:val="22"/>
        </w:rPr>
        <w:t xml:space="preserve">Sufficient protein at every meal (Chapter 3)</w:t>
      </w:r>
    </w:p>
    <w:p>
      <w:pPr>
        <w:pStyle w:val="ListParagraph"/>
        <w:numPr>
          <w:ilvl w:val="0"/>
          <w:numId w:val="2"/>
        </w:numPr>
        <w:spacing w:after="60" w:before="60"/>
      </w:pPr>
      <w:r>
        <w:rPr>
          <w:rFonts w:ascii="Arial" w:cs="Arial" w:eastAsia="Arial" w:hAnsi="Arial"/>
          <w:color w:val="1E2E2C"/>
          <w:sz w:val="22"/>
          <w:szCs w:val="22"/>
        </w:rPr>
        <w:t xml:space="preserve">Strength training stimulus at least 2–3 times per week (Chapter 4)</w:t>
      </w:r>
    </w:p>
    <w:p>
      <w:pPr>
        <w:pStyle w:val="ListParagraph"/>
        <w:numPr>
          <w:ilvl w:val="0"/>
          <w:numId w:val="2"/>
        </w:numPr>
        <w:spacing w:after="60" w:before="60"/>
      </w:pPr>
      <w:r>
        <w:rPr>
          <w:rFonts w:ascii="Arial" w:cs="Arial" w:eastAsia="Arial" w:hAnsi="Arial"/>
          <w:color w:val="1E2E2C"/>
          <w:sz w:val="22"/>
          <w:szCs w:val="22"/>
        </w:rPr>
        <w:t xml:space="preserve">Don’t let the caloric deficit become too aggressive — eating little is easy with the medication, but eating too little undermines the goal itself</w:t>
      </w:r>
    </w:p>
    <w:p>
      <w:pPr>
        <w:pStyle w:val="Heading1"/>
        <w:pageBreakBefore/>
        <w:spacing w:after="240" w:before="0"/>
      </w:pPr>
      <w:r>
        <w:rPr>
          <w:rFonts w:ascii="Georgia" w:cs="Georgia" w:eastAsia="Georgia" w:hAnsi="Georgia"/>
          <w:b/>
          <w:bCs/>
          <w:color w:val="1F4E5A"/>
          <w:sz w:val="40"/>
          <w:szCs w:val="40"/>
        </w:rPr>
        <w:t xml:space="preserve">Chapter 3 — Protein: The Foundation of Everything</w:t>
      </w:r>
    </w:p>
    <w:p>
      <w:pPr>
        <w:spacing w:after="160" w:before="100"/>
      </w:pPr>
      <w:r>
        <w:rPr>
          <w:rFonts w:ascii="Arial" w:cs="Arial" w:eastAsia="Arial" w:hAnsi="Arial"/>
          <w:color w:val="1E2E2C"/>
          <w:sz w:val="22"/>
          <w:szCs w:val="22"/>
        </w:rPr>
        <w:t xml:space="preserve">If you remember only one thing from this guide, let it be this: prioritize protein above everything else on your plate. Since appetite is reduced, you have less “room” available at each meal — and every calorie needs to count more.</w:t>
      </w:r>
    </w:p>
    <w:p>
      <w:pPr>
        <w:pStyle w:val="Heading3"/>
        <w:spacing w:after="120" w:before="240"/>
      </w:pPr>
      <w:r>
        <w:rPr>
          <w:rFonts w:ascii="Arial" w:cs="Arial" w:eastAsia="Arial" w:hAnsi="Arial"/>
          <w:b/>
          <w:bCs/>
          <w:color w:val="5C9C8F"/>
          <w:sz w:val="26"/>
          <w:szCs w:val="26"/>
        </w:rPr>
        <w:t xml:space="preserve">How much to eat</w:t>
      </w:r>
    </w:p>
    <w:p>
      <w:pPr>
        <w:spacing w:after="160" w:before="100"/>
      </w:pPr>
      <w:r>
        <w:rPr>
          <w:rFonts w:ascii="Arial" w:cs="Arial" w:eastAsia="Arial" w:hAnsi="Arial"/>
          <w:color w:val="1E2E2C"/>
          <w:sz w:val="22"/>
          <w:szCs w:val="22"/>
        </w:rPr>
        <w:t xml:space="preserve">A practical reference used by dietitians working with GLP-1 patients is around 1.2 to 1.6 grams of protein per kilogram of body weight per day (always adjusted individually, especially if there’s kidney disease or another condition requiring modification).</w:t>
      </w:r>
    </w:p>
    <w:p>
      <w:pPr>
        <w:spacing w:after="160" w:before="100"/>
      </w:pPr>
      <w:r>
        <w:rPr>
          <w:rFonts w:ascii="Arial" w:cs="Arial" w:eastAsia="Arial" w:hAnsi="Arial"/>
          <w:color w:val="1E2E2C"/>
          <w:sz w:val="22"/>
          <w:szCs w:val="22"/>
        </w:rPr>
        <w:t xml:space="preserve">In practice, for someone weighing 175 lbs (80 kg), that comes to 96–128 g of protein per day — which sounds like a lot, but spread over 3–4 meals becomes very manageable.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800"/>
        <w:gridCol w:w="3060"/>
      </w:tblGrid>
      <w:tr>
        <w:tc>
          <w:tcPr>
            <w:tcW w:type="dxa" w:w="3500"/>
            <w:tcBorders>
              <w:top w:val="single" w:color="CCCCCC" w:sz="1"/>
              <w:left w:val="single" w:color="CCCCCC" w:sz="1"/>
              <w:bottom w:val="single" w:color="CCCCCC" w:sz="1"/>
              <w:right w:val="single" w:color="CCCCCC" w:sz="1"/>
            </w:tcBorders>
            <w:shd w:fill="1F4E5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Protein source</w:t>
            </w:r>
          </w:p>
        </w:tc>
        <w:tc>
          <w:tcPr>
            <w:tcW w:type="dxa" w:w="2800"/>
            <w:tcBorders>
              <w:top w:val="single" w:color="CCCCCC" w:sz="1"/>
              <w:left w:val="single" w:color="CCCCCC" w:sz="1"/>
              <w:bottom w:val="single" w:color="CCCCCC" w:sz="1"/>
              <w:right w:val="single" w:color="CCCCCC" w:sz="1"/>
            </w:tcBorders>
            <w:shd w:fill="1F4E5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Practical portion</w:t>
            </w:r>
          </w:p>
        </w:tc>
        <w:tc>
          <w:tcPr>
            <w:tcW w:type="dxa" w:w="3060"/>
            <w:tcBorders>
              <w:top w:val="single" w:color="CCCCCC" w:sz="1"/>
              <w:left w:val="single" w:color="CCCCCC" w:sz="1"/>
              <w:bottom w:val="single" w:color="CCCCCC" w:sz="1"/>
              <w:right w:val="single" w:color="CCCCCC" w:sz="1"/>
            </w:tcBorders>
            <w:shd w:fill="1F4E5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Approx. protein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E2C"/>
                <w:sz w:val="20"/>
                <w:szCs w:val="20"/>
              </w:rPr>
              <w:t xml:space="preserve">Grilled chicken breast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E2C"/>
                <w:sz w:val="20"/>
                <w:szCs w:val="20"/>
              </w:rPr>
              <w:t xml:space="preserve">3.5 oz (100 g)</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E2C"/>
                <w:sz w:val="20"/>
                <w:szCs w:val="20"/>
              </w:rPr>
              <w:t xml:space="preserve">≈ 30 g</w:t>
            </w:r>
          </w:p>
        </w:tc>
      </w:tr>
      <w:tr>
        <w:tc>
          <w:tcPr>
            <w:tcW w:type="dxa" w:w="3500"/>
            <w:tcBorders>
              <w:top w:val="single" w:color="CCCCCC" w:sz="1"/>
              <w:left w:val="single" w:color="CCCCCC" w:sz="1"/>
              <w:bottom w:val="single" w:color="CCCCCC" w:sz="1"/>
              <w:right w:val="single" w:color="CCCCCC" w:sz="1"/>
            </w:tcBorders>
            <w:shd w:fill="F8F4EE" w:val="clear"/>
            <w:tcMar>
              <w:top w:type="dxa" w:w="80"/>
              <w:left w:type="dxa" w:w="120"/>
              <w:bottom w:type="dxa" w:w="80"/>
              <w:right w:type="dxa" w:w="120"/>
            </w:tcMar>
          </w:tcPr>
          <w:p>
            <w:r>
              <w:rPr>
                <w:rFonts w:ascii="Arial" w:cs="Arial" w:eastAsia="Arial" w:hAnsi="Arial"/>
                <w:color w:val="1E2E2C"/>
                <w:sz w:val="20"/>
                <w:szCs w:val="20"/>
              </w:rPr>
              <w:t xml:space="preserve">Hard-boiled egg</w:t>
            </w:r>
          </w:p>
        </w:tc>
        <w:tc>
          <w:tcPr>
            <w:tcW w:type="dxa" w:w="2800"/>
            <w:tcBorders>
              <w:top w:val="single" w:color="CCCCCC" w:sz="1"/>
              <w:left w:val="single" w:color="CCCCCC" w:sz="1"/>
              <w:bottom w:val="single" w:color="CCCCCC" w:sz="1"/>
              <w:right w:val="single" w:color="CCCCCC" w:sz="1"/>
            </w:tcBorders>
            <w:shd w:fill="F8F4EE" w:val="clear"/>
            <w:tcMar>
              <w:top w:type="dxa" w:w="80"/>
              <w:left w:type="dxa" w:w="120"/>
              <w:bottom w:type="dxa" w:w="80"/>
              <w:right w:type="dxa" w:w="120"/>
            </w:tcMar>
          </w:tcPr>
          <w:p>
            <w:r>
              <w:rPr>
                <w:rFonts w:ascii="Arial" w:cs="Arial" w:eastAsia="Arial" w:hAnsi="Arial"/>
                <w:color w:val="1E2E2C"/>
                <w:sz w:val="20"/>
                <w:szCs w:val="20"/>
              </w:rPr>
              <w:t xml:space="preserve">1 large egg</w:t>
            </w:r>
          </w:p>
        </w:tc>
        <w:tc>
          <w:tcPr>
            <w:tcW w:type="dxa" w:w="3060"/>
            <w:tcBorders>
              <w:top w:val="single" w:color="CCCCCC" w:sz="1"/>
              <w:left w:val="single" w:color="CCCCCC" w:sz="1"/>
              <w:bottom w:val="single" w:color="CCCCCC" w:sz="1"/>
              <w:right w:val="single" w:color="CCCCCC" w:sz="1"/>
            </w:tcBorders>
            <w:shd w:fill="F8F4EE" w:val="clear"/>
            <w:tcMar>
              <w:top w:type="dxa" w:w="80"/>
              <w:left w:type="dxa" w:w="120"/>
              <w:bottom w:type="dxa" w:w="80"/>
              <w:right w:type="dxa" w:w="120"/>
            </w:tcMar>
          </w:tcPr>
          <w:p>
            <w:r>
              <w:rPr>
                <w:rFonts w:ascii="Arial" w:cs="Arial" w:eastAsia="Arial" w:hAnsi="Arial"/>
                <w:color w:val="1E2E2C"/>
                <w:sz w:val="20"/>
                <w:szCs w:val="20"/>
              </w:rPr>
              <w:t xml:space="preserve">≈ 6 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E2C"/>
                <w:sz w:val="20"/>
                <w:szCs w:val="20"/>
              </w:rPr>
              <w:t xml:space="preserve">Plain Greek yogurt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E2C"/>
                <w:sz w:val="20"/>
                <w:szCs w:val="20"/>
              </w:rPr>
              <w:t xml:space="preserve">6 oz container (170 g)</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E2C"/>
                <w:sz w:val="20"/>
                <w:szCs w:val="20"/>
              </w:rPr>
              <w:t xml:space="preserve">≈ 15–17 g</w:t>
            </w:r>
          </w:p>
        </w:tc>
      </w:tr>
      <w:tr>
        <w:tc>
          <w:tcPr>
            <w:tcW w:type="dxa" w:w="3500"/>
            <w:tcBorders>
              <w:top w:val="single" w:color="CCCCCC" w:sz="1"/>
              <w:left w:val="single" w:color="CCCCCC" w:sz="1"/>
              <w:bottom w:val="single" w:color="CCCCCC" w:sz="1"/>
              <w:right w:val="single" w:color="CCCCCC" w:sz="1"/>
            </w:tcBorders>
            <w:shd w:fill="F8F4EE" w:val="clear"/>
            <w:tcMar>
              <w:top w:type="dxa" w:w="80"/>
              <w:left w:type="dxa" w:w="120"/>
              <w:bottom w:type="dxa" w:w="80"/>
              <w:right w:type="dxa" w:w="120"/>
            </w:tcMar>
          </w:tcPr>
          <w:p>
            <w:r>
              <w:rPr>
                <w:rFonts w:ascii="Arial" w:cs="Arial" w:eastAsia="Arial" w:hAnsi="Arial"/>
                <w:color w:val="1E2E2C"/>
                <w:sz w:val="20"/>
                <w:szCs w:val="20"/>
              </w:rPr>
              <w:t xml:space="preserve">Cottage cheese</w:t>
            </w:r>
          </w:p>
        </w:tc>
        <w:tc>
          <w:tcPr>
            <w:tcW w:type="dxa" w:w="2800"/>
            <w:tcBorders>
              <w:top w:val="single" w:color="CCCCCC" w:sz="1"/>
              <w:left w:val="single" w:color="CCCCCC" w:sz="1"/>
              <w:bottom w:val="single" w:color="CCCCCC" w:sz="1"/>
              <w:right w:val="single" w:color="CCCCCC" w:sz="1"/>
            </w:tcBorders>
            <w:shd w:fill="F8F4EE" w:val="clear"/>
            <w:tcMar>
              <w:top w:type="dxa" w:w="80"/>
              <w:left w:type="dxa" w:w="120"/>
              <w:bottom w:type="dxa" w:w="80"/>
              <w:right w:type="dxa" w:w="120"/>
            </w:tcMar>
          </w:tcPr>
          <w:p>
            <w:r>
              <w:rPr>
                <w:rFonts w:ascii="Arial" w:cs="Arial" w:eastAsia="Arial" w:hAnsi="Arial"/>
                <w:color w:val="1E2E2C"/>
                <w:sz w:val="20"/>
                <w:szCs w:val="20"/>
              </w:rPr>
              <w:t xml:space="preserve">3.5 oz (100 g)</w:t>
            </w:r>
          </w:p>
        </w:tc>
        <w:tc>
          <w:tcPr>
            <w:tcW w:type="dxa" w:w="3060"/>
            <w:tcBorders>
              <w:top w:val="single" w:color="CCCCCC" w:sz="1"/>
              <w:left w:val="single" w:color="CCCCCC" w:sz="1"/>
              <w:bottom w:val="single" w:color="CCCCCC" w:sz="1"/>
              <w:right w:val="single" w:color="CCCCCC" w:sz="1"/>
            </w:tcBorders>
            <w:shd w:fill="F8F4EE" w:val="clear"/>
            <w:tcMar>
              <w:top w:type="dxa" w:w="80"/>
              <w:left w:type="dxa" w:w="120"/>
              <w:bottom w:type="dxa" w:w="80"/>
              <w:right w:type="dxa" w:w="120"/>
            </w:tcMar>
          </w:tcPr>
          <w:p>
            <w:r>
              <w:rPr>
                <w:rFonts w:ascii="Arial" w:cs="Arial" w:eastAsia="Arial" w:hAnsi="Arial"/>
                <w:color w:val="1E2E2C"/>
                <w:sz w:val="20"/>
                <w:szCs w:val="20"/>
              </w:rPr>
              <w:t xml:space="preserve">≈ 11 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E2C"/>
                <w:sz w:val="20"/>
                <w:szCs w:val="20"/>
              </w:rPr>
              <w:t xml:space="preserve">Whey protein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E2C"/>
                <w:sz w:val="20"/>
                <w:szCs w:val="20"/>
              </w:rPr>
              <w:t xml:space="preserve">1 scoop (30 g powder)</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E2C"/>
                <w:sz w:val="20"/>
                <w:szCs w:val="20"/>
              </w:rPr>
              <w:t xml:space="preserve">≈ 24 g</w:t>
            </w:r>
          </w:p>
        </w:tc>
      </w:tr>
      <w:tr>
        <w:tc>
          <w:tcPr>
            <w:tcW w:type="dxa" w:w="3500"/>
            <w:tcBorders>
              <w:top w:val="single" w:color="CCCCCC" w:sz="1"/>
              <w:left w:val="single" w:color="CCCCCC" w:sz="1"/>
              <w:bottom w:val="single" w:color="CCCCCC" w:sz="1"/>
              <w:right w:val="single" w:color="CCCCCC" w:sz="1"/>
            </w:tcBorders>
            <w:shd w:fill="F8F4EE" w:val="clear"/>
            <w:tcMar>
              <w:top w:type="dxa" w:w="80"/>
              <w:left w:type="dxa" w:w="120"/>
              <w:bottom w:type="dxa" w:w="80"/>
              <w:right w:type="dxa" w:w="120"/>
            </w:tcMar>
          </w:tcPr>
          <w:p>
            <w:r>
              <w:rPr>
                <w:rFonts w:ascii="Arial" w:cs="Arial" w:eastAsia="Arial" w:hAnsi="Arial"/>
                <w:color w:val="1E2E2C"/>
                <w:sz w:val="20"/>
                <w:szCs w:val="20"/>
              </w:rPr>
              <w:t xml:space="preserve">Canned tuna (in water)</w:t>
            </w:r>
          </w:p>
        </w:tc>
        <w:tc>
          <w:tcPr>
            <w:tcW w:type="dxa" w:w="2800"/>
            <w:tcBorders>
              <w:top w:val="single" w:color="CCCCCC" w:sz="1"/>
              <w:left w:val="single" w:color="CCCCCC" w:sz="1"/>
              <w:bottom w:val="single" w:color="CCCCCC" w:sz="1"/>
              <w:right w:val="single" w:color="CCCCCC" w:sz="1"/>
            </w:tcBorders>
            <w:shd w:fill="F8F4EE" w:val="clear"/>
            <w:tcMar>
              <w:top w:type="dxa" w:w="80"/>
              <w:left w:type="dxa" w:w="120"/>
              <w:bottom w:type="dxa" w:w="80"/>
              <w:right w:type="dxa" w:w="120"/>
            </w:tcMar>
          </w:tcPr>
          <w:p>
            <w:r>
              <w:rPr>
                <w:rFonts w:ascii="Arial" w:cs="Arial" w:eastAsia="Arial" w:hAnsi="Arial"/>
                <w:color w:val="1E2E2C"/>
                <w:sz w:val="20"/>
                <w:szCs w:val="20"/>
              </w:rPr>
              <w:t xml:space="preserve">1 can (4 oz / 120 g)</w:t>
            </w:r>
          </w:p>
        </w:tc>
        <w:tc>
          <w:tcPr>
            <w:tcW w:type="dxa" w:w="3060"/>
            <w:tcBorders>
              <w:top w:val="single" w:color="CCCCCC" w:sz="1"/>
              <w:left w:val="single" w:color="CCCCCC" w:sz="1"/>
              <w:bottom w:val="single" w:color="CCCCCC" w:sz="1"/>
              <w:right w:val="single" w:color="CCCCCC" w:sz="1"/>
            </w:tcBorders>
            <w:shd w:fill="F8F4EE" w:val="clear"/>
            <w:tcMar>
              <w:top w:type="dxa" w:w="80"/>
              <w:left w:type="dxa" w:w="120"/>
              <w:bottom w:type="dxa" w:w="80"/>
              <w:right w:type="dxa" w:w="120"/>
            </w:tcMar>
          </w:tcPr>
          <w:p>
            <w:r>
              <w:rPr>
                <w:rFonts w:ascii="Arial" w:cs="Arial" w:eastAsia="Arial" w:hAnsi="Arial"/>
                <w:color w:val="1E2E2C"/>
                <w:sz w:val="20"/>
                <w:szCs w:val="20"/>
              </w:rPr>
              <w:t xml:space="preserve">≈ 26 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E2C"/>
                <w:sz w:val="20"/>
                <w:szCs w:val="20"/>
              </w:rPr>
              <w:t xml:space="preserve">Black beans, cooked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E2C"/>
                <w:sz w:val="20"/>
                <w:szCs w:val="20"/>
              </w:rPr>
              <w:t xml:space="preserve">1/2 cup (100 g)</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E2C"/>
                <w:sz w:val="20"/>
                <w:szCs w:val="20"/>
              </w:rPr>
              <w:t xml:space="preserve">≈ 8 g</w:t>
            </w:r>
          </w:p>
        </w:tc>
      </w:tr>
      <w:tr>
        <w:tc>
          <w:tcPr>
            <w:tcW w:type="dxa" w:w="3500"/>
            <w:tcBorders>
              <w:top w:val="single" w:color="CCCCCC" w:sz="1"/>
              <w:left w:val="single" w:color="CCCCCC" w:sz="1"/>
              <w:bottom w:val="single" w:color="CCCCCC" w:sz="1"/>
              <w:right w:val="single" w:color="CCCCCC" w:sz="1"/>
            </w:tcBorders>
            <w:shd w:fill="F8F4EE" w:val="clear"/>
            <w:tcMar>
              <w:top w:type="dxa" w:w="80"/>
              <w:left w:type="dxa" w:w="120"/>
              <w:bottom w:type="dxa" w:w="80"/>
              <w:right w:type="dxa" w:w="120"/>
            </w:tcMar>
          </w:tcPr>
          <w:p>
            <w:r>
              <w:rPr>
                <w:rFonts w:ascii="Arial" w:cs="Arial" w:eastAsia="Arial" w:hAnsi="Arial"/>
                <w:color w:val="1E2E2C"/>
                <w:sz w:val="20"/>
                <w:szCs w:val="20"/>
              </w:rPr>
              <w:t xml:space="preserve">Firm tofu</w:t>
            </w:r>
          </w:p>
        </w:tc>
        <w:tc>
          <w:tcPr>
            <w:tcW w:type="dxa" w:w="2800"/>
            <w:tcBorders>
              <w:top w:val="single" w:color="CCCCCC" w:sz="1"/>
              <w:left w:val="single" w:color="CCCCCC" w:sz="1"/>
              <w:bottom w:val="single" w:color="CCCCCC" w:sz="1"/>
              <w:right w:val="single" w:color="CCCCCC" w:sz="1"/>
            </w:tcBorders>
            <w:shd w:fill="F8F4EE" w:val="clear"/>
            <w:tcMar>
              <w:top w:type="dxa" w:w="80"/>
              <w:left w:type="dxa" w:w="120"/>
              <w:bottom w:type="dxa" w:w="80"/>
              <w:right w:type="dxa" w:w="120"/>
            </w:tcMar>
          </w:tcPr>
          <w:p>
            <w:r>
              <w:rPr>
                <w:rFonts w:ascii="Arial" w:cs="Arial" w:eastAsia="Arial" w:hAnsi="Arial"/>
                <w:color w:val="1E2E2C"/>
                <w:sz w:val="20"/>
                <w:szCs w:val="20"/>
              </w:rPr>
              <w:t xml:space="preserve">3.5 oz (100 g)</w:t>
            </w:r>
          </w:p>
        </w:tc>
        <w:tc>
          <w:tcPr>
            <w:tcW w:type="dxa" w:w="3060"/>
            <w:tcBorders>
              <w:top w:val="single" w:color="CCCCCC" w:sz="1"/>
              <w:left w:val="single" w:color="CCCCCC" w:sz="1"/>
              <w:bottom w:val="single" w:color="CCCCCC" w:sz="1"/>
              <w:right w:val="single" w:color="CCCCCC" w:sz="1"/>
            </w:tcBorders>
            <w:shd w:fill="F8F4EE" w:val="clear"/>
            <w:tcMar>
              <w:top w:type="dxa" w:w="80"/>
              <w:left w:type="dxa" w:w="120"/>
              <w:bottom w:type="dxa" w:w="80"/>
              <w:right w:type="dxa" w:w="120"/>
            </w:tcMar>
          </w:tcPr>
          <w:p>
            <w:r>
              <w:rPr>
                <w:rFonts w:ascii="Arial" w:cs="Arial" w:eastAsia="Arial" w:hAnsi="Arial"/>
                <w:color w:val="1E2E2C"/>
                <w:sz w:val="20"/>
                <w:szCs w:val="20"/>
              </w:rPr>
              <w:t xml:space="preserve">≈ 12–15 g</w:t>
            </w:r>
          </w:p>
        </w:tc>
      </w:tr>
    </w:tbl>
    <w:p>
      <w:pPr>
        <w:spacing w:after="120" w:before="0"/>
      </w:pPr>
      <w:r>
        <w:t xml:space="preserve"/>
      </w:r>
    </w:p>
    <w:p>
      <w:pPr>
        <w:pStyle w:val="Heading3"/>
        <w:spacing w:after="120" w:before="240"/>
      </w:pPr>
      <w:r>
        <w:rPr>
          <w:rFonts w:ascii="Arial" w:cs="Arial" w:eastAsia="Arial" w:hAnsi="Arial"/>
          <w:b/>
          <w:bCs/>
          <w:color w:val="5C9C8F"/>
          <w:sz w:val="26"/>
          <w:szCs w:val="26"/>
        </w:rPr>
        <w:t xml:space="preserve">How to fit protein in when appetite is almost zero</w:t>
      </w:r>
    </w:p>
    <w:p>
      <w:pPr>
        <w:pStyle w:val="ListParagraph"/>
        <w:numPr>
          <w:ilvl w:val="0"/>
          <w:numId w:val="2"/>
        </w:numPr>
        <w:spacing w:after="60" w:before="60"/>
      </w:pPr>
      <w:r>
        <w:rPr>
          <w:rFonts w:ascii="Arial" w:cs="Arial" w:eastAsia="Arial" w:hAnsi="Arial"/>
          <w:color w:val="1E2E2C"/>
          <w:sz w:val="22"/>
          <w:szCs w:val="22"/>
        </w:rPr>
        <w:t xml:space="preserve">Eat protein first. Literally: your first bite at every meal should be the protein source, before the rice, pasta, or bread.</w:t>
      </w:r>
    </w:p>
    <w:p>
      <w:pPr>
        <w:pStyle w:val="ListParagraph"/>
        <w:numPr>
          <w:ilvl w:val="0"/>
          <w:numId w:val="2"/>
        </w:numPr>
        <w:spacing w:after="60" w:before="60"/>
      </w:pPr>
      <w:r>
        <w:rPr>
          <w:rFonts w:ascii="Arial" w:cs="Arial" w:eastAsia="Arial" w:hAnsi="Arial"/>
          <w:color w:val="1E2E2C"/>
          <w:sz w:val="22"/>
          <w:szCs w:val="22"/>
        </w:rPr>
        <w:t xml:space="preserve">Lean on liquids when hunger is very low: whey shakes, blended yogurt with fruit, chicken broth-based soups — these are easier to get down than dense solid foods.</w:t>
      </w:r>
    </w:p>
    <w:p>
      <w:pPr>
        <w:pStyle w:val="ListParagraph"/>
        <w:numPr>
          <w:ilvl w:val="0"/>
          <w:numId w:val="2"/>
        </w:numPr>
        <w:spacing w:after="60" w:before="60"/>
      </w:pPr>
      <w:r>
        <w:rPr>
          <w:rFonts w:ascii="Arial" w:cs="Arial" w:eastAsia="Arial" w:hAnsi="Arial"/>
          <w:color w:val="1E2E2C"/>
          <w:sz w:val="22"/>
          <w:szCs w:val="22"/>
        </w:rPr>
        <w:t xml:space="preserve">Keep emergency options ready: hard-boiled eggs in the fridge, yogurt cups, canned tuna, low-sugar protein bars.</w:t>
      </w:r>
    </w:p>
    <w:p>
      <w:pPr>
        <w:pStyle w:val="ListParagraph"/>
        <w:numPr>
          <w:ilvl w:val="0"/>
          <w:numId w:val="2"/>
        </w:numPr>
        <w:spacing w:after="60" w:before="60"/>
      </w:pPr>
      <w:r>
        <w:rPr>
          <w:rFonts w:ascii="Arial" w:cs="Arial" w:eastAsia="Arial" w:hAnsi="Arial"/>
          <w:color w:val="1E2E2C"/>
          <w:sz w:val="22"/>
          <w:szCs w:val="22"/>
        </w:rPr>
        <w:t xml:space="preserve">If appetite is nearly zero on a given day, at minimum secure the protein — the remaining calories can come from whatever healthy food you can tolerate.</w:t>
      </w:r>
    </w:p>
    <w:p>
      <w:pPr>
        <w:pStyle w:val="Heading1"/>
        <w:pageBreakBefore/>
        <w:spacing w:after="240" w:before="0"/>
      </w:pPr>
      <w:r>
        <w:rPr>
          <w:rFonts w:ascii="Georgia" w:cs="Georgia" w:eastAsia="Georgia" w:hAnsi="Georgia"/>
          <w:b/>
          <w:bCs/>
          <w:color w:val="1F4E5A"/>
          <w:sz w:val="40"/>
          <w:szCs w:val="40"/>
        </w:rPr>
        <w:t xml:space="preserve">Chapter 4 — The Minimum Effective Workout</w:t>
      </w:r>
    </w:p>
    <w:p>
      <w:pPr>
        <w:spacing w:after="160" w:before="100"/>
      </w:pPr>
      <w:r>
        <w:rPr>
          <w:rFonts w:ascii="Arial" w:cs="Arial" w:eastAsia="Arial" w:hAnsi="Arial"/>
          <w:color w:val="1E2E2C"/>
          <w:sz w:val="22"/>
          <w:szCs w:val="22"/>
        </w:rPr>
        <w:t xml:space="preserve">You don’t need to become an athlete. The goal here is to give your body a reason to preserve the muscle it already has — without that signal, any caloric shortfall will be taken from muscle tissue first.</w:t>
      </w:r>
    </w:p>
    <w:p>
      <w:pPr>
        <w:pStyle w:val="Heading3"/>
        <w:spacing w:after="120" w:before="240"/>
      </w:pPr>
      <w:r>
        <w:rPr>
          <w:rFonts w:ascii="Arial" w:cs="Arial" w:eastAsia="Arial" w:hAnsi="Arial"/>
          <w:b/>
          <w:bCs/>
          <w:color w:val="5C9C8F"/>
          <w:sz w:val="26"/>
          <w:szCs w:val="26"/>
        </w:rPr>
        <w:t xml:space="preserve">The 2x-per-week rule</w:t>
      </w:r>
    </w:p>
    <w:p>
      <w:pPr>
        <w:spacing w:after="160" w:before="100"/>
      </w:pPr>
      <w:r>
        <w:rPr>
          <w:rFonts w:ascii="Arial" w:cs="Arial" w:eastAsia="Arial" w:hAnsi="Arial"/>
          <w:color w:val="1E2E2C"/>
          <w:sz w:val="22"/>
          <w:szCs w:val="22"/>
        </w:rPr>
        <w:t xml:space="preserve">Research on lean mass preservation during weight loss consistently points to a minimum of 2 strength training sessions per week, targeting the major muscle groups (legs, back, chest, shoulders). No gym required — it can be done at home with bodyweight, resistance bands, or basic dumbbells.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200"/>
        <w:gridCol w:w="3660"/>
      </w:tblGrid>
      <w:tr>
        <w:tc>
          <w:tcPr>
            <w:tcW w:type="dxa" w:w="3500"/>
            <w:tcBorders>
              <w:top w:val="single" w:color="CCCCCC" w:sz="1"/>
              <w:left w:val="single" w:color="CCCCCC" w:sz="1"/>
              <w:bottom w:val="single" w:color="CCCCCC" w:sz="1"/>
              <w:right w:val="single" w:color="CCCCCC" w:sz="1"/>
            </w:tcBorders>
            <w:shd w:fill="1F4E5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Exercise</w:t>
            </w:r>
          </w:p>
        </w:tc>
        <w:tc>
          <w:tcPr>
            <w:tcW w:type="dxa" w:w="2200"/>
            <w:tcBorders>
              <w:top w:val="single" w:color="CCCCCC" w:sz="1"/>
              <w:left w:val="single" w:color="CCCCCC" w:sz="1"/>
              <w:bottom w:val="single" w:color="CCCCCC" w:sz="1"/>
              <w:right w:val="single" w:color="CCCCCC" w:sz="1"/>
            </w:tcBorders>
            <w:shd w:fill="1F4E5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Sets × Reps</w:t>
            </w:r>
          </w:p>
        </w:tc>
        <w:tc>
          <w:tcPr>
            <w:tcW w:type="dxa" w:w="3660"/>
            <w:tcBorders>
              <w:top w:val="single" w:color="CCCCCC" w:sz="1"/>
              <w:left w:val="single" w:color="CCCCCC" w:sz="1"/>
              <w:bottom w:val="single" w:color="CCCCCC" w:sz="1"/>
              <w:right w:val="single" w:color="CCCCCC" w:sz="1"/>
            </w:tcBorders>
            <w:shd w:fill="1F4E5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E2C"/>
                <w:sz w:val="20"/>
                <w:szCs w:val="20"/>
              </w:rPr>
              <w:t xml:space="preserve">Chair squat / Bodyweight squat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E2C"/>
                <w:sz w:val="20"/>
                <w:szCs w:val="20"/>
              </w:rPr>
              <w:t xml:space="preserve">3 × 10–15</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E2C"/>
                <w:sz w:val="20"/>
                <w:szCs w:val="20"/>
              </w:rPr>
              <w:t xml:space="preserve">Can use hands for support</w:t>
            </w:r>
          </w:p>
        </w:tc>
      </w:tr>
      <w:tr>
        <w:tc>
          <w:tcPr>
            <w:tcW w:type="dxa" w:w="3500"/>
            <w:tcBorders>
              <w:top w:val="single" w:color="CCCCCC" w:sz="1"/>
              <w:left w:val="single" w:color="CCCCCC" w:sz="1"/>
              <w:bottom w:val="single" w:color="CCCCCC" w:sz="1"/>
              <w:right w:val="single" w:color="CCCCCC" w:sz="1"/>
            </w:tcBorders>
            <w:shd w:fill="F8F4EE" w:val="clear"/>
            <w:tcMar>
              <w:top w:type="dxa" w:w="80"/>
              <w:left w:type="dxa" w:w="120"/>
              <w:bottom w:type="dxa" w:w="80"/>
              <w:right w:type="dxa" w:w="120"/>
            </w:tcMar>
          </w:tcPr>
          <w:p>
            <w:r>
              <w:rPr>
                <w:rFonts w:ascii="Arial" w:cs="Arial" w:eastAsia="Arial" w:hAnsi="Arial"/>
                <w:color w:val="1E2E2C"/>
                <w:sz w:val="20"/>
                <w:szCs w:val="20"/>
              </w:rPr>
              <w:t xml:space="preserve">Push-up (floor or wall)</w:t>
            </w:r>
          </w:p>
        </w:tc>
        <w:tc>
          <w:tcPr>
            <w:tcW w:type="dxa" w:w="2200"/>
            <w:tcBorders>
              <w:top w:val="single" w:color="CCCCCC" w:sz="1"/>
              <w:left w:val="single" w:color="CCCCCC" w:sz="1"/>
              <w:bottom w:val="single" w:color="CCCCCC" w:sz="1"/>
              <w:right w:val="single" w:color="CCCCCC" w:sz="1"/>
            </w:tcBorders>
            <w:shd w:fill="F8F4EE" w:val="clear"/>
            <w:tcMar>
              <w:top w:type="dxa" w:w="80"/>
              <w:left w:type="dxa" w:w="120"/>
              <w:bottom w:type="dxa" w:w="80"/>
              <w:right w:type="dxa" w:w="120"/>
            </w:tcMar>
          </w:tcPr>
          <w:p>
            <w:r>
              <w:rPr>
                <w:rFonts w:ascii="Arial" w:cs="Arial" w:eastAsia="Arial" w:hAnsi="Arial"/>
                <w:color w:val="1E2E2C"/>
                <w:sz w:val="20"/>
                <w:szCs w:val="20"/>
              </w:rPr>
              <w:t xml:space="preserve">3 × 8–12</w:t>
            </w:r>
          </w:p>
        </w:tc>
        <w:tc>
          <w:tcPr>
            <w:tcW w:type="dxa" w:w="3660"/>
            <w:tcBorders>
              <w:top w:val="single" w:color="CCCCCC" w:sz="1"/>
              <w:left w:val="single" w:color="CCCCCC" w:sz="1"/>
              <w:bottom w:val="single" w:color="CCCCCC" w:sz="1"/>
              <w:right w:val="single" w:color="CCCCCC" w:sz="1"/>
            </w:tcBorders>
            <w:shd w:fill="F8F4EE" w:val="clear"/>
            <w:tcMar>
              <w:top w:type="dxa" w:w="80"/>
              <w:left w:type="dxa" w:w="120"/>
              <w:bottom w:type="dxa" w:w="80"/>
              <w:right w:type="dxa" w:w="120"/>
            </w:tcMar>
          </w:tcPr>
          <w:p>
            <w:r>
              <w:rPr>
                <w:rFonts w:ascii="Arial" w:cs="Arial" w:eastAsia="Arial" w:hAnsi="Arial"/>
                <w:color w:val="1E2E2C"/>
                <w:sz w:val="20"/>
                <w:szCs w:val="20"/>
              </w:rPr>
              <w:t xml:space="preserve">Adjust incline to your level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E2C"/>
                <w:sz w:val="20"/>
                <w:szCs w:val="20"/>
              </w:rPr>
              <w:t xml:space="preserve">Resistance band or dumbbell row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E2C"/>
                <w:sz w:val="20"/>
                <w:szCs w:val="20"/>
              </w:rPr>
              <w:t xml:space="preserve">3 × 10–15</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E2C"/>
                <w:sz w:val="20"/>
                <w:szCs w:val="20"/>
              </w:rPr>
              <w:t xml:space="preserve">Focus on back and posture</w:t>
            </w:r>
          </w:p>
        </w:tc>
      </w:tr>
      <w:tr>
        <w:tc>
          <w:tcPr>
            <w:tcW w:type="dxa" w:w="3500"/>
            <w:tcBorders>
              <w:top w:val="single" w:color="CCCCCC" w:sz="1"/>
              <w:left w:val="single" w:color="CCCCCC" w:sz="1"/>
              <w:bottom w:val="single" w:color="CCCCCC" w:sz="1"/>
              <w:right w:val="single" w:color="CCCCCC" w:sz="1"/>
            </w:tcBorders>
            <w:shd w:fill="F8F4EE" w:val="clear"/>
            <w:tcMar>
              <w:top w:type="dxa" w:w="80"/>
              <w:left w:type="dxa" w:w="120"/>
              <w:bottom w:type="dxa" w:w="80"/>
              <w:right w:type="dxa" w:w="120"/>
            </w:tcMar>
          </w:tcPr>
          <w:p>
            <w:r>
              <w:rPr>
                <w:rFonts w:ascii="Arial" w:cs="Arial" w:eastAsia="Arial" w:hAnsi="Arial"/>
                <w:color w:val="1E2E2C"/>
                <w:sz w:val="20"/>
                <w:szCs w:val="20"/>
              </w:rPr>
              <w:t xml:space="preserve">Glute bridge</w:t>
            </w:r>
          </w:p>
        </w:tc>
        <w:tc>
          <w:tcPr>
            <w:tcW w:type="dxa" w:w="2200"/>
            <w:tcBorders>
              <w:top w:val="single" w:color="CCCCCC" w:sz="1"/>
              <w:left w:val="single" w:color="CCCCCC" w:sz="1"/>
              <w:bottom w:val="single" w:color="CCCCCC" w:sz="1"/>
              <w:right w:val="single" w:color="CCCCCC" w:sz="1"/>
            </w:tcBorders>
            <w:shd w:fill="F8F4EE" w:val="clear"/>
            <w:tcMar>
              <w:top w:type="dxa" w:w="80"/>
              <w:left w:type="dxa" w:w="120"/>
              <w:bottom w:type="dxa" w:w="80"/>
              <w:right w:type="dxa" w:w="120"/>
            </w:tcMar>
          </w:tcPr>
          <w:p>
            <w:r>
              <w:rPr>
                <w:rFonts w:ascii="Arial" w:cs="Arial" w:eastAsia="Arial" w:hAnsi="Arial"/>
                <w:color w:val="1E2E2C"/>
                <w:sz w:val="20"/>
                <w:szCs w:val="20"/>
              </w:rPr>
              <w:t xml:space="preserve">3 × 12–15</w:t>
            </w:r>
          </w:p>
        </w:tc>
        <w:tc>
          <w:tcPr>
            <w:tcW w:type="dxa" w:w="3660"/>
            <w:tcBorders>
              <w:top w:val="single" w:color="CCCCCC" w:sz="1"/>
              <w:left w:val="single" w:color="CCCCCC" w:sz="1"/>
              <w:bottom w:val="single" w:color="CCCCCC" w:sz="1"/>
              <w:right w:val="single" w:color="CCCCCC" w:sz="1"/>
            </w:tcBorders>
            <w:shd w:fill="F8F4EE" w:val="clear"/>
            <w:tcMar>
              <w:top w:type="dxa" w:w="80"/>
              <w:left w:type="dxa" w:w="120"/>
              <w:bottom w:type="dxa" w:w="80"/>
              <w:right w:type="dxa" w:w="120"/>
            </w:tcMar>
          </w:tcPr>
          <w:p>
            <w:r>
              <w:rPr>
                <w:rFonts w:ascii="Arial" w:cs="Arial" w:eastAsia="Arial" w:hAnsi="Arial"/>
                <w:color w:val="1E2E2C"/>
                <w:sz w:val="20"/>
                <w:szCs w:val="20"/>
              </w:rPr>
              <w:t xml:space="preserve">Great for hips and lower back</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E2C"/>
                <w:sz w:val="20"/>
                <w:szCs w:val="20"/>
              </w:rPr>
              <w:t xml:space="preserve">Plank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E2C"/>
                <w:sz w:val="20"/>
                <w:szCs w:val="20"/>
              </w:rPr>
              <w:t xml:space="preserve">3 × 20–40 sec</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E2C"/>
                <w:sz w:val="20"/>
                <w:szCs w:val="20"/>
              </w:rPr>
              <w:t xml:space="preserve">Can be done on knees</w:t>
            </w:r>
          </w:p>
        </w:tc>
      </w:tr>
    </w:tbl>
    <w:p>
      <w:pPr>
        <w:spacing w:after="120" w:before="0"/>
      </w:pPr>
      <w:r>
        <w:t xml:space="preserve"/>
      </w:r>
    </w:p>
    <w:p>
      <w:pPr>
        <w:pStyle w:val="Heading3"/>
        <w:spacing w:after="120" w:before="240"/>
      </w:pPr>
      <w:r>
        <w:rPr>
          <w:rFonts w:ascii="Arial" w:cs="Arial" w:eastAsia="Arial" w:hAnsi="Arial"/>
          <w:b/>
          <w:bCs/>
          <w:color w:val="5C9C8F"/>
          <w:sz w:val="26"/>
          <w:szCs w:val="26"/>
        </w:rPr>
        <w:t xml:space="preserve">Walking: the underrated ally</w:t>
      </w:r>
    </w:p>
    <w:p>
      <w:pPr>
        <w:spacing w:after="160" w:before="100"/>
      </w:pPr>
      <w:r>
        <w:rPr>
          <w:rFonts w:ascii="Arial" w:cs="Arial" w:eastAsia="Arial" w:hAnsi="Arial"/>
          <w:color w:val="1E2E2C"/>
          <w:sz w:val="22"/>
          <w:szCs w:val="22"/>
        </w:rPr>
        <w:t xml:space="preserve">Walking doesn’t replace strength training, but it helps maintain energy expenditure, improves mood (important when appetite and energy feel different from usual), and is a gentle way to keep the body moving on days when strength training isn’t possible. Twenty to thirty minutes a day makes a real difference.</w:t>
      </w:r>
    </w:p>
    <w:p>
      <w:pPr>
        <w:pBdr>
          <w:left w:val="thick" w:color="CE9B4C" w:sz="12" w:space="12"/>
        </w:pBdr>
        <w:shd w:fill="FDF6E8" w:val="clear"/>
        <w:spacing w:after="200" w:before="200"/>
        <w:ind w:left="720" w:right="720"/>
      </w:pPr>
      <w:r>
        <w:rPr>
          <w:rFonts w:ascii="Georgia" w:cs="Georgia" w:eastAsia="Georgia" w:hAnsi="Georgia"/>
          <w:i/>
          <w:iCs/>
          <w:color w:val="1E2E2C"/>
          <w:sz w:val="24"/>
          <w:szCs w:val="24"/>
        </w:rPr>
        <w:t xml:space="preserve">Practical tip: if on any given day you can only do one thing, choose strength training over cardio. It’s the stimulus that most protects muscle during weight loss.</w:t>
      </w:r>
    </w:p>
    <w:p>
      <w:pPr>
        <w:pStyle w:val="Heading1"/>
        <w:pageBreakBefore/>
        <w:spacing w:after="240" w:before="0"/>
      </w:pPr>
      <w:r>
        <w:rPr>
          <w:rFonts w:ascii="Georgia" w:cs="Georgia" w:eastAsia="Georgia" w:hAnsi="Georgia"/>
          <w:b/>
          <w:bCs/>
          <w:color w:val="1F4E5A"/>
          <w:sz w:val="40"/>
          <w:szCs w:val="40"/>
        </w:rPr>
        <w:t xml:space="preserve">Chapter 5 — Managing the Most Common Side Effects</w:t>
      </w:r>
    </w:p>
    <w:p>
      <w:pPr>
        <w:spacing w:after="160" w:before="100"/>
      </w:pPr>
      <w:r>
        <w:rPr>
          <w:rFonts w:ascii="Arial" w:cs="Arial" w:eastAsia="Arial" w:hAnsi="Arial"/>
          <w:color w:val="1E2E2C"/>
          <w:sz w:val="22"/>
          <w:szCs w:val="22"/>
        </w:rPr>
        <w:t xml:space="preserve">Most GLP-1 side effects are digestive in nature — which makes sense, since the medication acts directly on stomach emptying. The good news is that small adjustments to how you eat help a lot. The important caveat: if you experience strong or persistent side effects, always bring them to your doctor, who can adjust your dose or management approach.</w:t>
      </w:r>
    </w:p>
    <w:p>
      <w:pPr>
        <w:pStyle w:val="Heading3"/>
        <w:spacing w:after="120" w:before="240"/>
      </w:pPr>
      <w:r>
        <w:rPr>
          <w:rFonts w:ascii="Arial" w:cs="Arial" w:eastAsia="Arial" w:hAnsi="Arial"/>
          <w:b/>
          <w:bCs/>
          <w:color w:val="5C9C8F"/>
          <w:sz w:val="26"/>
          <w:szCs w:val="26"/>
        </w:rPr>
        <w:t xml:space="preserve">Nausea</w:t>
      </w:r>
    </w:p>
    <w:p>
      <w:pPr>
        <w:pStyle w:val="ListParagraph"/>
        <w:numPr>
          <w:ilvl w:val="0"/>
          <w:numId w:val="2"/>
        </w:numPr>
        <w:spacing w:after="60" w:before="60"/>
      </w:pPr>
      <w:r>
        <w:rPr>
          <w:rFonts w:ascii="Arial" w:cs="Arial" w:eastAsia="Arial" w:hAnsi="Arial"/>
          <w:color w:val="1E2E2C"/>
          <w:sz w:val="22"/>
          <w:szCs w:val="22"/>
        </w:rPr>
        <w:t xml:space="preserve">Prefer smaller, more frequent portions instead of large meals.</w:t>
      </w:r>
    </w:p>
    <w:p>
      <w:pPr>
        <w:pStyle w:val="ListParagraph"/>
        <w:numPr>
          <w:ilvl w:val="0"/>
          <w:numId w:val="2"/>
        </w:numPr>
        <w:spacing w:after="60" w:before="60"/>
      </w:pPr>
      <w:r>
        <w:rPr>
          <w:rFonts w:ascii="Arial" w:cs="Arial" w:eastAsia="Arial" w:hAnsi="Arial"/>
          <w:color w:val="1E2E2C"/>
          <w:sz w:val="22"/>
          <w:szCs w:val="22"/>
        </w:rPr>
        <w:t xml:space="preserve">Avoid very fatty, fried, or heavily spiced foods in the days immediately following your injection.</w:t>
      </w:r>
    </w:p>
    <w:p>
      <w:pPr>
        <w:pStyle w:val="ListParagraph"/>
        <w:numPr>
          <w:ilvl w:val="0"/>
          <w:numId w:val="2"/>
        </w:numPr>
        <w:spacing w:after="60" w:before="60"/>
      </w:pPr>
      <w:r>
        <w:rPr>
          <w:rFonts w:ascii="Arial" w:cs="Arial" w:eastAsia="Arial" w:hAnsi="Arial"/>
          <w:color w:val="1E2E2C"/>
          <w:sz w:val="22"/>
          <w:szCs w:val="22"/>
        </w:rPr>
        <w:t xml:space="preserve">Cold or room-temperature foods are usually better tolerated than hot, strong-smelling dishes.</w:t>
      </w:r>
    </w:p>
    <w:p>
      <w:pPr>
        <w:pStyle w:val="ListParagraph"/>
        <w:numPr>
          <w:ilvl w:val="0"/>
          <w:numId w:val="2"/>
        </w:numPr>
        <w:spacing w:after="60" w:before="60"/>
      </w:pPr>
      <w:r>
        <w:rPr>
          <w:rFonts w:ascii="Arial" w:cs="Arial" w:eastAsia="Arial" w:hAnsi="Arial"/>
          <w:color w:val="1E2E2C"/>
          <w:sz w:val="22"/>
          <w:szCs w:val="22"/>
        </w:rPr>
        <w:t xml:space="preserve">Ginger (as tea or ginger chews) is a traditional remedy for mild nausea that many people find helpful.</w:t>
      </w:r>
    </w:p>
    <w:p>
      <w:pPr>
        <w:pStyle w:val="Heading3"/>
        <w:spacing w:after="120" w:before="240"/>
      </w:pPr>
      <w:r>
        <w:rPr>
          <w:rFonts w:ascii="Arial" w:cs="Arial" w:eastAsia="Arial" w:hAnsi="Arial"/>
          <w:b/>
          <w:bCs/>
          <w:color w:val="5C9C8F"/>
          <w:sz w:val="26"/>
          <w:szCs w:val="26"/>
        </w:rPr>
        <w:t xml:space="preserve">Constipation</w:t>
      </w:r>
    </w:p>
    <w:p>
      <w:pPr>
        <w:pStyle w:val="ListParagraph"/>
        <w:numPr>
          <w:ilvl w:val="0"/>
          <w:numId w:val="2"/>
        </w:numPr>
        <w:spacing w:after="60" w:before="60"/>
      </w:pPr>
      <w:r>
        <w:rPr>
          <w:rFonts w:ascii="Arial" w:cs="Arial" w:eastAsia="Arial" w:hAnsi="Arial"/>
          <w:color w:val="1E2E2C"/>
          <w:sz w:val="22"/>
          <w:szCs w:val="22"/>
        </w:rPr>
        <w:t xml:space="preserve">Gradually increase fiber intake: fruit with skin, oats, cooked vegetables, chia seeds or flaxseed.</w:t>
      </w:r>
    </w:p>
    <w:p>
      <w:pPr>
        <w:pStyle w:val="ListParagraph"/>
        <w:numPr>
          <w:ilvl w:val="0"/>
          <w:numId w:val="2"/>
        </w:numPr>
        <w:spacing w:after="60" w:before="60"/>
      </w:pPr>
      <w:r>
        <w:rPr>
          <w:rFonts w:ascii="Arial" w:cs="Arial" w:eastAsia="Arial" w:hAnsi="Arial"/>
          <w:color w:val="1E2E2C"/>
          <w:sz w:val="22"/>
          <w:szCs w:val="22"/>
        </w:rPr>
        <w:t xml:space="preserve">Drink water consistently throughout the day — not just when thirsty, since thirst sensation can also be reduced.</w:t>
      </w:r>
    </w:p>
    <w:p>
      <w:pPr>
        <w:pStyle w:val="ListParagraph"/>
        <w:numPr>
          <w:ilvl w:val="0"/>
          <w:numId w:val="2"/>
        </w:numPr>
        <w:spacing w:after="60" w:before="60"/>
      </w:pPr>
      <w:r>
        <w:rPr>
          <w:rFonts w:ascii="Arial" w:cs="Arial" w:eastAsia="Arial" w:hAnsi="Arial"/>
          <w:color w:val="1E2E2C"/>
          <w:sz w:val="22"/>
          <w:szCs w:val="22"/>
        </w:rPr>
        <w:t xml:space="preserve">Movement (even light walking) helps stimulate gut motility.</w:t>
      </w:r>
    </w:p>
    <w:p>
      <w:pPr>
        <w:pStyle w:val="Heading3"/>
        <w:spacing w:after="120" w:before="240"/>
      </w:pPr>
      <w:r>
        <w:rPr>
          <w:rFonts w:ascii="Arial" w:cs="Arial" w:eastAsia="Arial" w:hAnsi="Arial"/>
          <w:b/>
          <w:bCs/>
          <w:color w:val="5C9C8F"/>
          <w:sz w:val="26"/>
          <w:szCs w:val="26"/>
        </w:rPr>
        <w:t xml:space="preserve">Reflux and feeling of fullness</w:t>
      </w:r>
    </w:p>
    <w:p>
      <w:pPr>
        <w:pStyle w:val="ListParagraph"/>
        <w:numPr>
          <w:ilvl w:val="0"/>
          <w:numId w:val="2"/>
        </w:numPr>
        <w:spacing w:after="60" w:before="60"/>
      </w:pPr>
      <w:r>
        <w:rPr>
          <w:rFonts w:ascii="Arial" w:cs="Arial" w:eastAsia="Arial" w:hAnsi="Arial"/>
          <w:color w:val="1E2E2C"/>
          <w:sz w:val="22"/>
          <w:szCs w:val="22"/>
        </w:rPr>
        <w:t xml:space="preserve">Avoid lying down right after eating; wait at least 1–2 hours.</w:t>
      </w:r>
    </w:p>
    <w:p>
      <w:pPr>
        <w:pStyle w:val="ListParagraph"/>
        <w:numPr>
          <w:ilvl w:val="0"/>
          <w:numId w:val="2"/>
        </w:numPr>
        <w:spacing w:after="60" w:before="60"/>
      </w:pPr>
      <w:r>
        <w:rPr>
          <w:rFonts w:ascii="Arial" w:cs="Arial" w:eastAsia="Arial" w:hAnsi="Arial"/>
          <w:color w:val="1E2E2C"/>
          <w:sz w:val="22"/>
          <w:szCs w:val="22"/>
        </w:rPr>
        <w:t xml:space="preserve">Reduce liquid volume during main meals — drink more between meals instead.</w:t>
      </w:r>
    </w:p>
    <w:p>
      <w:pPr>
        <w:pStyle w:val="Heading3"/>
        <w:spacing w:after="120" w:before="240"/>
      </w:pPr>
      <w:r>
        <w:rPr>
          <w:rFonts w:ascii="Arial" w:cs="Arial" w:eastAsia="Arial" w:hAnsi="Arial"/>
          <w:b/>
          <w:bCs/>
          <w:color w:val="5C9C8F"/>
          <w:sz w:val="26"/>
          <w:szCs w:val="26"/>
        </w:rPr>
        <w:t xml:space="preserve">Low energy and dizziness</w:t>
      </w:r>
    </w:p>
    <w:p>
      <w:pPr>
        <w:pStyle w:val="ListParagraph"/>
        <w:numPr>
          <w:ilvl w:val="0"/>
          <w:numId w:val="2"/>
        </w:numPr>
        <w:spacing w:after="60" w:before="60"/>
      </w:pPr>
      <w:r>
        <w:rPr>
          <w:rFonts w:ascii="Arial" w:cs="Arial" w:eastAsia="Arial" w:hAnsi="Arial"/>
          <w:color w:val="1E2E2C"/>
          <w:sz w:val="22"/>
          <w:szCs w:val="22"/>
        </w:rPr>
        <w:t xml:space="preserve">Usually linked to low caloric intake or dehydration. Make sure to include at least one carbohydrate source (rice, potato, oats, fruit) at each meal, even in small portions.</w:t>
      </w:r>
    </w:p>
    <w:p>
      <w:pPr>
        <w:pStyle w:val="ListParagraph"/>
        <w:numPr>
          <w:ilvl w:val="0"/>
          <w:numId w:val="2"/>
        </w:numPr>
        <w:spacing w:after="60" w:before="60"/>
      </w:pPr>
      <w:r>
        <w:rPr>
          <w:rFonts w:ascii="Arial" w:cs="Arial" w:eastAsia="Arial" w:hAnsi="Arial"/>
          <w:color w:val="1E2E2C"/>
          <w:sz w:val="22"/>
          <w:szCs w:val="22"/>
        </w:rPr>
        <w:t xml:space="preserve">If dizziness is frequent, intense, or accompanied by other symptoms, seek medical attention — this is not something to push through on your own.</w:t>
      </w:r>
    </w:p>
    <w:p>
      <w:pPr>
        <w:pStyle w:val="Heading1"/>
        <w:pageBreakBefore/>
        <w:spacing w:after="240" w:before="0"/>
      </w:pPr>
      <w:r>
        <w:rPr>
          <w:rFonts w:ascii="Georgia" w:cs="Georgia" w:eastAsia="Georgia" w:hAnsi="Georgia"/>
          <w:b/>
          <w:bCs/>
          <w:color w:val="1F4E5A"/>
          <w:sz w:val="40"/>
          <w:szCs w:val="40"/>
        </w:rPr>
        <w:t xml:space="preserve">Chapter 6 — Supplementation: What’s Worth Considering</w:t>
      </w:r>
    </w:p>
    <w:p>
      <w:pPr>
        <w:spacing w:after="160" w:before="100"/>
      </w:pPr>
      <w:r>
        <w:rPr>
          <w:rFonts w:ascii="Arial" w:cs="Arial" w:eastAsia="Arial" w:hAnsi="Arial"/>
          <w:color w:val="1E2E2C"/>
          <w:sz w:val="22"/>
          <w:szCs w:val="22"/>
        </w:rPr>
        <w:t xml:space="preserve">Supplements are not mandatory and do not replace food or professional guidance — but for many people on GLP-1 treatment, certain options meaningfully simplify the routine, especially when appetite is very low. Always consult your doctor or dietitian before starting any supplement, particularly if you have a health condition or take other medications.</w:t>
      </w:r>
    </w:p>
    <w:p>
      <w:pPr>
        <w:pStyle w:val="Heading3"/>
        <w:spacing w:after="120" w:before="240"/>
      </w:pPr>
      <w:r>
        <w:rPr>
          <w:rFonts w:ascii="Arial" w:cs="Arial" w:eastAsia="Arial" w:hAnsi="Arial"/>
          <w:b/>
          <w:bCs/>
          <w:color w:val="5C9C8F"/>
          <w:sz w:val="26"/>
          <w:szCs w:val="26"/>
        </w:rPr>
        <w:t xml:space="preserve">Most commonly considered</w:t>
      </w:r>
    </w:p>
    <w:p>
      <w:pPr>
        <w:pStyle w:val="ListParagraph"/>
        <w:numPr>
          <w:ilvl w:val="0"/>
          <w:numId w:val="2"/>
        </w:numPr>
        <w:spacing w:after="60" w:before="60"/>
      </w:pPr>
      <w:r>
        <w:rPr>
          <w:rFonts w:ascii="Arial" w:cs="Arial" w:eastAsia="Arial" w:hAnsi="Arial"/>
          <w:color w:val="1E2E2C"/>
          <w:sz w:val="22"/>
          <w:szCs w:val="22"/>
        </w:rPr>
        <w:t xml:space="preserve">Whey protein (or plant-based protein isolate): the most practical way to hit your daily protein target on low-appetite days.</w:t>
      </w:r>
    </w:p>
    <w:p>
      <w:pPr>
        <w:pStyle w:val="ListParagraph"/>
        <w:numPr>
          <w:ilvl w:val="0"/>
          <w:numId w:val="2"/>
        </w:numPr>
        <w:spacing w:after="60" w:before="60"/>
      </w:pPr>
      <w:r>
        <w:rPr>
          <w:rFonts w:ascii="Arial" w:cs="Arial" w:eastAsia="Arial" w:hAnsi="Arial"/>
          <w:color w:val="1E2E2C"/>
          <w:sz w:val="22"/>
          <w:szCs w:val="22"/>
        </w:rPr>
        <w:t xml:space="preserve">Multivitamin: as total food volume drops, micronutrient variety may also drop — a basic multivitamin can help fill gaps.</w:t>
      </w:r>
    </w:p>
    <w:p>
      <w:pPr>
        <w:pStyle w:val="ListParagraph"/>
        <w:numPr>
          <w:ilvl w:val="0"/>
          <w:numId w:val="2"/>
        </w:numPr>
        <w:spacing w:after="60" w:before="60"/>
      </w:pPr>
      <w:r>
        <w:rPr>
          <w:rFonts w:ascii="Arial" w:cs="Arial" w:eastAsia="Arial" w:hAnsi="Arial"/>
          <w:color w:val="1E2E2C"/>
          <w:sz w:val="22"/>
          <w:szCs w:val="22"/>
        </w:rPr>
        <w:t xml:space="preserve">Vitamin D and calcium: especially relevant for bone health, and more so when significant weight loss is occurring.</w:t>
      </w:r>
    </w:p>
    <w:p>
      <w:pPr>
        <w:pStyle w:val="ListParagraph"/>
        <w:numPr>
          <w:ilvl w:val="0"/>
          <w:numId w:val="2"/>
        </w:numPr>
        <w:spacing w:after="60" w:before="60"/>
      </w:pPr>
      <w:r>
        <w:rPr>
          <w:rFonts w:ascii="Arial" w:cs="Arial" w:eastAsia="Arial" w:hAnsi="Arial"/>
          <w:color w:val="1E2E2C"/>
          <w:sz w:val="22"/>
          <w:szCs w:val="22"/>
        </w:rPr>
        <w:t xml:space="preserve">Soluble fiber (psyllium husk, for example): can help with constipation; always paired with plenty of water.</w:t>
      </w:r>
    </w:p>
    <w:p>
      <w:pPr>
        <w:pStyle w:val="ListParagraph"/>
        <w:numPr>
          <w:ilvl w:val="0"/>
          <w:numId w:val="2"/>
        </w:numPr>
        <w:spacing w:after="60" w:before="60"/>
      </w:pPr>
      <w:r>
        <w:rPr>
          <w:rFonts w:ascii="Arial" w:cs="Arial" w:eastAsia="Arial" w:hAnsi="Arial"/>
          <w:color w:val="1E2E2C"/>
          <w:sz w:val="22"/>
          <w:szCs w:val="22"/>
        </w:rPr>
        <w:t xml:space="preserve">Electrolytes (sodium, potassium, magnesium): on days of very low food intake, replenishing electrolytes helps prevent fatigue and muscle cramps.</w:t>
      </w:r>
    </w:p>
    <w:p>
      <w:pPr>
        <w:pBdr>
          <w:left w:val="thick" w:color="CE9B4C" w:sz="12" w:space="12"/>
        </w:pBdr>
        <w:shd w:fill="FDF6E8" w:val="clear"/>
        <w:spacing w:after="200" w:before="200"/>
        <w:ind w:left="720" w:right="720"/>
      </w:pPr>
      <w:r>
        <w:rPr>
          <w:rFonts w:ascii="Georgia" w:cs="Georgia" w:eastAsia="Georgia" w:hAnsi="Georgia"/>
          <w:i/>
          <w:iCs/>
          <w:color w:val="1E2E2C"/>
          <w:sz w:val="24"/>
          <w:szCs w:val="24"/>
        </w:rPr>
        <w:t xml:space="preserve">This list is educational. The decision to use any supplement should go through a healthcare professional who knows your history.</w:t>
      </w:r>
    </w:p>
    <w:p>
      <w:pPr>
        <w:pStyle w:val="Heading1"/>
        <w:pageBreakBefore/>
        <w:spacing w:after="240" w:before="0"/>
      </w:pPr>
      <w:r>
        <w:rPr>
          <w:rFonts w:ascii="Georgia" w:cs="Georgia" w:eastAsia="Georgia" w:hAnsi="Georgia"/>
          <w:b/>
          <w:bCs/>
          <w:color w:val="1F4E5A"/>
          <w:sz w:val="40"/>
          <w:szCs w:val="40"/>
        </w:rPr>
        <w:t xml:space="preserve">Chapter 7 — Sample Meal Templates</w:t>
      </w:r>
    </w:p>
    <w:p>
      <w:pPr>
        <w:spacing w:after="160" w:before="100"/>
      </w:pPr>
      <w:r>
        <w:rPr>
          <w:rFonts w:ascii="Arial" w:cs="Arial" w:eastAsia="Arial" w:hAnsi="Arial"/>
          <w:color w:val="1E2E2C"/>
          <w:sz w:val="22"/>
          <w:szCs w:val="22"/>
        </w:rPr>
        <w:t xml:space="preserve">The examples below are organizational templates, not prescriptions. The goal is to show how to distribute protein throughout the day even when total food volume is small. Adjust portions and foods based on your tolerance, preferences, and professional guidance.</w:t>
      </w:r>
    </w:p>
    <w:p>
      <w:pPr>
        <w:pStyle w:val="Heading3"/>
        <w:spacing w:after="120" w:before="240"/>
      </w:pPr>
      <w:r>
        <w:rPr>
          <w:rFonts w:ascii="Arial" w:cs="Arial" w:eastAsia="Arial" w:hAnsi="Arial"/>
          <w:b/>
          <w:bCs/>
          <w:color w:val="5C9C8F"/>
          <w:sz w:val="26"/>
          <w:szCs w:val="26"/>
        </w:rPr>
        <w:t xml:space="preserve">Template A — Very low appetite day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1F4E5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Meal</w:t>
            </w:r>
          </w:p>
        </w:tc>
        <w:tc>
          <w:tcPr>
            <w:tcW w:type="dxa" w:w="4000"/>
            <w:tcBorders>
              <w:top w:val="single" w:color="CCCCCC" w:sz="1"/>
              <w:left w:val="single" w:color="CCCCCC" w:sz="1"/>
              <w:bottom w:val="single" w:color="CCCCCC" w:sz="1"/>
              <w:right w:val="single" w:color="CCCCCC" w:sz="1"/>
            </w:tcBorders>
            <w:shd w:fill="1F4E5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Suggestion</w:t>
            </w:r>
          </w:p>
        </w:tc>
        <w:tc>
          <w:tcPr>
            <w:tcW w:type="dxa" w:w="3360"/>
            <w:tcBorders>
              <w:top w:val="single" w:color="CCCCCC" w:sz="1"/>
              <w:left w:val="single" w:color="CCCCCC" w:sz="1"/>
              <w:bottom w:val="single" w:color="CCCCCC" w:sz="1"/>
              <w:right w:val="single" w:color="CCCCCC" w:sz="1"/>
            </w:tcBorders>
            <w:shd w:fill="1F4E5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Focus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E2C"/>
                <w:sz w:val="20"/>
                <w:szCs w:val="20"/>
              </w:rPr>
              <w:t xml:space="preserve">Breakfast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E2C"/>
                <w:sz w:val="20"/>
                <w:szCs w:val="20"/>
              </w:rPr>
              <w:t xml:space="preserve">Greek yogurt + 1 scoop whey + handful of berries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E2C"/>
                <w:sz w:val="20"/>
                <w:szCs w:val="20"/>
              </w:rPr>
              <w:t xml:space="preserve">Protein + convenience</w:t>
            </w:r>
          </w:p>
        </w:tc>
      </w:tr>
      <w:tr>
        <w:tc>
          <w:tcPr>
            <w:tcW w:type="dxa" w:w="2000"/>
            <w:tcBorders>
              <w:top w:val="single" w:color="CCCCCC" w:sz="1"/>
              <w:left w:val="single" w:color="CCCCCC" w:sz="1"/>
              <w:bottom w:val="single" w:color="CCCCCC" w:sz="1"/>
              <w:right w:val="single" w:color="CCCCCC" w:sz="1"/>
            </w:tcBorders>
            <w:shd w:fill="F8F4EE" w:val="clear"/>
            <w:tcMar>
              <w:top w:type="dxa" w:w="80"/>
              <w:left w:type="dxa" w:w="120"/>
              <w:bottom w:type="dxa" w:w="80"/>
              <w:right w:type="dxa" w:w="120"/>
            </w:tcMar>
          </w:tcPr>
          <w:p>
            <w:r>
              <w:rPr>
                <w:rFonts w:ascii="Arial" w:cs="Arial" w:eastAsia="Arial" w:hAnsi="Arial"/>
                <w:color w:val="1E2E2C"/>
                <w:sz w:val="20"/>
                <w:szCs w:val="20"/>
              </w:rPr>
              <w:t xml:space="preserve">Lunch</w:t>
            </w:r>
          </w:p>
        </w:tc>
        <w:tc>
          <w:tcPr>
            <w:tcW w:type="dxa" w:w="4000"/>
            <w:tcBorders>
              <w:top w:val="single" w:color="CCCCCC" w:sz="1"/>
              <w:left w:val="single" w:color="CCCCCC" w:sz="1"/>
              <w:bottom w:val="single" w:color="CCCCCC" w:sz="1"/>
              <w:right w:val="single" w:color="CCCCCC" w:sz="1"/>
            </w:tcBorders>
            <w:shd w:fill="F8F4EE" w:val="clear"/>
            <w:tcMar>
              <w:top w:type="dxa" w:w="80"/>
              <w:left w:type="dxa" w:w="120"/>
              <w:bottom w:type="dxa" w:w="80"/>
              <w:right w:type="dxa" w:w="120"/>
            </w:tcMar>
          </w:tcPr>
          <w:p>
            <w:r>
              <w:rPr>
                <w:rFonts w:ascii="Arial" w:cs="Arial" w:eastAsia="Arial" w:hAnsi="Arial"/>
                <w:color w:val="1E2E2C"/>
                <w:sz w:val="20"/>
                <w:szCs w:val="20"/>
              </w:rPr>
              <w:t xml:space="preserve">Small chicken or fish fillet + mashed potato + cooked vegetables</w:t>
            </w:r>
          </w:p>
        </w:tc>
        <w:tc>
          <w:tcPr>
            <w:tcW w:type="dxa" w:w="3360"/>
            <w:tcBorders>
              <w:top w:val="single" w:color="CCCCCC" w:sz="1"/>
              <w:left w:val="single" w:color="CCCCCC" w:sz="1"/>
              <w:bottom w:val="single" w:color="CCCCCC" w:sz="1"/>
              <w:right w:val="single" w:color="CCCCCC" w:sz="1"/>
            </w:tcBorders>
            <w:shd w:fill="F8F4EE" w:val="clear"/>
            <w:tcMar>
              <w:top w:type="dxa" w:w="80"/>
              <w:left w:type="dxa" w:w="120"/>
              <w:bottom w:type="dxa" w:w="80"/>
              <w:right w:type="dxa" w:w="120"/>
            </w:tcMar>
          </w:tcPr>
          <w:p>
            <w:r>
              <w:rPr>
                <w:rFonts w:ascii="Arial" w:cs="Arial" w:eastAsia="Arial" w:hAnsi="Arial"/>
                <w:color w:val="1E2E2C"/>
                <w:sz w:val="20"/>
                <w:szCs w:val="20"/>
              </w:rPr>
              <w:t xml:space="preserve">Protein first on the plate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E2C"/>
                <w:sz w:val="20"/>
                <w:szCs w:val="20"/>
              </w:rPr>
              <w:t xml:space="preserve">Afternoon snack</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E2C"/>
                <w:sz w:val="20"/>
                <w:szCs w:val="20"/>
              </w:rPr>
              <w:t xml:space="preserve">Cottage cheese with a drizzle of honey, or 1 hard-boiled egg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E2C"/>
                <w:sz w:val="20"/>
                <w:szCs w:val="20"/>
              </w:rPr>
              <w:t xml:space="preserve">Light protein snack</w:t>
            </w:r>
          </w:p>
        </w:tc>
      </w:tr>
      <w:tr>
        <w:tc>
          <w:tcPr>
            <w:tcW w:type="dxa" w:w="2000"/>
            <w:tcBorders>
              <w:top w:val="single" w:color="CCCCCC" w:sz="1"/>
              <w:left w:val="single" w:color="CCCCCC" w:sz="1"/>
              <w:bottom w:val="single" w:color="CCCCCC" w:sz="1"/>
              <w:right w:val="single" w:color="CCCCCC" w:sz="1"/>
            </w:tcBorders>
            <w:shd w:fill="F8F4EE" w:val="clear"/>
            <w:tcMar>
              <w:top w:type="dxa" w:w="80"/>
              <w:left w:type="dxa" w:w="120"/>
              <w:bottom w:type="dxa" w:w="80"/>
              <w:right w:type="dxa" w:w="120"/>
            </w:tcMar>
          </w:tcPr>
          <w:p>
            <w:r>
              <w:rPr>
                <w:rFonts w:ascii="Arial" w:cs="Arial" w:eastAsia="Arial" w:hAnsi="Arial"/>
                <w:color w:val="1E2E2C"/>
                <w:sz w:val="20"/>
                <w:szCs w:val="20"/>
              </w:rPr>
              <w:t xml:space="preserve">Dinner</w:t>
            </w:r>
          </w:p>
        </w:tc>
        <w:tc>
          <w:tcPr>
            <w:tcW w:type="dxa" w:w="4000"/>
            <w:tcBorders>
              <w:top w:val="single" w:color="CCCCCC" w:sz="1"/>
              <w:left w:val="single" w:color="CCCCCC" w:sz="1"/>
              <w:bottom w:val="single" w:color="CCCCCC" w:sz="1"/>
              <w:right w:val="single" w:color="CCCCCC" w:sz="1"/>
            </w:tcBorders>
            <w:shd w:fill="F8F4EE" w:val="clear"/>
            <w:tcMar>
              <w:top w:type="dxa" w:w="80"/>
              <w:left w:type="dxa" w:w="120"/>
              <w:bottom w:type="dxa" w:w="80"/>
              <w:right w:type="dxa" w:w="120"/>
            </w:tcMar>
          </w:tcPr>
          <w:p>
            <w:r>
              <w:rPr>
                <w:rFonts w:ascii="Arial" w:cs="Arial" w:eastAsia="Arial" w:hAnsi="Arial"/>
                <w:color w:val="1E2E2C"/>
                <w:sz w:val="20"/>
                <w:szCs w:val="20"/>
              </w:rPr>
              <w:t xml:space="preserve">Creamy soup with shredded chicken and vegetables</w:t>
            </w:r>
          </w:p>
        </w:tc>
        <w:tc>
          <w:tcPr>
            <w:tcW w:type="dxa" w:w="3360"/>
            <w:tcBorders>
              <w:top w:val="single" w:color="CCCCCC" w:sz="1"/>
              <w:left w:val="single" w:color="CCCCCC" w:sz="1"/>
              <w:bottom w:val="single" w:color="CCCCCC" w:sz="1"/>
              <w:right w:val="single" w:color="CCCCCC" w:sz="1"/>
            </w:tcBorders>
            <w:shd w:fill="F8F4EE" w:val="clear"/>
            <w:tcMar>
              <w:top w:type="dxa" w:w="80"/>
              <w:left w:type="dxa" w:w="120"/>
              <w:bottom w:type="dxa" w:w="80"/>
              <w:right w:type="dxa" w:w="120"/>
            </w:tcMar>
          </w:tcPr>
          <w:p>
            <w:r>
              <w:rPr>
                <w:rFonts w:ascii="Arial" w:cs="Arial" w:eastAsia="Arial" w:hAnsi="Arial"/>
                <w:color w:val="1E2E2C"/>
                <w:sz w:val="20"/>
                <w:szCs w:val="20"/>
              </w:rPr>
              <w:t xml:space="preserve">Easy to digest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E2C"/>
                <w:sz w:val="20"/>
                <w:szCs w:val="20"/>
              </w:rPr>
              <w:t xml:space="preserve">Before bed (if needed)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E2C"/>
                <w:sz w:val="20"/>
                <w:szCs w:val="20"/>
              </w:rPr>
              <w:t xml:space="preserve">Half glass of milk or light whey shake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E2C"/>
                <w:sz w:val="20"/>
                <w:szCs w:val="20"/>
              </w:rPr>
              <w:t xml:space="preserve">Close the protein target</w:t>
            </w:r>
          </w:p>
        </w:tc>
      </w:tr>
    </w:tbl>
    <w:p>
      <w:pPr>
        <w:spacing w:after="120" w:before="0"/>
      </w:pPr>
      <w:r>
        <w:t xml:space="preserve"/>
      </w:r>
    </w:p>
    <w:p>
      <w:pPr>
        <w:pStyle w:val="Heading3"/>
        <w:spacing w:after="120" w:before="240"/>
      </w:pPr>
      <w:r>
        <w:rPr>
          <w:rFonts w:ascii="Arial" w:cs="Arial" w:eastAsia="Arial" w:hAnsi="Arial"/>
          <w:b/>
          <w:bCs/>
          <w:color w:val="5C9C8F"/>
          <w:sz w:val="26"/>
          <w:szCs w:val="26"/>
        </w:rPr>
        <w:t xml:space="preserve">Template B — Moderate appetite day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1F4E5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Meal</w:t>
            </w:r>
          </w:p>
        </w:tc>
        <w:tc>
          <w:tcPr>
            <w:tcW w:type="dxa" w:w="4000"/>
            <w:tcBorders>
              <w:top w:val="single" w:color="CCCCCC" w:sz="1"/>
              <w:left w:val="single" w:color="CCCCCC" w:sz="1"/>
              <w:bottom w:val="single" w:color="CCCCCC" w:sz="1"/>
              <w:right w:val="single" w:color="CCCCCC" w:sz="1"/>
            </w:tcBorders>
            <w:shd w:fill="1F4E5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Suggestion</w:t>
            </w:r>
          </w:p>
        </w:tc>
        <w:tc>
          <w:tcPr>
            <w:tcW w:type="dxa" w:w="3360"/>
            <w:tcBorders>
              <w:top w:val="single" w:color="CCCCCC" w:sz="1"/>
              <w:left w:val="single" w:color="CCCCCC" w:sz="1"/>
              <w:bottom w:val="single" w:color="CCCCCC" w:sz="1"/>
              <w:right w:val="single" w:color="CCCCCC" w:sz="1"/>
            </w:tcBorders>
            <w:shd w:fill="1F4E5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Focus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E2C"/>
                <w:sz w:val="20"/>
                <w:szCs w:val="20"/>
              </w:rPr>
              <w:t xml:space="preserve">Breakfast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E2C"/>
                <w:sz w:val="20"/>
                <w:szCs w:val="20"/>
              </w:rPr>
              <w:t xml:space="preserve">2-egg omelet with cheese + 1 slice whole-grain toast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E2C"/>
                <w:sz w:val="20"/>
                <w:szCs w:val="20"/>
              </w:rPr>
              <w:t xml:space="preserve">Protein + energy</w:t>
            </w:r>
          </w:p>
        </w:tc>
      </w:tr>
      <w:tr>
        <w:tc>
          <w:tcPr>
            <w:tcW w:type="dxa" w:w="2000"/>
            <w:tcBorders>
              <w:top w:val="single" w:color="CCCCCC" w:sz="1"/>
              <w:left w:val="single" w:color="CCCCCC" w:sz="1"/>
              <w:bottom w:val="single" w:color="CCCCCC" w:sz="1"/>
              <w:right w:val="single" w:color="CCCCCC" w:sz="1"/>
            </w:tcBorders>
            <w:shd w:fill="F8F4EE" w:val="clear"/>
            <w:tcMar>
              <w:top w:type="dxa" w:w="80"/>
              <w:left w:type="dxa" w:w="120"/>
              <w:bottom w:type="dxa" w:w="80"/>
              <w:right w:type="dxa" w:w="120"/>
            </w:tcMar>
          </w:tcPr>
          <w:p>
            <w:r>
              <w:rPr>
                <w:rFonts w:ascii="Arial" w:cs="Arial" w:eastAsia="Arial" w:hAnsi="Arial"/>
                <w:color w:val="1E2E2C"/>
                <w:sz w:val="20"/>
                <w:szCs w:val="20"/>
              </w:rPr>
              <w:t xml:space="preserve">Lunch</w:t>
            </w:r>
          </w:p>
        </w:tc>
        <w:tc>
          <w:tcPr>
            <w:tcW w:type="dxa" w:w="4000"/>
            <w:tcBorders>
              <w:top w:val="single" w:color="CCCCCC" w:sz="1"/>
              <w:left w:val="single" w:color="CCCCCC" w:sz="1"/>
              <w:bottom w:val="single" w:color="CCCCCC" w:sz="1"/>
              <w:right w:val="single" w:color="CCCCCC" w:sz="1"/>
            </w:tcBorders>
            <w:shd w:fill="F8F4EE" w:val="clear"/>
            <w:tcMar>
              <w:top w:type="dxa" w:w="80"/>
              <w:left w:type="dxa" w:w="120"/>
              <w:bottom w:type="dxa" w:w="80"/>
              <w:right w:type="dxa" w:w="120"/>
            </w:tcMar>
          </w:tcPr>
          <w:p>
            <w:r>
              <w:rPr>
                <w:rFonts w:ascii="Arial" w:cs="Arial" w:eastAsia="Arial" w:hAnsi="Arial"/>
                <w:color w:val="1E2E2C"/>
                <w:sz w:val="20"/>
                <w:szCs w:val="20"/>
              </w:rPr>
              <w:t xml:space="preserve">Lean meat or chicken + brown rice + beans + salad</w:t>
            </w:r>
          </w:p>
        </w:tc>
        <w:tc>
          <w:tcPr>
            <w:tcW w:type="dxa" w:w="3360"/>
            <w:tcBorders>
              <w:top w:val="single" w:color="CCCCCC" w:sz="1"/>
              <w:left w:val="single" w:color="CCCCCC" w:sz="1"/>
              <w:bottom w:val="single" w:color="CCCCCC" w:sz="1"/>
              <w:right w:val="single" w:color="CCCCCC" w:sz="1"/>
            </w:tcBorders>
            <w:shd w:fill="F8F4EE" w:val="clear"/>
            <w:tcMar>
              <w:top w:type="dxa" w:w="80"/>
              <w:left w:type="dxa" w:w="120"/>
              <w:bottom w:type="dxa" w:w="80"/>
              <w:right w:type="dxa" w:w="120"/>
            </w:tcMar>
          </w:tcPr>
          <w:p>
            <w:r>
              <w:rPr>
                <w:rFonts w:ascii="Arial" w:cs="Arial" w:eastAsia="Arial" w:hAnsi="Arial"/>
                <w:color w:val="1E2E2C"/>
                <w:sz w:val="20"/>
                <w:szCs w:val="20"/>
              </w:rPr>
              <w:t xml:space="preserve">Complete but moderate meal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E2C"/>
                <w:sz w:val="20"/>
                <w:szCs w:val="20"/>
              </w:rPr>
              <w:t xml:space="preserve">Afternoon snack</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E2C"/>
                <w:sz w:val="20"/>
                <w:szCs w:val="20"/>
              </w:rPr>
              <w:t xml:space="preserve">Fruit + small handful of nuts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E2C"/>
                <w:sz w:val="20"/>
                <w:szCs w:val="20"/>
              </w:rPr>
              <w:t xml:space="preserve">Micronutrients and healthy fats</w:t>
            </w:r>
          </w:p>
        </w:tc>
      </w:tr>
      <w:tr>
        <w:tc>
          <w:tcPr>
            <w:tcW w:type="dxa" w:w="2000"/>
            <w:tcBorders>
              <w:top w:val="single" w:color="CCCCCC" w:sz="1"/>
              <w:left w:val="single" w:color="CCCCCC" w:sz="1"/>
              <w:bottom w:val="single" w:color="CCCCCC" w:sz="1"/>
              <w:right w:val="single" w:color="CCCCCC" w:sz="1"/>
            </w:tcBorders>
            <w:shd w:fill="F8F4EE" w:val="clear"/>
            <w:tcMar>
              <w:top w:type="dxa" w:w="80"/>
              <w:left w:type="dxa" w:w="120"/>
              <w:bottom w:type="dxa" w:w="80"/>
              <w:right w:type="dxa" w:w="120"/>
            </w:tcMar>
          </w:tcPr>
          <w:p>
            <w:r>
              <w:rPr>
                <w:rFonts w:ascii="Arial" w:cs="Arial" w:eastAsia="Arial" w:hAnsi="Arial"/>
                <w:color w:val="1E2E2C"/>
                <w:sz w:val="20"/>
                <w:szCs w:val="20"/>
              </w:rPr>
              <w:t xml:space="preserve">Dinner</w:t>
            </w:r>
          </w:p>
        </w:tc>
        <w:tc>
          <w:tcPr>
            <w:tcW w:type="dxa" w:w="4000"/>
            <w:tcBorders>
              <w:top w:val="single" w:color="CCCCCC" w:sz="1"/>
              <w:left w:val="single" w:color="CCCCCC" w:sz="1"/>
              <w:bottom w:val="single" w:color="CCCCCC" w:sz="1"/>
              <w:right w:val="single" w:color="CCCCCC" w:sz="1"/>
            </w:tcBorders>
            <w:shd w:fill="F8F4EE" w:val="clear"/>
            <w:tcMar>
              <w:top w:type="dxa" w:w="80"/>
              <w:left w:type="dxa" w:w="120"/>
              <w:bottom w:type="dxa" w:w="80"/>
              <w:right w:type="dxa" w:w="120"/>
            </w:tcMar>
          </w:tcPr>
          <w:p>
            <w:r>
              <w:rPr>
                <w:rFonts w:ascii="Arial" w:cs="Arial" w:eastAsia="Arial" w:hAnsi="Arial"/>
                <w:color w:val="1E2E2C"/>
                <w:sz w:val="20"/>
                <w:szCs w:val="20"/>
              </w:rPr>
              <w:t xml:space="preserve">Grilled fish + roasted vegetables + sweet potato</w:t>
            </w:r>
          </w:p>
        </w:tc>
        <w:tc>
          <w:tcPr>
            <w:tcW w:type="dxa" w:w="3360"/>
            <w:tcBorders>
              <w:top w:val="single" w:color="CCCCCC" w:sz="1"/>
              <w:left w:val="single" w:color="CCCCCC" w:sz="1"/>
              <w:bottom w:val="single" w:color="CCCCCC" w:sz="1"/>
              <w:right w:val="single" w:color="CCCCCC" w:sz="1"/>
            </w:tcBorders>
            <w:shd w:fill="F8F4EE" w:val="clear"/>
            <w:tcMar>
              <w:top w:type="dxa" w:w="80"/>
              <w:left w:type="dxa" w:w="120"/>
              <w:bottom w:type="dxa" w:w="80"/>
              <w:right w:type="dxa" w:w="120"/>
            </w:tcMar>
          </w:tcPr>
          <w:p>
            <w:r>
              <w:rPr>
                <w:rFonts w:ascii="Arial" w:cs="Arial" w:eastAsia="Arial" w:hAnsi="Arial"/>
                <w:color w:val="1E2E2C"/>
                <w:sz w:val="20"/>
                <w:szCs w:val="20"/>
              </w:rPr>
              <w:t xml:space="preserve">Light and nutritious</w:t>
            </w:r>
          </w:p>
        </w:tc>
      </w:tr>
    </w:tbl>
    <w:p>
      <w:pPr>
        <w:spacing w:after="120" w:before="0"/>
      </w:pPr>
      <w:r>
        <w:t xml:space="preserve"/>
      </w:r>
    </w:p>
    <w:p>
      <w:pPr>
        <w:pStyle w:val="Heading3"/>
        <w:spacing w:after="120" w:before="240"/>
      </w:pPr>
      <w:r>
        <w:rPr>
          <w:rFonts w:ascii="Arial" w:cs="Arial" w:eastAsia="Arial" w:hAnsi="Arial"/>
          <w:b/>
          <w:bCs/>
          <w:color w:val="5C9C8F"/>
          <w:sz w:val="26"/>
          <w:szCs w:val="26"/>
        </w:rPr>
        <w:t xml:space="preserve">Hydration</w:t>
      </w:r>
    </w:p>
    <w:p>
      <w:pPr>
        <w:spacing w:after="160" w:before="100"/>
      </w:pPr>
      <w:r>
        <w:rPr>
          <w:rFonts w:ascii="Arial" w:cs="Arial" w:eastAsia="Arial" w:hAnsi="Arial"/>
          <w:color w:val="1E2E2C"/>
          <w:sz w:val="22"/>
          <w:szCs w:val="22"/>
        </w:rPr>
        <w:t xml:space="preserve">A practical target is to aim for roughly 2 liters (about 8 cups) of water per day, spread in small sips throughout the day — especially important for reducing constipation and hydration-related headaches.</w:t>
      </w:r>
    </w:p>
    <w:p>
      <w:pPr>
        <w:pStyle w:val="Heading1"/>
        <w:pageBreakBefore/>
        <w:spacing w:after="240" w:before="0"/>
      </w:pPr>
      <w:r>
        <w:rPr>
          <w:rFonts w:ascii="Georgia" w:cs="Georgia" w:eastAsia="Georgia" w:hAnsi="Georgia"/>
          <w:b/>
          <w:bCs/>
          <w:color w:val="1F4E5A"/>
          <w:sz w:val="40"/>
          <w:szCs w:val="40"/>
        </w:rPr>
        <w:t xml:space="preserve">Chapter 8 — The Exit Strategy: Avoiding the Rebound</w:t>
      </w:r>
    </w:p>
    <w:p>
      <w:pPr>
        <w:spacing w:after="160" w:before="100"/>
      </w:pPr>
      <w:r>
        <w:rPr>
          <w:rFonts w:ascii="Arial" w:cs="Arial" w:eastAsia="Arial" w:hAnsi="Arial"/>
          <w:color w:val="1E2E2C"/>
          <w:sz w:val="22"/>
          <w:szCs w:val="22"/>
        </w:rPr>
        <w:t xml:space="preserve">This may be the most important chapter in this guide — and the one discussed least. When treatment ends (whether by medical decision, financial reasons, or personal choice), appetite tends to gradually return to its previous baseline. If habits haven’t changed, the most common outcome is weight regain, often within a few months.</w:t>
      </w:r>
    </w:p>
    <w:p>
      <w:pPr>
        <w:pStyle w:val="Heading3"/>
        <w:spacing w:after="120" w:before="240"/>
      </w:pPr>
      <w:r>
        <w:rPr>
          <w:rFonts w:ascii="Arial" w:cs="Arial" w:eastAsia="Arial" w:hAnsi="Arial"/>
          <w:b/>
          <w:bCs/>
          <w:color w:val="5C9C8F"/>
          <w:sz w:val="26"/>
          <w:szCs w:val="26"/>
        </w:rPr>
        <w:t xml:space="preserve">Why this happens</w:t>
      </w:r>
    </w:p>
    <w:p>
      <w:pPr>
        <w:spacing w:after="160" w:before="100"/>
      </w:pPr>
      <w:r>
        <w:rPr>
          <w:rFonts w:ascii="Arial" w:cs="Arial" w:eastAsia="Arial" w:hAnsi="Arial"/>
          <w:color w:val="1E2E2C"/>
          <w:sz w:val="22"/>
          <w:szCs w:val="22"/>
        </w:rPr>
        <w:t xml:space="preserve">A body that has lost weight now burns fewer calories at rest than it did before (because it carries less muscle and less total mass to sustain). If appetite returns to its old level but caloric expenditure is lower, the math naturally pushes toward weight gain — unless habits have genuinely changed.</w:t>
      </w:r>
    </w:p>
    <w:p>
      <w:pPr>
        <w:pStyle w:val="Heading3"/>
        <w:spacing w:after="120" w:before="240"/>
      </w:pPr>
      <w:r>
        <w:rPr>
          <w:rFonts w:ascii="Arial" w:cs="Arial" w:eastAsia="Arial" w:hAnsi="Arial"/>
          <w:b/>
          <w:bCs/>
          <w:color w:val="5C9C8F"/>
          <w:sz w:val="26"/>
          <w:szCs w:val="26"/>
        </w:rPr>
        <w:t xml:space="preserve">What to do while still on treatment</w:t>
      </w:r>
    </w:p>
    <w:p>
      <w:pPr>
        <w:pStyle w:val="ListParagraph"/>
        <w:numPr>
          <w:ilvl w:val="0"/>
          <w:numId w:val="2"/>
        </w:numPr>
        <w:spacing w:after="60" w:before="60"/>
      </w:pPr>
      <w:r>
        <w:rPr>
          <w:rFonts w:ascii="Arial" w:cs="Arial" w:eastAsia="Arial" w:hAnsi="Arial"/>
          <w:color w:val="1E2E2C"/>
          <w:sz w:val="22"/>
          <w:szCs w:val="22"/>
        </w:rPr>
        <w:t xml:space="preserve">Use the “controlled appetite window” to build routines, not just to lose weight. Treat the medication period as a habit-training phase: meal timing, strength training, the types of food you learn to prefer.</w:t>
      </w:r>
    </w:p>
    <w:p>
      <w:pPr>
        <w:pStyle w:val="ListParagraph"/>
        <w:numPr>
          <w:ilvl w:val="0"/>
          <w:numId w:val="2"/>
        </w:numPr>
        <w:spacing w:after="60" w:before="60"/>
      </w:pPr>
      <w:r>
        <w:rPr>
          <w:rFonts w:ascii="Arial" w:cs="Arial" w:eastAsia="Arial" w:hAnsi="Arial"/>
          <w:color w:val="1E2E2C"/>
          <w:sz w:val="22"/>
          <w:szCs w:val="22"/>
        </w:rPr>
        <w:t xml:space="preserve">Maintain (or increase) strength training throughout the entire treatment period — this is what will sustain your metabolism afterward.</w:t>
      </w:r>
    </w:p>
    <w:p>
      <w:pPr>
        <w:pStyle w:val="ListParagraph"/>
        <w:numPr>
          <w:ilvl w:val="0"/>
          <w:numId w:val="2"/>
        </w:numPr>
        <w:spacing w:after="60" w:before="60"/>
      </w:pPr>
      <w:r>
        <w:rPr>
          <w:rFonts w:ascii="Arial" w:cs="Arial" w:eastAsia="Arial" w:hAnsi="Arial"/>
          <w:color w:val="1E2E2C"/>
          <w:sz w:val="22"/>
          <w:szCs w:val="22"/>
        </w:rPr>
        <w:t xml:space="preserve">If possible, discuss with your doctor a gradual dose reduction instead of an abrupt stop, allowing appetite to adjust slowly while new habits are already established.</w:t>
      </w:r>
    </w:p>
    <w:p>
      <w:pPr>
        <w:pStyle w:val="Heading3"/>
        <w:spacing w:after="120" w:before="240"/>
      </w:pPr>
      <w:r>
        <w:rPr>
          <w:rFonts w:ascii="Arial" w:cs="Arial" w:eastAsia="Arial" w:hAnsi="Arial"/>
          <w:b/>
          <w:bCs/>
          <w:color w:val="5C9C8F"/>
          <w:sz w:val="26"/>
          <w:szCs w:val="26"/>
        </w:rPr>
        <w:t xml:space="preserve">What to do when appetite returns</w:t>
      </w:r>
    </w:p>
    <w:p>
      <w:pPr>
        <w:pStyle w:val="ListParagraph"/>
        <w:numPr>
          <w:ilvl w:val="0"/>
          <w:numId w:val="2"/>
        </w:numPr>
        <w:spacing w:after="60" w:before="60"/>
      </w:pPr>
      <w:r>
        <w:rPr>
          <w:rFonts w:ascii="Arial" w:cs="Arial" w:eastAsia="Arial" w:hAnsi="Arial"/>
          <w:color w:val="1E2E2C"/>
          <w:sz w:val="22"/>
          <w:szCs w:val="22"/>
        </w:rPr>
        <w:t xml:space="preserve">Expect appetite to come back — it’s normal and expected, not a failure of willpower.</w:t>
      </w:r>
    </w:p>
    <w:p>
      <w:pPr>
        <w:pStyle w:val="ListParagraph"/>
        <w:numPr>
          <w:ilvl w:val="0"/>
          <w:numId w:val="2"/>
        </w:numPr>
        <w:spacing w:after="60" w:before="60"/>
      </w:pPr>
      <w:r>
        <w:rPr>
          <w:rFonts w:ascii="Arial" w:cs="Arial" w:eastAsia="Arial" w:hAnsi="Arial"/>
          <w:color w:val="1E2E2C"/>
          <w:sz w:val="22"/>
          <w:szCs w:val="22"/>
        </w:rPr>
        <w:t xml:space="preserve">Use the same “protein first” principle so that increased appetite goes toward muscle-supporting foods, not just larger portions of anything.</w:t>
      </w:r>
    </w:p>
    <w:p>
      <w:pPr>
        <w:pStyle w:val="ListParagraph"/>
        <w:numPr>
          <w:ilvl w:val="0"/>
          <w:numId w:val="2"/>
        </w:numPr>
        <w:spacing w:after="60" w:before="60"/>
      </w:pPr>
      <w:r>
        <w:rPr>
          <w:rFonts w:ascii="Arial" w:cs="Arial" w:eastAsia="Arial" w:hAnsi="Arial"/>
          <w:color w:val="1E2E2C"/>
          <w:sz w:val="22"/>
          <w:szCs w:val="22"/>
        </w:rPr>
        <w:t xml:space="preserve">Keep weighing or measuring yourself regularly. Small fluctuations are normal; the goal is to catch a sustained upward trend before it becomes 5 or 10 lbs.</w:t>
      </w:r>
    </w:p>
    <w:p>
      <w:pPr>
        <w:pStyle w:val="ListParagraph"/>
        <w:numPr>
          <w:ilvl w:val="0"/>
          <w:numId w:val="2"/>
        </w:numPr>
        <w:spacing w:after="60" w:before="60"/>
      </w:pPr>
      <w:r>
        <w:rPr>
          <w:rFonts w:ascii="Arial" w:cs="Arial" w:eastAsia="Arial" w:hAnsi="Arial"/>
          <w:color w:val="1E2E2C"/>
          <w:sz w:val="22"/>
          <w:szCs w:val="22"/>
        </w:rPr>
        <w:t xml:space="preserve">Have a “Plan B” defined in advance: if weight rises X lbs, what 2–3 adjustments will you make first? (Usually: refocus on protein, increase training frequency, review portions.)</w:t>
      </w:r>
    </w:p>
    <w:p>
      <w:pPr>
        <w:pBdr>
          <w:left w:val="thick" w:color="CE9B4C" w:sz="12" w:space="12"/>
        </w:pBdr>
        <w:shd w:fill="FDF6E8" w:val="clear"/>
        <w:spacing w:after="200" w:before="200"/>
        <w:ind w:left="720" w:right="720"/>
      </w:pPr>
      <w:r>
        <w:rPr>
          <w:rFonts w:ascii="Georgia" w:cs="Georgia" w:eastAsia="Georgia" w:hAnsi="Georgia"/>
          <w:i/>
          <w:iCs/>
          <w:color w:val="1E2E2C"/>
          <w:sz w:val="24"/>
          <w:szCs w:val="24"/>
        </w:rPr>
        <w:t xml:space="preserve">The medication removes the weight. The habits are what keep the result. Think of this period as the time to build those habits with less resistance — because your appetite is cooperating with you.</w:t>
      </w:r>
    </w:p>
    <w:p>
      <w:pPr>
        <w:pStyle w:val="Heading1"/>
        <w:pageBreakBefore/>
        <w:spacing w:after="240" w:before="0"/>
      </w:pPr>
      <w:r>
        <w:rPr>
          <w:rFonts w:ascii="Georgia" w:cs="Georgia" w:eastAsia="Georgia" w:hAnsi="Georgia"/>
          <w:b/>
          <w:bCs/>
          <w:color w:val="1F4E5A"/>
          <w:sz w:val="40"/>
          <w:szCs w:val="40"/>
        </w:rPr>
        <w:t xml:space="preserve">Chapter 9 — Myths &amp; Facts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5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Statement</w:t>
            </w:r>
          </w:p>
        </w:tc>
        <w:tc>
          <w:tcPr>
            <w:tcW w:type="dxa" w:w="4680"/>
            <w:tcBorders>
              <w:top w:val="single" w:color="CCCCCC" w:sz="1"/>
              <w:left w:val="single" w:color="CCCCCC" w:sz="1"/>
              <w:bottom w:val="single" w:color="CCCCCC" w:sz="1"/>
              <w:right w:val="single" w:color="CCCCCC" w:sz="1"/>
            </w:tcBorders>
            <w:shd w:fill="1F4E5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Myth or fact?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E2C"/>
                <w:sz w:val="20"/>
                <w:szCs w:val="20"/>
              </w:rPr>
              <w:t xml:space="preserve">"Since the medication kills my appetite, I don't need to worry about what I eat."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E2C"/>
                <w:sz w:val="20"/>
                <w:szCs w:val="20"/>
              </w:rPr>
              <w:t xml:space="preserve">Myth. Food quality — especially protein — is what determines whether the weight lost comes from fat or muscle.</w:t>
            </w:r>
          </w:p>
        </w:tc>
      </w:tr>
      <w:tr>
        <w:tc>
          <w:tcPr>
            <w:tcW w:type="dxa" w:w="4680"/>
            <w:tcBorders>
              <w:top w:val="single" w:color="CCCCCC" w:sz="1"/>
              <w:left w:val="single" w:color="CCCCCC" w:sz="1"/>
              <w:bottom w:val="single" w:color="CCCCCC" w:sz="1"/>
              <w:right w:val="single" w:color="CCCCCC" w:sz="1"/>
            </w:tcBorders>
            <w:shd w:fill="F8F4EE" w:val="clear"/>
            <w:tcMar>
              <w:top w:type="dxa" w:w="80"/>
              <w:left w:type="dxa" w:w="120"/>
              <w:bottom w:type="dxa" w:w="80"/>
              <w:right w:type="dxa" w:w="120"/>
            </w:tcMar>
          </w:tcPr>
          <w:p>
            <w:r>
              <w:rPr>
                <w:rFonts w:ascii="Arial" w:cs="Arial" w:eastAsia="Arial" w:hAnsi="Arial"/>
                <w:color w:val="1E2E2C"/>
                <w:sz w:val="20"/>
                <w:szCs w:val="20"/>
              </w:rPr>
              <w:t xml:space="preserve">"Strength training will make the scale go up."</w:t>
            </w:r>
          </w:p>
        </w:tc>
        <w:tc>
          <w:tcPr>
            <w:tcW w:type="dxa" w:w="4680"/>
            <w:tcBorders>
              <w:top w:val="single" w:color="CCCCCC" w:sz="1"/>
              <w:left w:val="single" w:color="CCCCCC" w:sz="1"/>
              <w:bottom w:val="single" w:color="CCCCCC" w:sz="1"/>
              <w:right w:val="single" w:color="CCCCCC" w:sz="1"/>
            </w:tcBorders>
            <w:shd w:fill="F8F4EE" w:val="clear"/>
            <w:tcMar>
              <w:top w:type="dxa" w:w="80"/>
              <w:left w:type="dxa" w:w="120"/>
              <w:bottom w:type="dxa" w:w="80"/>
              <w:right w:type="dxa" w:w="120"/>
            </w:tcMar>
          </w:tcPr>
          <w:p>
            <w:r>
              <w:rPr>
                <w:rFonts w:ascii="Arial" w:cs="Arial" w:eastAsia="Arial" w:hAnsi="Arial"/>
                <w:color w:val="1E2E2C"/>
                <w:sz w:val="20"/>
                <w:szCs w:val="20"/>
              </w:rPr>
              <w:t xml:space="preserve">Myth. In a moderate caloric deficit, strength training helps preserve muscle. The scale may move at a similar pace, but body composition improves.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E2C"/>
                <w:sz w:val="20"/>
                <w:szCs w:val="20"/>
              </w:rPr>
              <w:t xml:space="preserve">"If I stop the medication abruptly, I'll definitely regain all the weight."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E2C"/>
                <w:sz w:val="20"/>
                <w:szCs w:val="20"/>
              </w:rPr>
              <w:t xml:space="preserve">Partially a myth. The risk exists, but can be significantly reduced with solid protein and training habits built during treatment.</w:t>
            </w:r>
          </w:p>
        </w:tc>
      </w:tr>
      <w:tr>
        <w:tc>
          <w:tcPr>
            <w:tcW w:type="dxa" w:w="4680"/>
            <w:tcBorders>
              <w:top w:val="single" w:color="CCCCCC" w:sz="1"/>
              <w:left w:val="single" w:color="CCCCCC" w:sz="1"/>
              <w:bottom w:val="single" w:color="CCCCCC" w:sz="1"/>
              <w:right w:val="single" w:color="CCCCCC" w:sz="1"/>
            </w:tcBorders>
            <w:shd w:fill="F8F4EE" w:val="clear"/>
            <w:tcMar>
              <w:top w:type="dxa" w:w="80"/>
              <w:left w:type="dxa" w:w="120"/>
              <w:bottom w:type="dxa" w:w="80"/>
              <w:right w:type="dxa" w:w="120"/>
            </w:tcMar>
          </w:tcPr>
          <w:p>
            <w:r>
              <w:rPr>
                <w:rFonts w:ascii="Arial" w:cs="Arial" w:eastAsia="Arial" w:hAnsi="Arial"/>
                <w:color w:val="1E2E2C"/>
                <w:sz w:val="20"/>
                <w:szCs w:val="20"/>
              </w:rPr>
              <w:t xml:space="preserve">"Drinking plenty of water helps with the constipation common in GLP-1 treatment."</w:t>
            </w:r>
          </w:p>
        </w:tc>
        <w:tc>
          <w:tcPr>
            <w:tcW w:type="dxa" w:w="4680"/>
            <w:tcBorders>
              <w:top w:val="single" w:color="CCCCCC" w:sz="1"/>
              <w:left w:val="single" w:color="CCCCCC" w:sz="1"/>
              <w:bottom w:val="single" w:color="CCCCCC" w:sz="1"/>
              <w:right w:val="single" w:color="CCCCCC" w:sz="1"/>
            </w:tcBorders>
            <w:shd w:fill="F8F4EE" w:val="clear"/>
            <w:tcMar>
              <w:top w:type="dxa" w:w="80"/>
              <w:left w:type="dxa" w:w="120"/>
              <w:bottom w:type="dxa" w:w="80"/>
              <w:right w:type="dxa" w:w="120"/>
            </w:tcMar>
          </w:tcPr>
          <w:p>
            <w:r>
              <w:rPr>
                <w:rFonts w:ascii="Arial" w:cs="Arial" w:eastAsia="Arial" w:hAnsi="Arial"/>
                <w:color w:val="1E2E2C"/>
                <w:sz w:val="20"/>
                <w:szCs w:val="20"/>
              </w:rPr>
              <w:t xml:space="preserve">Fact. Along with fiber and movement, it's one of the simplest and most effective measures.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E2C"/>
                <w:sz w:val="20"/>
                <w:szCs w:val="20"/>
              </w:rPr>
              <w:t xml:space="preserve">"Protein supplements are 'chemicals' and are bad for you."</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E2C"/>
                <w:sz w:val="20"/>
                <w:szCs w:val="20"/>
              </w:rPr>
              <w:t xml:space="preserve">Myth, in most cases. Whey and plant-based protein isolates are concentrated food products, extensively studied — but like any supplement, should be used with professional guidance.</w:t>
            </w:r>
          </w:p>
        </w:tc>
      </w:tr>
    </w:tbl>
    <w:p>
      <w:pPr>
        <w:spacing w:after="120" w:before="0"/>
      </w:pPr>
      <w:r>
        <w:t xml:space="preserve"/>
      </w:r>
    </w:p>
    <w:p>
      <w:pPr>
        <w:pStyle w:val="Heading1"/>
        <w:pageBreakBefore/>
        <w:spacing w:after="240" w:before="0"/>
      </w:pPr>
      <w:r>
        <w:rPr>
          <w:rFonts w:ascii="Georgia" w:cs="Georgia" w:eastAsia="Georgia" w:hAnsi="Georgia"/>
          <w:b/>
          <w:bCs/>
          <w:color w:val="1F4E5A"/>
          <w:sz w:val="40"/>
          <w:szCs w:val="40"/>
        </w:rPr>
        <w:t xml:space="preserve">Conclusion &amp; Weekly Checklist</w:t>
      </w:r>
    </w:p>
    <w:p>
      <w:pPr>
        <w:spacing w:after="160" w:before="100"/>
      </w:pPr>
      <w:r>
        <w:rPr>
          <w:rFonts w:ascii="Arial" w:cs="Arial" w:eastAsia="Arial" w:hAnsi="Arial"/>
          <w:color w:val="1E2E2C"/>
          <w:sz w:val="22"/>
          <w:szCs w:val="22"/>
        </w:rPr>
        <w:t xml:space="preserve">GLP-1 agonists are powerful tools — but like any tool, the final result depends on how you use them. The combination of sufficient protein, minimum effective strength training, and durable habit-building is what turns “losing weight” into “changing your life,” rather than just another chapter in the story of the rebound.</w:t>
      </w:r>
    </w:p>
    <w:p>
      <w:pPr>
        <w:spacing w:after="120" w:before="0"/>
      </w:pPr>
      <w:r>
        <w:t xml:space="preserve"/>
      </w:r>
    </w:p>
    <w:p>
      <w:pPr>
        <w:pStyle w:val="Heading3"/>
        <w:spacing w:after="120" w:before="240"/>
      </w:pPr>
      <w:r>
        <w:rPr>
          <w:rFonts w:ascii="Arial" w:cs="Arial" w:eastAsia="Arial" w:hAnsi="Arial"/>
          <w:b/>
          <w:bCs/>
          <w:color w:val="5C9C8F"/>
          <w:sz w:val="26"/>
          <w:szCs w:val="26"/>
        </w:rPr>
        <w:t xml:space="preserve">Weekly checklist</w:t>
      </w:r>
    </w:p>
    <w:p>
      <w:pPr>
        <w:pStyle w:val="ListParagraph"/>
        <w:numPr>
          <w:ilvl w:val="0"/>
          <w:numId w:val="3"/>
        </w:numPr>
        <w:spacing w:after="80" w:before="80"/>
      </w:pPr>
      <w:r>
        <w:rPr>
          <w:rFonts w:ascii="Arial" w:cs="Arial" w:eastAsia="Arial" w:hAnsi="Arial"/>
          <w:color w:val="1E2E2C"/>
          <w:sz w:val="22"/>
          <w:szCs w:val="22"/>
        </w:rPr>
        <w:t xml:space="preserve">Did I prioritize protein in at least 3 meals per day this week?</w:t>
      </w:r>
    </w:p>
    <w:p>
      <w:pPr>
        <w:pStyle w:val="ListParagraph"/>
        <w:numPr>
          <w:ilvl w:val="0"/>
          <w:numId w:val="3"/>
        </w:numPr>
        <w:spacing w:after="80" w:before="80"/>
      </w:pPr>
      <w:r>
        <w:rPr>
          <w:rFonts w:ascii="Arial" w:cs="Arial" w:eastAsia="Arial" w:hAnsi="Arial"/>
          <w:color w:val="1E2E2C"/>
          <w:sz w:val="22"/>
          <w:szCs w:val="22"/>
        </w:rPr>
        <w:t xml:space="preserve">Did I complete at least 2 strength training sessions this week?</w:t>
      </w:r>
    </w:p>
    <w:p>
      <w:pPr>
        <w:pStyle w:val="ListParagraph"/>
        <w:numPr>
          <w:ilvl w:val="0"/>
          <w:numId w:val="3"/>
        </w:numPr>
        <w:spacing w:after="80" w:before="80"/>
      </w:pPr>
      <w:r>
        <w:rPr>
          <w:rFonts w:ascii="Arial" w:cs="Arial" w:eastAsia="Arial" w:hAnsi="Arial"/>
          <w:color w:val="1E2E2C"/>
          <w:sz w:val="22"/>
          <w:szCs w:val="22"/>
        </w:rPr>
        <w:t xml:space="preserve">Did I drink enough water consistently throughout the days?</w:t>
      </w:r>
    </w:p>
    <w:p>
      <w:pPr>
        <w:pStyle w:val="ListParagraph"/>
        <w:numPr>
          <w:ilvl w:val="0"/>
          <w:numId w:val="3"/>
        </w:numPr>
        <w:spacing w:after="80" w:before="80"/>
      </w:pPr>
      <w:r>
        <w:rPr>
          <w:rFonts w:ascii="Arial" w:cs="Arial" w:eastAsia="Arial" w:hAnsi="Arial"/>
          <w:color w:val="1E2E2C"/>
          <w:sz w:val="22"/>
          <w:szCs w:val="22"/>
        </w:rPr>
        <w:t xml:space="preserve">Did I talk to my doctor about any questions, side effects, or adjustments?</w:t>
      </w:r>
    </w:p>
    <w:p>
      <w:pPr>
        <w:pStyle w:val="ListParagraph"/>
        <w:numPr>
          <w:ilvl w:val="0"/>
          <w:numId w:val="3"/>
        </w:numPr>
        <w:spacing w:after="80" w:before="80"/>
      </w:pPr>
      <w:r>
        <w:rPr>
          <w:rFonts w:ascii="Arial" w:cs="Arial" w:eastAsia="Arial" w:hAnsi="Arial"/>
          <w:color w:val="1E2E2C"/>
          <w:sz w:val="22"/>
          <w:szCs w:val="22"/>
        </w:rPr>
        <w:t xml:space="preserve">Am I building habits that will keep working even without the medication?</w:t>
      </w:r>
    </w:p>
    <w:p>
      <w:pPr>
        <w:spacing w:after="240" w:before="0"/>
      </w:pPr>
      <w:r>
        <w:t xml:space="preserve"/>
      </w:r>
    </w:p>
    <w:p>
      <w:pPr>
        <w:spacing w:after="160" w:before="100"/>
      </w:pPr>
      <w:r>
        <w:rPr>
          <w:rFonts w:ascii="Arial" w:cs="Arial" w:eastAsia="Arial" w:hAnsi="Arial"/>
          <w:i/>
          <w:iCs/>
          <w:color w:val="5C9C8F"/>
          <w:sz w:val="22"/>
          <w:szCs w:val="22"/>
        </w:rPr>
        <w:t xml:space="preserve">Thank you for reading this far. Use this guide as a reference whenever you need it — and remember: small consistent decisions, repeated week after week, are what separate a temporary result from a lasting transformation.</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5A" w:sz="4"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AAAAAA"/>
        <w:sz w:val="16"/>
        <w:szCs w:val="16"/>
      </w:rPr>
      <w:t xml:space="preserve"> · Educational content only. Not a substitute for medical advice.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5A" w:sz="4" w:space="4"/>
      </w:pBdr>
    </w:pPr>
    <w:r>
      <w:rPr>
        <w:rFonts w:ascii="Arial" w:cs="Arial" w:eastAsia="Arial" w:hAnsi="Arial"/>
        <w:b/>
        <w:bCs/>
        <w:color w:val="1F4E5A"/>
        <w:sz w:val="18"/>
        <w:szCs w:val="18"/>
      </w:rPr>
      <w:t xml:space="preserve">Shot Without Fear  </w:t>
    </w:r>
    <w:r>
      <w:rPr>
        <w:rFonts w:ascii="Arial" w:cs="Arial" w:eastAsia="Arial" w:hAnsi="Arial"/>
        <w:color w:val="888888"/>
        <w:sz w:val="18"/>
        <w:szCs w:val="18"/>
      </w:rPr>
      <w:t xml:space="preserve">·  GLP-1 Muscle &amp; Habit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E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Georgia" w:cs="Georgia" w:eastAsia="Georgia" w:hAnsi="Georgia"/>
      <w:b/>
      <w:bCs/>
      <w:color w:val="1F4E5A"/>
      <w:sz w:val="40"/>
      <w:szCs w:val="40"/>
    </w:rPr>
  </w:style>
  <w:style w:type="paragraph" w:styleId="Heading2">
    <w:name w:val="Heading 2"/>
    <w:basedOn w:val="Normal"/>
    <w:next w:val="Normal"/>
    <w:qFormat/>
    <w:pPr>
      <w:spacing w:after="160" w:before="320"/>
      <w:outlineLvl w:val="1"/>
    </w:pPr>
    <w:rPr>
      <w:rFonts w:ascii="Georgia" w:cs="Georgia" w:eastAsia="Georgia" w:hAnsi="Georgia"/>
      <w:b/>
      <w:bCs/>
      <w:color w:val="1F4E5A"/>
      <w:sz w:val="32"/>
      <w:szCs w:val="32"/>
    </w:rPr>
  </w:style>
  <w:style w:type="paragraph" w:styleId="Heading3">
    <w:name w:val="Heading 3"/>
    <w:basedOn w:val="Normal"/>
    <w:next w:val="Normal"/>
    <w:qFormat/>
    <w:pPr>
      <w:spacing w:after="120" w:before="240"/>
      <w:outlineLvl w:val="2"/>
    </w:pPr>
    <w:rPr>
      <w:rFonts w:ascii="Arial" w:cs="Arial" w:eastAsia="Arial" w:hAnsi="Arial"/>
      <w:b/>
      <w:bCs/>
      <w:color w:val="5C9C8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2026-06-12T18:42:24.455Z</dcterms:created>
  <dcterms:modified xsi:type="dcterms:W3CDTF">2026-06-12T18:42:24.455Z</dcterms:modified>
</cp:coreProperties>
</file>

<file path=docProps/custom.xml><?xml version="1.0" encoding="utf-8"?>
<Properties xmlns="http://schemas.openxmlformats.org/officeDocument/2006/custom-properties" xmlns:vt="http://schemas.openxmlformats.org/officeDocument/2006/docPropsVTypes"/>
</file>