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FAA27" w14:textId="77777777" w:rsidR="00812EDC" w:rsidRPr="00812EDC" w:rsidRDefault="00812EDC" w:rsidP="00812EDC">
      <w:pPr>
        <w:jc w:val="center"/>
        <w:rPr>
          <w:rFonts w:ascii="Times New Roman" w:hAnsi="Times New Roman" w:cs="Times New Roman"/>
          <w:b/>
          <w:bCs/>
          <w:sz w:val="32"/>
          <w:szCs w:val="32"/>
        </w:rPr>
      </w:pPr>
      <w:r w:rsidRPr="00812EDC">
        <w:rPr>
          <w:rFonts w:ascii="Times New Roman" w:hAnsi="Times New Roman" w:cs="Times New Roman"/>
          <w:b/>
          <w:bCs/>
          <w:sz w:val="32"/>
          <w:szCs w:val="32"/>
        </w:rPr>
        <w:t xml:space="preserve">Msc Project: </w:t>
      </w:r>
    </w:p>
    <w:p w14:paraId="4A9C6B37" w14:textId="0B317968" w:rsidR="00812EDC" w:rsidRPr="00812EDC" w:rsidRDefault="00812EDC" w:rsidP="00812EDC">
      <w:pPr>
        <w:jc w:val="center"/>
        <w:rPr>
          <w:rFonts w:ascii="Times New Roman" w:hAnsi="Times New Roman" w:cs="Times New Roman"/>
          <w:b/>
          <w:bCs/>
          <w:sz w:val="32"/>
          <w:szCs w:val="32"/>
        </w:rPr>
      </w:pPr>
      <w:r w:rsidRPr="00812EDC">
        <w:rPr>
          <w:rFonts w:ascii="Times New Roman" w:hAnsi="Times New Roman" w:cs="Times New Roman"/>
          <w:b/>
          <w:bCs/>
          <w:sz w:val="32"/>
          <w:szCs w:val="32"/>
        </w:rPr>
        <w:t>Theory and Methods for Certifying Deep Generative Models</w:t>
      </w:r>
    </w:p>
    <w:p w14:paraId="6DCA05F4" w14:textId="77777777" w:rsidR="00812EDC" w:rsidRPr="00812EDC" w:rsidRDefault="00812EDC" w:rsidP="00812EDC">
      <w:pPr>
        <w:jc w:val="center"/>
        <w:rPr>
          <w:rFonts w:ascii="Times New Roman" w:hAnsi="Times New Roman" w:cs="Times New Roman"/>
          <w:b/>
          <w:bCs/>
        </w:rPr>
      </w:pPr>
      <w:r w:rsidRPr="00812EDC">
        <w:rPr>
          <w:rFonts w:ascii="Times New Roman" w:hAnsi="Times New Roman" w:cs="Times New Roman"/>
          <w:b/>
          <w:bCs/>
        </w:rPr>
        <w:t>Yue Li</w:t>
      </w:r>
    </w:p>
    <w:p w14:paraId="7A534DD5" w14:textId="77777777" w:rsidR="00812EDC" w:rsidRPr="00812EDC" w:rsidRDefault="00812EDC" w:rsidP="00812EDC">
      <w:pPr>
        <w:jc w:val="center"/>
        <w:rPr>
          <w:rFonts w:ascii="Times New Roman" w:hAnsi="Times New Roman" w:cs="Times New Roman"/>
          <w:b/>
          <w:bCs/>
        </w:rPr>
      </w:pPr>
      <w:r w:rsidRPr="00812EDC">
        <w:rPr>
          <w:rFonts w:ascii="Times New Roman" w:hAnsi="Times New Roman" w:cs="Times New Roman"/>
          <w:b/>
          <w:bCs/>
        </w:rPr>
        <w:t>June 2026</w:t>
      </w:r>
    </w:p>
    <w:p w14:paraId="68DDEFAB" w14:textId="77777777" w:rsidR="00812EDC" w:rsidRPr="00812EDC" w:rsidRDefault="00812EDC" w:rsidP="00812EDC">
      <w:pPr>
        <w:rPr>
          <w:rFonts w:ascii="Times New Roman" w:hAnsi="Times New Roman" w:cs="Times New Roman"/>
          <w:b/>
          <w:bCs/>
          <w:sz w:val="28"/>
          <w:szCs w:val="28"/>
        </w:rPr>
      </w:pPr>
      <w:r w:rsidRPr="00812EDC">
        <w:rPr>
          <w:rFonts w:ascii="Times New Roman" w:hAnsi="Times New Roman" w:cs="Times New Roman"/>
          <w:b/>
          <w:bCs/>
          <w:sz w:val="28"/>
          <w:szCs w:val="28"/>
        </w:rPr>
        <w:t>1 Introduction</w:t>
      </w:r>
    </w:p>
    <w:p w14:paraId="254066BD" w14:textId="23133100" w:rsidR="00812EDC" w:rsidRPr="00812EDC" w:rsidRDefault="00812EDC" w:rsidP="00812EDC">
      <w:pPr>
        <w:rPr>
          <w:rFonts w:ascii="Times New Roman" w:hAnsi="Times New Roman" w:cs="Times New Roman"/>
          <w:b/>
          <w:bCs/>
          <w:sz w:val="24"/>
        </w:rPr>
      </w:pPr>
      <w:r w:rsidRPr="00812EDC">
        <w:rPr>
          <w:rFonts w:ascii="Times New Roman" w:hAnsi="Times New Roman" w:cs="Times New Roman"/>
          <w:b/>
          <w:bCs/>
          <w:sz w:val="24"/>
        </w:rPr>
        <w:t xml:space="preserve">1.1 </w:t>
      </w:r>
      <w:r w:rsidR="00036DB1">
        <w:rPr>
          <w:rFonts w:ascii="Times New Roman" w:hAnsi="Times New Roman" w:cs="Times New Roman" w:hint="eastAsia"/>
          <w:b/>
          <w:bCs/>
          <w:sz w:val="24"/>
        </w:rPr>
        <w:t xml:space="preserve">Background and </w:t>
      </w:r>
      <w:r w:rsidRPr="00812EDC">
        <w:rPr>
          <w:rFonts w:ascii="Times New Roman" w:hAnsi="Times New Roman" w:cs="Times New Roman"/>
          <w:b/>
          <w:bCs/>
          <w:sz w:val="24"/>
        </w:rPr>
        <w:t>Motivation</w:t>
      </w:r>
    </w:p>
    <w:p w14:paraId="2586EFFF" w14:textId="3EA4185D" w:rsidR="00812EDC" w:rsidRDefault="006A54CA" w:rsidP="00812EDC">
      <w:pPr>
        <w:rPr>
          <w:rFonts w:ascii="Times New Roman" w:hAnsi="Times New Roman" w:cs="Times New Roman"/>
          <w:sz w:val="20"/>
          <w:szCs w:val="20"/>
        </w:rPr>
      </w:pPr>
      <w:r w:rsidRPr="006A54CA">
        <w:rPr>
          <w:rFonts w:ascii="Times New Roman" w:hAnsi="Times New Roman" w:cs="Times New Roman"/>
          <w:sz w:val="20"/>
          <w:szCs w:val="20"/>
        </w:rPr>
        <w:t xml:space="preserve">Deep generative models aim to learn the underlying probability distribution of observed data and to generate new samples resembling those from the original data-generating process. Their ability to represent high-dimensional, complex distributions has driven substantial progress in areas such as image synthesis, data augmentation and scientific data generation. Among the principal families of deep generative models, denoising diffusion probabilistic models have attracted particular attention for their ability to generate high-quality samples through a sequence of learned denoising operations (Ho, Jain and Abbeel, 2020). In a diffusion model, a forward process progressively perturbs data with noise, while a learned reverse process transforms samples from a simple prior distribution into samples intended to follow the target distribution. </w:t>
      </w:r>
      <w:r w:rsidR="00F646E7">
        <w:rPr>
          <w:rFonts w:ascii="Times New Roman" w:hAnsi="Times New Roman" w:cs="Times New Roman"/>
          <w:sz w:val="20"/>
          <w:szCs w:val="20"/>
        </w:rPr>
        <w:br/>
      </w:r>
      <w:r w:rsidRPr="006A54CA">
        <w:rPr>
          <w:rFonts w:ascii="Times New Roman" w:hAnsi="Times New Roman" w:cs="Times New Roman"/>
          <w:sz w:val="20"/>
          <w:szCs w:val="20"/>
        </w:rPr>
        <w:t xml:space="preserve">Despite this empirical success, reliably evaluating deep generative models remains challenging. Common approaches include visual inspection of generated samples and empirical measures such as the Fréchet Inception Distance (FID), which compares feature-space statistics of real and generated samples (Heusel et al., 2017). </w:t>
      </w:r>
      <w:r w:rsidR="00F646E7" w:rsidRPr="00F646E7">
        <w:rPr>
          <w:rFonts w:ascii="Times New Roman" w:hAnsi="Times New Roman" w:cs="Times New Roman"/>
          <w:sz w:val="20"/>
          <w:szCs w:val="20"/>
        </w:rPr>
        <w:t>Like visual inspection, however, FID is a summary statistic computed from a finite batch of samples rather than a formal guarantee. In particular, finite-sample estimates of FID are biased, with the bias depending on both the sample size and the model being evaluated (Chong and Forsyth, 2020).</w:t>
      </w:r>
      <w:r w:rsidRPr="006A54CA">
        <w:rPr>
          <w:rFonts w:ascii="Times New Roman" w:hAnsi="Times New Roman" w:cs="Times New Roman"/>
          <w:sz w:val="20"/>
          <w:szCs w:val="20"/>
        </w:rPr>
        <w:t xml:space="preserve"> it does not itself certify, with any stated confidence, how far the learned distribution lies from the unknown target distribution. Moreover, it depends on the chosen feature representation, the number of evaluation samples and the dataset considered. Strong empirical performance therefore does not necessarily establish that a generative model has accurately learned the target distribution. </w:t>
      </w:r>
      <w:r w:rsidR="00F646E7">
        <w:rPr>
          <w:rFonts w:ascii="Times New Roman" w:hAnsi="Times New Roman" w:cs="Times New Roman"/>
          <w:sz w:val="20"/>
          <w:szCs w:val="20"/>
        </w:rPr>
        <w:br/>
      </w:r>
      <w:r w:rsidRPr="006A54CA">
        <w:rPr>
          <w:rFonts w:ascii="Times New Roman" w:hAnsi="Times New Roman" w:cs="Times New Roman"/>
          <w:sz w:val="20"/>
          <w:szCs w:val="20"/>
        </w:rPr>
        <w:t xml:space="preserve">This limitation motivates the study of certification for deep generative models. In this context, a certificate is a high-probability, data-dependent bound that quantifies the discrepancy between the target and learned distributions at a stated confidence level. Certification has been studied more extensively in supervised learning, where PAC-Bayesian methods have produced non-vacuous risk certificates for probabilistic neural networks (Pérez-Ortiz et al., 2021). Extending comparable guarantees to generative modelling is harder, however, since the object being learned is an entire distribution rather than a predictor evaluated through classification error. Recent work by Mbacke and </w:t>
      </w:r>
      <w:r w:rsidRPr="006A54CA">
        <w:rPr>
          <w:rFonts w:ascii="Times New Roman" w:hAnsi="Times New Roman" w:cs="Times New Roman"/>
          <w:sz w:val="20"/>
          <w:szCs w:val="20"/>
        </w:rPr>
        <w:lastRenderedPageBreak/>
        <w:t>Rivasplata (2024) makes progress towards this objective by deriving a quantitative upper bound on the Wasserstein distance between a data-generating distribution and the distribution learned by a diffusion model, providing a principled complement to sample-based and heuristic evaluation methods. Its practical value, however, depends on whether the bound can be computed reliably, whether it produces informative numerical values, and whether it extends beyond simple experimental settings. These questions motivate the present project: to reproduce the original certification experiment, evaluate the numerical behaviour of the resulting bound, and investigate its extension to further data distributions.</w:t>
      </w:r>
    </w:p>
    <w:p w14:paraId="72DBC5C1" w14:textId="77777777" w:rsidR="00812EDC" w:rsidRPr="006A54CA" w:rsidRDefault="00812EDC" w:rsidP="00812EDC">
      <w:pPr>
        <w:rPr>
          <w:rFonts w:ascii="Times New Roman" w:hAnsi="Times New Roman" w:cs="Times New Roman"/>
          <w:sz w:val="20"/>
          <w:szCs w:val="20"/>
        </w:rPr>
      </w:pPr>
    </w:p>
    <w:p w14:paraId="1B4C2A55" w14:textId="1F80AB72" w:rsidR="00812EDC" w:rsidRPr="0097491F" w:rsidRDefault="0097491F" w:rsidP="00812EDC">
      <w:pPr>
        <w:rPr>
          <w:rFonts w:ascii="Times New Roman" w:hAnsi="Times New Roman" w:cs="Times New Roman" w:hint="eastAsia"/>
          <w:b/>
          <w:bCs/>
          <w:sz w:val="24"/>
        </w:rPr>
      </w:pPr>
      <w:r w:rsidRPr="00812EDC">
        <w:rPr>
          <w:rFonts w:ascii="Times New Roman" w:hAnsi="Times New Roman" w:cs="Times New Roman"/>
          <w:b/>
          <w:bCs/>
          <w:sz w:val="24"/>
        </w:rPr>
        <w:t>1.</w:t>
      </w:r>
      <w:r>
        <w:rPr>
          <w:rFonts w:ascii="Times New Roman" w:hAnsi="Times New Roman" w:cs="Times New Roman" w:hint="eastAsia"/>
          <w:b/>
          <w:bCs/>
          <w:sz w:val="24"/>
        </w:rPr>
        <w:t>2</w:t>
      </w:r>
      <w:r w:rsidRPr="00812EDC">
        <w:rPr>
          <w:rFonts w:ascii="Times New Roman" w:hAnsi="Times New Roman" w:cs="Times New Roman"/>
          <w:b/>
          <w:bCs/>
          <w:sz w:val="24"/>
        </w:rPr>
        <w:t xml:space="preserve"> </w:t>
      </w:r>
      <w:r w:rsidRPr="0097491F">
        <w:rPr>
          <w:rFonts w:ascii="Times New Roman" w:hAnsi="Times New Roman" w:cs="Times New Roman"/>
          <w:b/>
          <w:bCs/>
          <w:sz w:val="24"/>
        </w:rPr>
        <w:t>Certification and PAC-Bayesian Learning</w:t>
      </w:r>
    </w:p>
    <w:p w14:paraId="002DA44F" w14:textId="77777777" w:rsidR="0097491F" w:rsidRPr="0097491F" w:rsidRDefault="0097491F" w:rsidP="0097491F">
      <w:pPr>
        <w:rPr>
          <w:rFonts w:ascii="Times New Roman" w:hAnsi="Times New Roman" w:cs="Times New Roman"/>
          <w:sz w:val="20"/>
          <w:szCs w:val="20"/>
        </w:rPr>
      </w:pPr>
      <w:r w:rsidRPr="0097491F">
        <w:rPr>
          <w:rFonts w:ascii="Times New Roman" w:hAnsi="Times New Roman" w:cs="Times New Roman"/>
          <w:sz w:val="20"/>
          <w:szCs w:val="20"/>
        </w:rPr>
        <w:t>A certificate is a computable numerical guarantee on an unknown population-level quantity, accompanied by an explicit confidence level. In supervised classification, this quantity may be the true prediction error, whereas in generative modelling it may be a discrepancy between the target and learned distributions. A certificate in the form of an upper bound guarantees that, with probability at least \(1-\delta\), the unknown quantity does not exceed the reported value. A valid certificate may nevertheless be vacuous if it fails to improve on a trivial worst-case bound. Non-vacuity and tightness are therefore distinct: the former requires improvement over a trivial baseline, while the latter concerns how closely the certificate controls the unknown quantity.</w:t>
      </w:r>
    </w:p>
    <w:p w14:paraId="72052AAF" w14:textId="77777777" w:rsidR="0097491F" w:rsidRPr="0097491F" w:rsidRDefault="0097491F" w:rsidP="0097491F">
      <w:pPr>
        <w:rPr>
          <w:rFonts w:ascii="Times New Roman" w:hAnsi="Times New Roman" w:cs="Times New Roman"/>
          <w:sz w:val="20"/>
          <w:szCs w:val="20"/>
        </w:rPr>
      </w:pPr>
      <w:r w:rsidRPr="0097491F">
        <w:rPr>
          <w:rFonts w:ascii="Times New Roman" w:hAnsi="Times New Roman" w:cs="Times New Roman"/>
          <w:sz w:val="20"/>
          <w:szCs w:val="20"/>
        </w:rPr>
        <w:t>In supervised learning, certification is closely related to generalisation. Training on a finite sample makes empirical risk observable, while population risk remains unknown. Generalisation bounds connect these quantities, but bounds based on worst-case measures of hypothesis-class capacity are often vacuous for heavily overparameterised neural networks. This limitation motivates data-dependent approaches that reflect properties of the learned predictor rather than only the size of its hypothesis class.</w:t>
      </w:r>
    </w:p>
    <w:p w14:paraId="4B43806C" w14:textId="77777777" w:rsidR="0097491F" w:rsidRPr="0097491F" w:rsidRDefault="0097491F" w:rsidP="0097491F">
      <w:pPr>
        <w:rPr>
          <w:rFonts w:ascii="Times New Roman" w:hAnsi="Times New Roman" w:cs="Times New Roman"/>
          <w:sz w:val="20"/>
          <w:szCs w:val="20"/>
        </w:rPr>
      </w:pPr>
      <w:r w:rsidRPr="0097491F">
        <w:rPr>
          <w:rFonts w:ascii="Times New Roman" w:hAnsi="Times New Roman" w:cs="Times New Roman"/>
          <w:sz w:val="20"/>
          <w:szCs w:val="20"/>
        </w:rPr>
        <w:t>PAC-Bayesian learning provides one such approach by analysing a distribution over hypotheses. In the classical setting, a prior is specified independently of the data used for certification, while learning produces a data-dependent posterior. PAC-Bayes bounds combine posterior empirical risk with a complexity penalty involving the Kullback–Leibler divergence between posterior and prior, together with sample-size and confidence terms (McAllester, 1999). Data-dependent priors are also possible, but require additional mechanisms to preserve validity.</w:t>
      </w:r>
    </w:p>
    <w:p w14:paraId="77A29968" w14:textId="77777777" w:rsidR="0097491F" w:rsidRPr="0097491F" w:rsidRDefault="0097491F" w:rsidP="0097491F">
      <w:pPr>
        <w:rPr>
          <w:rFonts w:ascii="Times New Roman" w:hAnsi="Times New Roman" w:cs="Times New Roman"/>
          <w:sz w:val="20"/>
          <w:szCs w:val="20"/>
        </w:rPr>
      </w:pPr>
      <w:r w:rsidRPr="0097491F">
        <w:rPr>
          <w:rFonts w:ascii="Times New Roman" w:hAnsi="Times New Roman" w:cs="Times New Roman"/>
          <w:sz w:val="20"/>
          <w:szCs w:val="20"/>
        </w:rPr>
        <w:t xml:space="preserve">Dziugaite and Roy (2017) obtained non-vacuous PAC-Bayes bounds for stochastic neural networks with substantially more parameters than training examples. Pérez-Ortiz et al. (2021) subsequently produced tighter risk certificates through improved training objectives and prior constructions. These results demonstrate that useful numerical certification is possible in supervised deep learning. They motivate the broader pursuit of informative certificates for deep generative models, but the population quantity and technical construction are different: generative certification concerns a discrepancy between entire distributions rather than classification risk. The following section therefore considers a </w:t>
      </w:r>
      <w:r w:rsidRPr="0097491F">
        <w:rPr>
          <w:rFonts w:ascii="Times New Roman" w:hAnsi="Times New Roman" w:cs="Times New Roman"/>
          <w:sz w:val="20"/>
          <w:szCs w:val="20"/>
        </w:rPr>
        <w:lastRenderedPageBreak/>
        <w:t>distinct Wasserstein-based route to certifying diffusion models.</w:t>
      </w:r>
    </w:p>
    <w:p w14:paraId="3B53CCE2" w14:textId="77777777" w:rsidR="00812EDC" w:rsidRPr="0097491F" w:rsidRDefault="00812EDC" w:rsidP="00812EDC">
      <w:pPr>
        <w:rPr>
          <w:rFonts w:ascii="Times New Roman" w:hAnsi="Times New Roman" w:cs="Times New Roman"/>
          <w:sz w:val="20"/>
          <w:szCs w:val="20"/>
        </w:rPr>
      </w:pPr>
    </w:p>
    <w:p w14:paraId="11AC0B5D" w14:textId="3C473BB8" w:rsidR="00812EDC" w:rsidRPr="007E4C4B" w:rsidRDefault="007E4C4B" w:rsidP="00812EDC">
      <w:pPr>
        <w:rPr>
          <w:rFonts w:ascii="Times New Roman" w:hAnsi="Times New Roman" w:cs="Times New Roman" w:hint="eastAsia"/>
          <w:b/>
          <w:bCs/>
          <w:sz w:val="24"/>
        </w:rPr>
      </w:pPr>
      <w:r w:rsidRPr="00812EDC">
        <w:rPr>
          <w:rFonts w:ascii="Times New Roman" w:hAnsi="Times New Roman" w:cs="Times New Roman"/>
          <w:b/>
          <w:bCs/>
          <w:sz w:val="24"/>
        </w:rPr>
        <w:t>1.</w:t>
      </w:r>
      <w:r>
        <w:rPr>
          <w:rFonts w:ascii="Times New Roman" w:hAnsi="Times New Roman" w:cs="Times New Roman" w:hint="eastAsia"/>
          <w:b/>
          <w:bCs/>
          <w:sz w:val="24"/>
        </w:rPr>
        <w:t>3</w:t>
      </w:r>
      <w:r w:rsidRPr="00812EDC">
        <w:rPr>
          <w:rFonts w:ascii="Times New Roman" w:hAnsi="Times New Roman" w:cs="Times New Roman"/>
          <w:b/>
          <w:bCs/>
          <w:sz w:val="24"/>
        </w:rPr>
        <w:t xml:space="preserve"> </w:t>
      </w:r>
      <w:r w:rsidRPr="007E4C4B">
        <w:rPr>
          <w:rFonts w:ascii="Times New Roman" w:hAnsi="Times New Roman" w:cs="Times New Roman"/>
          <w:b/>
          <w:bCs/>
          <w:sz w:val="24"/>
        </w:rPr>
        <w:t>Distributional Guarantees for Diffusion Models</w:t>
      </w:r>
    </w:p>
    <w:p w14:paraId="5E016796" w14:textId="77777777" w:rsidR="007E4C4B" w:rsidRPr="007E4C4B" w:rsidRDefault="007E4C4B" w:rsidP="007E4C4B">
      <w:pPr>
        <w:rPr>
          <w:rFonts w:ascii="Times New Roman" w:hAnsi="Times New Roman" w:cs="Times New Roman"/>
          <w:sz w:val="20"/>
          <w:szCs w:val="20"/>
        </w:rPr>
      </w:pPr>
      <w:r w:rsidRPr="007E4C4B">
        <w:rPr>
          <w:rFonts w:ascii="Times New Roman" w:hAnsi="Times New Roman" w:cs="Times New Roman"/>
          <w:sz w:val="20"/>
          <w:szCs w:val="20"/>
        </w:rPr>
        <w:t>Unlike supervised classifiers, generative models cannot generally be evaluated using prediction error because their objective is to approximate an entire probability distribution. This requires a discrepancy between the target and learned distributions. Common choices include Kullback–Leibler divergence, total variation distance and Wasserstein distance. These quantities capture different notions of distributional similarity. KL divergence may become infinite when the required absolute-continuity condition is violated, while total variation distance does not account for the geometry of the sample space. Wasserstein distance is instead defined through an optimal transport cost and, under appropriate moment conditions, can remain finite and informative even when the distributions have disjoint supports (Villani, 2009). This makes it particularly relevant to the evaluation of generative models, although no single discrepancy is universally preferable.</w:t>
      </w:r>
    </w:p>
    <w:p w14:paraId="76EFCF5D" w14:textId="77777777" w:rsidR="007E4C4B" w:rsidRPr="007E4C4B" w:rsidRDefault="007E4C4B" w:rsidP="007E4C4B">
      <w:pPr>
        <w:rPr>
          <w:rFonts w:ascii="Times New Roman" w:hAnsi="Times New Roman" w:cs="Times New Roman"/>
          <w:sz w:val="20"/>
          <w:szCs w:val="20"/>
        </w:rPr>
      </w:pPr>
      <w:r w:rsidRPr="007E4C4B">
        <w:rPr>
          <w:rFonts w:ascii="Times New Roman" w:hAnsi="Times New Roman" w:cs="Times New Roman"/>
          <w:sz w:val="20"/>
          <w:szCs w:val="20"/>
        </w:rPr>
        <w:t>Much of the theoretical literature on diffusion models has analysed convergence through score-based or stochastic-differential-equation formulations. Song et al. (2021) introduced a continuous-time SDE framework that unified score-based generative models and diffusion probabilistic models. Subsequent work established convergence guarantees under assumptions involving score-estimation accuracy, sampling discretisation and properties of the target distribution. For example, Lee, Lu and Tan (2023) obtained Wasserstein convergence guarantees for distributions with bounded support or sufficiently decaying tails under an assumption of \(L^2\)-accurate score estimation. Although these results provide important theoretical understanding, assumptions on score-estimation error can make the resulting guarantees difficult to evaluate numerically for a particular trained model.</w:t>
      </w:r>
    </w:p>
    <w:p w14:paraId="68F315DF" w14:textId="77777777" w:rsidR="007E4C4B" w:rsidRPr="007E4C4B" w:rsidRDefault="007E4C4B" w:rsidP="007E4C4B">
      <w:pPr>
        <w:rPr>
          <w:rFonts w:ascii="Times New Roman" w:hAnsi="Times New Roman" w:cs="Times New Roman"/>
          <w:sz w:val="20"/>
          <w:szCs w:val="20"/>
        </w:rPr>
      </w:pPr>
      <w:r w:rsidRPr="007E4C4B">
        <w:rPr>
          <w:rFonts w:ascii="Times New Roman" w:hAnsi="Times New Roman" w:cs="Times New Roman"/>
          <w:sz w:val="20"/>
          <w:szCs w:val="20"/>
        </w:rPr>
        <w:t>Mbacke and Rivasplata (2024) developed a different route by deriving a finite-sample, high-probability upper bound on the Wasserstein distance between the target distribution and the distribution learned by a denoising diffusion probabilistic model. Their result applies to arbitrary distributions on bounded instance spaces, does not require the target distribution to admit a density with respect to Lebesgue measure, and avoids assumptions on the learned score function. However, the reported numerical illustration focused on a simple two-dimensional uniform distribution. Consequently, the numerical behaviour, tightness and practical informativeness of the bound in broader experimental settings remain insufficiently understood. These limitations motivate the replication and extension investigated in this project.</w:t>
      </w:r>
    </w:p>
    <w:p w14:paraId="00F5F858" w14:textId="77777777" w:rsidR="00812EDC" w:rsidRPr="007E4C4B" w:rsidRDefault="00812EDC" w:rsidP="00812EDC">
      <w:pPr>
        <w:rPr>
          <w:rFonts w:ascii="Times New Roman" w:hAnsi="Times New Roman" w:cs="Times New Roman"/>
          <w:sz w:val="20"/>
          <w:szCs w:val="20"/>
        </w:rPr>
      </w:pPr>
    </w:p>
    <w:p w14:paraId="2BFC1B43" w14:textId="77777777" w:rsidR="00812EDC" w:rsidRDefault="00812EDC" w:rsidP="00812EDC">
      <w:pPr>
        <w:rPr>
          <w:rFonts w:ascii="Times New Roman" w:hAnsi="Times New Roman" w:cs="Times New Roman"/>
          <w:sz w:val="20"/>
          <w:szCs w:val="20"/>
        </w:rPr>
      </w:pPr>
    </w:p>
    <w:p w14:paraId="654D4A83" w14:textId="77777777" w:rsidR="001961F6" w:rsidRDefault="001961F6" w:rsidP="001961F6">
      <w:pPr>
        <w:rPr>
          <w:rFonts w:ascii="Times New Roman" w:hAnsi="Times New Roman" w:cs="Times New Roman"/>
          <w:b/>
          <w:bCs/>
          <w:sz w:val="24"/>
        </w:rPr>
      </w:pPr>
    </w:p>
    <w:p w14:paraId="08A55F6A" w14:textId="77777777" w:rsidR="001961F6" w:rsidRPr="00812EDC" w:rsidRDefault="001961F6" w:rsidP="001961F6">
      <w:pPr>
        <w:rPr>
          <w:rFonts w:ascii="Times New Roman" w:hAnsi="Times New Roman" w:cs="Times New Roman"/>
          <w:b/>
          <w:bCs/>
          <w:sz w:val="24"/>
        </w:rPr>
      </w:pPr>
    </w:p>
    <w:p w14:paraId="56D8C107" w14:textId="77777777" w:rsidR="001961F6" w:rsidRPr="007E4C4B" w:rsidRDefault="001961F6" w:rsidP="00812EDC">
      <w:pPr>
        <w:rPr>
          <w:rFonts w:ascii="Times New Roman" w:hAnsi="Times New Roman" w:cs="Times New Roman"/>
          <w:b/>
          <w:bCs/>
          <w:sz w:val="28"/>
          <w:szCs w:val="28"/>
        </w:rPr>
      </w:pPr>
    </w:p>
    <w:sectPr w:rsidR="001961F6" w:rsidRPr="007E4C4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857"/>
    <w:rsid w:val="00036DB1"/>
    <w:rsid w:val="001961F6"/>
    <w:rsid w:val="0024692C"/>
    <w:rsid w:val="00377F34"/>
    <w:rsid w:val="00392857"/>
    <w:rsid w:val="00551FB0"/>
    <w:rsid w:val="0057588B"/>
    <w:rsid w:val="006A54CA"/>
    <w:rsid w:val="007D3D74"/>
    <w:rsid w:val="007E4C4B"/>
    <w:rsid w:val="00812EDC"/>
    <w:rsid w:val="0097491F"/>
    <w:rsid w:val="00D57ABF"/>
    <w:rsid w:val="00F646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11C8F"/>
  <w15:chartTrackingRefBased/>
  <w15:docId w15:val="{609A52B7-38F0-4D04-837D-DDA7E4536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39285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39285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39285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39285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39285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39285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39285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39285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39285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85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39285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39285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39285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39285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39285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392857"/>
    <w:rPr>
      <w:rFonts w:cstheme="majorBidi"/>
      <w:b/>
      <w:bCs/>
      <w:color w:val="595959" w:themeColor="text1" w:themeTint="A6"/>
    </w:rPr>
  </w:style>
  <w:style w:type="character" w:customStyle="1" w:styleId="Heading8Char">
    <w:name w:val="Heading 8 Char"/>
    <w:basedOn w:val="DefaultParagraphFont"/>
    <w:link w:val="Heading8"/>
    <w:uiPriority w:val="9"/>
    <w:semiHidden/>
    <w:rsid w:val="00392857"/>
    <w:rPr>
      <w:rFonts w:cstheme="majorBidi"/>
      <w:color w:val="595959" w:themeColor="text1" w:themeTint="A6"/>
    </w:rPr>
  </w:style>
  <w:style w:type="character" w:customStyle="1" w:styleId="Heading9Char">
    <w:name w:val="Heading 9 Char"/>
    <w:basedOn w:val="DefaultParagraphFont"/>
    <w:link w:val="Heading9"/>
    <w:uiPriority w:val="9"/>
    <w:semiHidden/>
    <w:rsid w:val="00392857"/>
    <w:rPr>
      <w:rFonts w:eastAsiaTheme="majorEastAsia" w:cstheme="majorBidi"/>
      <w:color w:val="595959" w:themeColor="text1" w:themeTint="A6"/>
    </w:rPr>
  </w:style>
  <w:style w:type="paragraph" w:styleId="Title">
    <w:name w:val="Title"/>
    <w:basedOn w:val="Normal"/>
    <w:next w:val="Normal"/>
    <w:link w:val="TitleChar"/>
    <w:uiPriority w:val="10"/>
    <w:qFormat/>
    <w:rsid w:val="0039285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2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85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85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392857"/>
    <w:pPr>
      <w:spacing w:before="160"/>
      <w:jc w:val="center"/>
    </w:pPr>
    <w:rPr>
      <w:i/>
      <w:iCs/>
      <w:color w:val="404040" w:themeColor="text1" w:themeTint="BF"/>
    </w:rPr>
  </w:style>
  <w:style w:type="character" w:customStyle="1" w:styleId="QuoteChar">
    <w:name w:val="Quote Char"/>
    <w:basedOn w:val="DefaultParagraphFont"/>
    <w:link w:val="Quote"/>
    <w:uiPriority w:val="29"/>
    <w:rsid w:val="00392857"/>
    <w:rPr>
      <w:i/>
      <w:iCs/>
      <w:color w:val="404040" w:themeColor="text1" w:themeTint="BF"/>
    </w:rPr>
  </w:style>
  <w:style w:type="paragraph" w:styleId="ListParagraph">
    <w:name w:val="List Paragraph"/>
    <w:basedOn w:val="Normal"/>
    <w:uiPriority w:val="34"/>
    <w:qFormat/>
    <w:rsid w:val="00392857"/>
    <w:pPr>
      <w:ind w:left="720"/>
      <w:contextualSpacing/>
    </w:pPr>
  </w:style>
  <w:style w:type="character" w:styleId="IntenseEmphasis">
    <w:name w:val="Intense Emphasis"/>
    <w:basedOn w:val="DefaultParagraphFont"/>
    <w:uiPriority w:val="21"/>
    <w:qFormat/>
    <w:rsid w:val="00392857"/>
    <w:rPr>
      <w:i/>
      <w:iCs/>
      <w:color w:val="0F4761" w:themeColor="accent1" w:themeShade="BF"/>
    </w:rPr>
  </w:style>
  <w:style w:type="paragraph" w:styleId="IntenseQuote">
    <w:name w:val="Intense Quote"/>
    <w:basedOn w:val="Normal"/>
    <w:next w:val="Normal"/>
    <w:link w:val="IntenseQuoteChar"/>
    <w:uiPriority w:val="30"/>
    <w:qFormat/>
    <w:rsid w:val="00392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2857"/>
    <w:rPr>
      <w:i/>
      <w:iCs/>
      <w:color w:val="0F4761" w:themeColor="accent1" w:themeShade="BF"/>
    </w:rPr>
  </w:style>
  <w:style w:type="character" w:styleId="IntenseReference">
    <w:name w:val="Intense Reference"/>
    <w:basedOn w:val="DefaultParagraphFont"/>
    <w:uiPriority w:val="32"/>
    <w:qFormat/>
    <w:rsid w:val="003928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1308</Words>
  <Characters>7456</Characters>
  <Application>Microsoft Office Word</Application>
  <DocSecurity>0</DocSecurity>
  <Lines>62</Lines>
  <Paragraphs>17</Paragraphs>
  <ScaleCrop>false</ScaleCrop>
  <Company/>
  <LinksUpToDate>false</LinksUpToDate>
  <CharactersWithSpaces>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Yuhui Chen</dc:creator>
  <cp:keywords/>
  <dc:description/>
  <cp:lastModifiedBy>Yuhui Chen</cp:lastModifiedBy>
  <cp:revision>13</cp:revision>
  <dcterms:created xsi:type="dcterms:W3CDTF">2026-07-16T11:18:00Z</dcterms:created>
  <dcterms:modified xsi:type="dcterms:W3CDTF">2026-07-22T17:21:00Z</dcterms:modified>
</cp:coreProperties>
</file>