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6" w:name="content"/>
    <w:bookmarkStart w:id="25" w:name="catálogo-de-microservicios-de-smartedify"/>
    <w:p>
      <w:pPr>
        <w:pStyle w:val="Heading1"/>
      </w:pPr>
      <w:r>
        <w:t xml:space="preserve">Catálogo de Microservicios de SmartEdify</w:t>
      </w:r>
    </w:p>
    <w:p>
      <w:pPr>
        <w:pStyle w:val="FirstParagraph"/>
      </w:pPr>
      <w:r>
        <w:t xml:space="preserve">Este documento resume los microservicios previstos para el</w:t>
      </w:r>
      <w:r>
        <w:t xml:space="preserve"> </w:t>
      </w:r>
      <w:r>
        <w:rPr>
          <w:b/>
          <w:bCs/>
        </w:rPr>
        <w:t xml:space="preserve">Producto Mínimo Viable (PMV)</w:t>
      </w:r>
      <w:r>
        <w:t xml:space="preserve"> </w:t>
      </w:r>
      <w:r>
        <w:t xml:space="preserve">de SmartEdify y los servicios proyectados para fases posteriores. La definición de cada servicio sigue principios de</w:t>
      </w:r>
      <w:r>
        <w:t xml:space="preserve"> </w:t>
      </w:r>
      <w:r>
        <w:rPr>
          <w:b/>
          <w:bCs/>
        </w:rPr>
        <w:t xml:space="preserve">bounded context</w:t>
      </w:r>
      <w:r>
        <w:t xml:space="preserve"> </w:t>
      </w:r>
      <w:r>
        <w:t xml:space="preserve">y se limita a una</w:t>
      </w:r>
      <w:r>
        <w:t xml:space="preserve"> </w:t>
      </w:r>
      <w:r>
        <w:rPr>
          <w:b/>
          <w:bCs/>
        </w:rPr>
        <w:t xml:space="preserve">capacidad de negocio</w:t>
      </w:r>
      <w:r>
        <w:t xml:space="preserve"> </w:t>
      </w:r>
      <w:r>
        <w:t xml:space="preserve">clara para evitar el riesgo de crear un monolito distribuido. Los servicios se comunican mediante APIs REST y eventos, y cada uno es dueño de su propia base de datos. Se prevé un API Gateway para el enrutamiento y la aplicación de políticas transversales (autenticación, rate‑limiting, trazabilidad).</w:t>
      </w:r>
    </w:p>
    <w:bookmarkStart w:id="22" w:name="servicios-del-pmv"/>
    <w:p>
      <w:pPr>
        <w:pStyle w:val="Heading2"/>
      </w:pPr>
      <w:r>
        <w:t xml:space="preserve">Servicios del PMV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Servicio</w:t>
            </w:r>
          </w:p>
        </w:tc>
        <w:tc>
          <w:tcPr/>
          <w:p>
            <w:pPr>
              <w:pStyle w:val="Compact"/>
            </w:pPr>
            <w:r>
              <w:t xml:space="preserve">Alcance/responsabilidad principal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 Service</w:t>
            </w:r>
          </w:p>
        </w:tc>
        <w:tc>
          <w:tcPr/>
          <w:p>
            <w:pPr>
              <w:pStyle w:val="Compact"/>
            </w:pPr>
            <w:r>
              <w:t xml:space="preserve">Servicio de identidad central. Genera y valida tokens JWT de acceso y refresco; implementa control de acceso basado en roles (RBAC) y Multi‑Factor Authentication (MFA); actúa como proveedor OAuth 2.0/OIDC para terceros; gestiona sesiones en memoria (Redis).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Tenants Service</w:t>
            </w:r>
          </w:p>
        </w:tc>
        <w:tc>
          <w:tcPr/>
          <w:p>
            <w:pPr>
              <w:pStyle w:val="Compact"/>
            </w:pPr>
            <w:r>
              <w:t xml:space="preserve">Gestiona la creación y actualización de condominios. Almacena el país de origen (</w:t>
            </w:r>
            <w:r>
              <w:rPr>
                <w:rStyle w:val="VerbatimChar"/>
              </w:rPr>
              <w:t xml:space="preserve">local_country</w:t>
            </w:r>
            <w:r>
              <w:t xml:space="preserve">), datos legales básicos y el estado de la suscripción. Permite completar el onboarding del condominio y consultar el estado del tenant.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Users Service</w:t>
            </w:r>
          </w:p>
        </w:tc>
        <w:tc>
          <w:tcPr/>
          <w:p>
            <w:pPr>
              <w:pStyle w:val="Compact"/>
            </w:pPr>
            <w:r>
              <w:t xml:space="preserve">Maneja perfiles y datos personales de los usuarios. Permite asignar roles y permisos por condominio, gestionar las relaciones propietario/arrendatario/familiar y emite eventos cuando un usuario es creado o modificado.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AssemblyCore Service</w:t>
            </w:r>
          </w:p>
        </w:tc>
        <w:tc>
          <w:tcPr/>
          <w:p>
            <w:pPr>
              <w:pStyle w:val="Compact"/>
            </w:pPr>
            <w:r>
              <w:t xml:space="preserve">Gestiona el ciclo completo de las asambleas (preparación, sesión en vivo, post‑asamblea). Permite crear agendas, registrar participantes, calcular quórums y mayorías, gestionar votaciones en tiempo real y generar actas. Se integra con Compliance para validar reglas legales, con Communications para notificaciones y con DocuCore para generar documentos.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Maintenance Service</w:t>
            </w:r>
          </w:p>
        </w:tc>
        <w:tc>
          <w:tcPr/>
          <w:p>
            <w:pPr>
              <w:pStyle w:val="Compact"/>
            </w:pPr>
            <w:r>
              <w:t xml:space="preserve">Administra activos, programaciones de mantenimiento y reportes de incidencias. Permite programar tareas correctivas y preventivas, registrar costos (en coordinación con Billing) y enviar notificaciones.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Reservations Service</w:t>
            </w:r>
          </w:p>
        </w:tc>
        <w:tc>
          <w:tcPr/>
          <w:p>
            <w:pPr>
              <w:pStyle w:val="Compact"/>
            </w:pPr>
            <w:r>
              <w:t xml:space="preserve">Controla la disponibilidad y la reserva de áreas comunes. Implementa el flujo de pre‑reserva, cobra tarifas (a través de Billing/Payments), gestiona cancelaciones y registra la utilización de espacios. Verifica la habilitación de usuarios (cuotas al día, roles correctos) y envía recordatorios.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DocuCore (Documents Service)</w:t>
            </w:r>
          </w:p>
        </w:tc>
        <w:tc>
          <w:tcPr/>
          <w:p>
            <w:pPr>
              <w:pStyle w:val="Compact"/>
            </w:pPr>
            <w:r>
              <w:t xml:space="preserve">Centraliza la generación y almacenamiento de documentos. Permite crear PDFs y HTMLs a partir de plantillas, versionar documentos, gestionar procesos de firma digital y sellado criptográfico y verificar la autenticidad de los documentos generados.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Communications Service</w:t>
            </w:r>
          </w:p>
        </w:tc>
        <w:tc>
          <w:tcPr/>
          <w:p>
            <w:pPr>
              <w:pStyle w:val="Compact"/>
            </w:pPr>
            <w:r>
              <w:t xml:space="preserve">Encargado de las notificaciones multicanal (correo, SMS, push). Gestiona plantillas de mensajes, preferencias de usuario y el historial de envíos. Recibe eventos de otros servicios (invitaciones, recordatorios, confirmaciones) y orquesta el envío apropiado.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Billing/Subscriptions Service</w:t>
            </w:r>
          </w:p>
        </w:tc>
        <w:tc>
          <w:tcPr/>
          <w:p>
            <w:pPr>
              <w:pStyle w:val="Compact"/>
            </w:pPr>
            <w:r>
              <w:t xml:space="preserve">Maneja los planes de suscripción y la facturación. Administra ciclos de pago (mensual, anual), addons contratados por microservicio y estados de la suscripción (activo, expirado, suspendido). Coordina con Finance/Payments para cobrar cuotas y controla la elegibilidad de usuarios (por ejemplo, restringe votos si hay pagos pendientes).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Compliance Service (PDP)</w:t>
            </w:r>
          </w:p>
        </w:tc>
        <w:tc>
          <w:tcPr/>
          <w:p>
            <w:pPr>
              <w:pStyle w:val="Compact"/>
            </w:pPr>
            <w:r>
              <w:t xml:space="preserve">Motor central de cumplimiento normativo. Contiene políticas legales por país y tipo de acto; decide quórums, mayorías y plazos de retención; valida consentimientos y actúa como</w:t>
            </w:r>
            <w:r>
              <w:t xml:space="preserve"> </w:t>
            </w:r>
            <w:r>
              <w:rPr>
                <w:b/>
                <w:bCs/>
              </w:rPr>
              <w:t xml:space="preserve">Policy Decision Point</w:t>
            </w:r>
            <w:r>
              <w:t xml:space="preserve"> </w:t>
            </w:r>
            <w:r>
              <w:t xml:space="preserve">(PDP) para otros microservicios, que aplican la decisión en su propia lógica (PEP). Toda actualización de políticas queda versionada y firmada.</w:t>
            </w:r>
          </w:p>
        </w:tc>
      </w:tr>
    </w:tbl>
    <w:bookmarkStart w:id="21" w:name="consideraciones-de-diseño"/>
    <w:p>
      <w:pPr>
        <w:pStyle w:val="Heading3"/>
      </w:pPr>
      <w:r>
        <w:t xml:space="preserve">Consideraciones de diseño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Base de datos por servicio</w:t>
      </w:r>
      <w:r>
        <w:t xml:space="preserve">: cada microservicio es dueño de su esquema de datos, evitando bases compartidas y permitiendo adoptar la tecnología que mejor se ajuste a su dominio.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Comunicación asíncrona</w:t>
      </w:r>
      <w:r>
        <w:t xml:space="preserve">: además de las APIs síncronas, se emplea una arquitectura orientada a eventos para desacoplar servicios y mejorar la escalabilidad (por ejemplo, notificaciones de creación de asamblea, finalización de votación, cambios de suscripción).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PEP y PDP</w:t>
      </w:r>
      <w:r>
        <w:t xml:space="preserve">: los servicios como AssemblyCore actúan como</w:t>
      </w:r>
      <w:r>
        <w:t xml:space="preserve"> </w:t>
      </w:r>
      <w:r>
        <w:rPr>
          <w:b/>
          <w:bCs/>
        </w:rPr>
        <w:t xml:space="preserve">Policy Enforcement Point</w:t>
      </w:r>
      <w:r>
        <w:t xml:space="preserve"> </w:t>
      </w:r>
      <w:r>
        <w:t xml:space="preserve">(PEP) y delegan decisiones legales en el servicio de Compliance (PDP). Se distribuyen bundles firmados de políticas para reducir la latencia.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 Gateway</w:t>
      </w:r>
      <w:r>
        <w:t xml:space="preserve">: centraliza tareas transversales como autenticación, autorización inicial, rate‑limiting y logging. No contiene lógica de negocio.</w:t>
      </w:r>
    </w:p>
    <w:bookmarkEnd w:id="21"/>
    <w:bookmarkEnd w:id="22"/>
    <w:bookmarkStart w:id="23" w:name="servicios-previstos-para-fases-futuras"/>
    <w:p>
      <w:pPr>
        <w:pStyle w:val="Heading2"/>
      </w:pPr>
      <w:r>
        <w:t xml:space="preserve">Servicios previstos para fases futuras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Servicio</w:t>
            </w:r>
          </w:p>
        </w:tc>
        <w:tc>
          <w:tcPr/>
          <w:p>
            <w:pPr>
              <w:pStyle w:val="Compact"/>
            </w:pPr>
            <w:r>
              <w:t xml:space="preserve">Descripción y criterios de activación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Finance/Payments Service</w:t>
            </w:r>
          </w:p>
        </w:tc>
        <w:tc>
          <w:tcPr/>
          <w:p>
            <w:pPr>
              <w:pStyle w:val="Compact"/>
            </w:pPr>
            <w:r>
              <w:t xml:space="preserve">Gestionará la integración con pasarelas de pago, la conciliación de transacciones y la validación de cobros. Inicialmente, esta funcionalidad puede integrarse en Billing; se justifica separar un servicio específico cuando se añadan múltiples proveedores de pago, flujos de conciliación compleja o regulaciones diferentes.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Payroll/RRHH Service</w:t>
            </w:r>
          </w:p>
        </w:tc>
        <w:tc>
          <w:tcPr/>
          <w:p>
            <w:pPr>
              <w:pStyle w:val="Compact"/>
            </w:pPr>
            <w:r>
              <w:t xml:space="preserve">Servicio de nómina y gestión de recursos humanos. Permitirá calcular salarios y gratificaciones, emitir boletas de pago y cumplir con las obligaciones legales de contratación. Su inclusión se considera un valor agregado para comunidades que deseen administrar personal a través de la plataforma.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Operations Service</w:t>
            </w:r>
          </w:p>
        </w:tc>
        <w:tc>
          <w:tcPr/>
          <w:p>
            <w:pPr>
              <w:pStyle w:val="Compact"/>
            </w:pPr>
            <w:r>
              <w:t xml:space="preserve">Podría fusionar o escindir funcionalidades de Maintenance y Reservations cuando la operación de estos dominios crezca en volumen o complejidad. La división depende de si ambos dominios evolucionan al mismo ritmo o requieren escalados distintos.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Marketplace Service</w:t>
            </w:r>
          </w:p>
        </w:tc>
        <w:tc>
          <w:tcPr/>
          <w:p>
            <w:pPr>
              <w:pStyle w:val="Compact"/>
            </w:pPr>
            <w:r>
              <w:t xml:space="preserve">Permitiría a los condominios contratar proveedores externos de limpieza, jardinería, seguridad u otros servicios. Gestionaría catálogos de proveedores, contratos y pagos, y se comunicaría con Billing y Payments.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Analytics/Dashboard Service</w:t>
            </w:r>
          </w:p>
        </w:tc>
        <w:tc>
          <w:tcPr/>
          <w:p>
            <w:pPr>
              <w:pStyle w:val="Compact"/>
            </w:pPr>
            <w:r>
              <w:t xml:space="preserve">Proporcionará reportes avanzados de gobernanza (tendencias de votación, asistencia), estados financieros y métricas de uso. Consumirá eventos y datos de los demás microservicios para generar tableros en tiempo real.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Observability/Monitoring Service</w:t>
            </w:r>
          </w:p>
        </w:tc>
        <w:tc>
          <w:tcPr/>
          <w:p>
            <w:pPr>
              <w:pStyle w:val="Compact"/>
            </w:pPr>
            <w:r>
              <w:t xml:space="preserve">Aunque la observabilidad es transversal a todos los servicios, se prevé un componente dedicado a recolectar métricas, trazas y logs y a exponer dashboards unificados. Podría centralizar integraciones con herramientas como Prometheus y Grafana y aplicar alertas basadas en SLOs.</w:t>
            </w:r>
          </w:p>
        </w:tc>
      </w:tr>
    </w:tbl>
    <w:bookmarkEnd w:id="23"/>
    <w:bookmarkStart w:id="24" w:name="resumen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La selección de microservicios del PMV se centra en los dominios esenciales para la operación de SmartEdify: autenticación y usuarios, gestión de condominios, asambleas, mantenimiento, reservas, documentos, comunicaciones, facturación y cumplimiento legal. Otros servicios —como gestión de pagos, nómina, marketplace, operaciones y analítica— se abordarán en etapas posteriores de acuerdo con la madurez del negocio y la demanda de funcionalidad. Esta planificación se alinea con las mejores prácticas de microservicios al asegurar que cada servicio tenga una responsabilidad bien definida y que los límites evolucionen según la experiencia obtenida en producción.</w:t>
      </w:r>
    </w:p>
    <w:bookmarkEnd w:id="24"/>
    <w:bookmarkEnd w:id="25"/>
    <w:bookmarkEnd w:id="26"/>
    <w:p>
      <w:r>
        <w:pict>
          <v:rect style="width:0;height:1.5pt" o:hralign="center" o:hrstd="t" o:hr="t"/>
        </w:pict>
      </w:r>
    </w:p>
    <w:bookmarkStart w:id="27" w:name="citations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2025-09-07T13:47:48Z</dcterms:created>
  <dcterms:modified xsi:type="dcterms:W3CDTF">2025-09-07T13:47:48Z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