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DATABASE MIGRATION GUIDE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95959"/>
          <w:sz w:val="30"/>
          <w:szCs w:val="30"/>
        </w:rPr>
        <w:t xml:space="preserve">Legacy Schema → Redesigned Schema</w:t>
      </w:r>
    </w:p>
    <w:p>
      <w:pPr>
        <w:pBdr>
          <w:top w:val="single" w:color="1F3864" w:sz="12"/>
        </w:pBdr>
        <w:jc w:val="center"/>
      </w:pPr>
      <w:r>
        <w:t xml:space="preserve"/>
      </w:r>
    </w:p>
    <w:p>
      <w:pPr>
        <w:spacing w:after="9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Egoola.com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Prepared for: Emrul Hasan Emon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Revision 1 — September 9, 2026</w:t>
      </w:r>
    </w:p>
    <w:p>
      <w:pPr>
        <w:spacing w:after="60"/>
        <w:jc w:val="center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Covers: database/new_schema/new_schema.sql · app/Console/Commands/MigrateOldToNewDb.php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200" w:before="400"/>
      </w:pPr>
      <w:r>
        <w:t xml:space="preserve">1. Purpose &amp; Scope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Egoola.com's production database is a Laravel 7 / MySQL schema spread across 93 migration files and roughly 90 tables, accumulated over several years of incremental feature work. A separate proposal — the Database Redesign document and Master ERD — consolidates this into a clean, 32-table schema: one identity table per account type instead of an overloaded users.role column, one listings table instead of six near-duplicate shop-format tables, one orders/order_items/payments trio instead of fourteen transaction-related tables, and so on.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guide documents the migration tooling built to carry real data from the old schema into the new one: a SQL script that creates the new schema from nothing, and a Laravel Artisan command that reads every row out of the old database, re-shapes it to fit the new tables, and writes it into the new database. It is written for whoever runs the migration and whoever signs off on it afterward — it assumes no prior familiarity with either script.</w:t>
      </w:r>
    </w:p>
    <w:p>
      <w:pPr>
        <w:pStyle w:val="Heading2"/>
        <w:spacing w:after="120" w:before="300"/>
      </w:pPr>
      <w:r>
        <w:t xml:space="preserve">1.1 What this covers</w:t>
      </w: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Creating the new database's schema (all 32 tables, with foreign keys and the shared audit-trail columns).</w:t>
      </w: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Copying and re-shaping every row of production data from the old schema into the new one.</w:t>
      </w: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Documenting every mapping decision, including the ones that were genuinely ambiguous in the source data.</w:t>
      </w:r>
    </w:p>
    <w:p>
      <w:pPr>
        <w:pStyle w:val="Heading2"/>
        <w:spacing w:after="120" w:before="300"/>
      </w:pPr>
      <w:r>
        <w:t xml:space="preserve">1.2 What this does not cover</w:t>
      </w: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Cutting the live application over to read/write the new schema — that is a separate, much larger application-code project (the paused Next.js + Django rebuild plan covers that ground).</w:t>
      </w: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Resolving business questions the migration surfaces but can't answer on its own — for example, which of the three legacy seller-withdrawal tables should be treated as authoritative (Section 7).</w:t>
      </w: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OTP codes, password-reset tokens, and “remember me” tokens — deliberately excluded (Section 6).</w:t>
      </w:r>
    </w:p>
    <w:p>
      <w:pPr>
        <w:pStyle w:val="Heading1"/>
        <w:spacing w:after="200" w:before="400"/>
      </w:pPr>
      <w:r>
        <w:t xml:space="preserve">2. Migration Architecture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migration runs entirely inside the existing Laravel application and uses two database connections side by side: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Connection name</w:t>
            </w:r>
          </w:p>
        </w:tc>
        <w:tc>
          <w:tcPr>
            <w:tcW w:type="dxa" w:w="45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Points at</w:t>
            </w:r>
          </w:p>
        </w:tc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mysql</w:t>
            </w:r>
          </w:p>
        </w:tc>
        <w:tc>
          <w:tcPr>
            <w:tcW w:type="dxa" w:w="4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existing production database (config's default connection)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Read-only — the migration never writes to it</w:t>
            </w:r>
          </w:p>
        </w:tc>
      </w:tr>
      <w:tr>
        <w:tc>
          <w:tcPr>
            <w:tcW w:type="dxa" w:w="24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new_mysql</w:t>
            </w:r>
          </w:p>
        </w:tc>
        <w:tc>
          <w:tcPr>
            <w:tcW w:type="dxa" w:w="456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new, redesigned-schema database (config/database.php, credentials via NEW_DB_* in .env)</w:t>
            </w:r>
          </w:p>
        </w:tc>
        <w:tc>
          <w:tcPr>
            <w:tcW w:type="dxa" w:w="24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 + write — this is the migration's target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t xml:space="preserve">2.1 The two files that do the work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9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database/new_schema/new_schema.sql</w:t>
            </w:r>
          </w:p>
        </w:tc>
        <w:tc>
          <w:tcPr>
            <w:tcW w:type="dxa" w:w="59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Plain SQL DDL for all 32 new tables, dependency-ordered so every foreign key can be created inline. Runnable on its own with the mysql CLI, or automatically via the --fresh option below.</w:t>
            </w:r>
          </w:p>
        </w:tc>
      </w:tr>
      <w:tr>
        <w:tc>
          <w:tcPr>
            <w:tcW w:type="dxa" w:w="34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app/Console/Commands/MigrateOldToNewDb.php</w:t>
            </w:r>
          </w:p>
        </w:tc>
        <w:tc>
          <w:tcPr>
            <w:tcW w:type="dxa" w:w="596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Laravel Artisan command that performs the actual data copy, as php artisan db:migrate-to-new. Organized as 16 ordered steps, one per schema module (Section 5).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t xml:space="preserve">2.2 How records are re-pointed (the ID-mapping strategy)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Several old tables collapse into one new table — six shop-format tables (products, used_malls, village_products, retail_shops, wholesales, brand_walls) all become rows in one new listings table, for example. Each of those six tables has its own auto-increment ID sequence, so “product #482” and “used item #482” are two different things that cannot both keep the id 482 in the new table.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migration handles this by keeping an in-memory map, per concept, from every old (source table, old id) pair to the new row's id — built up as each table is migrated, and consulted by every later step that needs to point at it. So once products row #482 is inserted as listings row #3117, the migration remembers that mapping; when it later reaches a product_images row, a carts row, a billings row, a favourits row, or a reviews row that references product_id = 482, it looks up the same map and correctly points the new row at listings #3117 instead of at a stale, meaningless #482.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is why the migration must run its 16 steps in a fixed order (Section 4.2) — a later step's map lookups depend on an earlier step having already populated that map.</w:t>
      </w:r>
    </w:p>
    <w:p>
      <w:pPr>
        <w:pStyle w:val="Heading2"/>
        <w:spacing w:after="120" w:before="300"/>
      </w:pPr>
      <w:r>
        <w:t xml:space="preserve">2.3 Audit trail on migrated rows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Every new table carries the same eight-column audit block used throughout the redesign (created_by, creator_type, creator_name, updated_by, updater_type, updater_name, created_at, updated_at). The old schema never recorded who created or last touched a given row, so inventing a specific actor would be fiction. Instead, every row this migration writes is tagged creator_type = updater_type = ‘system’ with the name “Legacy Data Migration” — an honest label, not a guess. The original created_at / updated_at timestamps from the old row ARE preserved.</w:t>
      </w:r>
    </w:p>
    <w:p>
      <w:pPr>
        <w:pStyle w:val="Heading1"/>
        <w:spacing w:after="200" w:before="400"/>
      </w:pPr>
      <w:r>
        <w:t xml:space="preserve">3. Prerequisites &amp; Setup</w:t>
      </w: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The existing PHP 7.2.5+ / Laravel 7 environment that already runs Egoola.com (no new runtime dependencies).</w:t>
      </w: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A new, empty MySQL/MariaDB database for the migration target. It does not need any tables yet — the --fresh option creates all 32 from scratch.</w:t>
      </w: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Five new variables added to the real .env file (already documented with placeholder defaults in .env.example):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NEW_DB_HOST=127.0.0.1
NEW_DB_PORT=3306
NEW_DB_DATABASE=egoola_new
NEW_DB_USERNAME=root
NEW_DB_PASSWORD=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Nothing about the existing DB_* variables or the live database changes. The old connection is only ever read from.</w:t>
      </w:r>
    </w:p>
    <w:p>
      <w:pPr>
        <w:pStyle w:val="Heading1"/>
        <w:spacing w:after="200" w:before="400"/>
      </w:pPr>
      <w:r>
        <w:t xml:space="preserve">4. Running the Migration</w:t>
      </w:r>
    </w:p>
    <w:p>
      <w:pPr>
        <w:pStyle w:val="Heading2"/>
        <w:spacing w:after="120" w:before="300"/>
      </w:pPr>
      <w:r>
        <w:t xml:space="preserve">4.1 Basic run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From the Laravel project root, with the .env variables above in place: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php artisan db:migrate-to-new --fresh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--fresh drops and recreates every table in the new database from new_schema.sql before migrating, so this is safe to run against a database that already has a (possibly partial or stale) copy of the new schema in it.</w:t>
      </w:r>
    </w:p>
    <w:p>
      <w:pPr>
        <w:pStyle w:val="Heading2"/>
        <w:spacing w:after="120" w:before="300"/>
      </w:pPr>
      <w:r>
        <w:t xml:space="preserve">4.2 Options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1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--fresh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off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Re-apply database/new_schema/new_schema.sql (drop + recreate all 32 tables) before migrating data.</w:t>
            </w:r>
          </w:p>
        </w:tc>
      </w:tr>
      <w:tr>
        <w:tc>
          <w:tcPr>
            <w:tcW w:type="dxa" w:w="22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--only=&lt;step&gt;</w:t>
            </w:r>
          </w:p>
        </w:tc>
        <w:tc>
          <w:tcPr>
            <w:tcW w:type="dxa" w:w="20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steps run</w:t>
            </w:r>
          </w:p>
        </w:tc>
        <w:tc>
          <w:tcPr>
            <w:tcW w:type="dxa" w:w="516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Run only the named step(s). Repeatable, e.g. --only=geography --only=identity. See the step list below.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--chunk=&lt;n&gt;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Rows read from the old database per batch, per table. Lower it on memory-constrained hosts; raise it to speed up very large tables.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t xml:space="preserve">4.3 The 16 steps, in run order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00"/>
        <w:gridCol w:w="1800"/>
        <w:gridCol w:w="706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--only key</w:t>
            </w:r>
          </w:p>
        </w:tc>
        <w:tc>
          <w:tcPr>
            <w:tcW w:type="dxa" w:w="70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migrates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geography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countries, states, cities, unions → countries, states, cities, thanas</w:t>
            </w:r>
          </w:p>
        </w:tc>
      </w:tr>
      <w:tr>
        <w:tc>
          <w:tcPr>
            <w:tcW w:type="dxa" w:w="5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identity</w:t>
            </w:r>
          </w:p>
        </w:tc>
        <w:tc>
          <w:tcPr>
            <w:tcW w:type="dxa" w:w="706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users (split by role/section) + profile tables → admins, sellers, users, and their media tables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sellerinfos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companies, contacts, company_files, certificats → seller_infos, seller_media</w:t>
            </w:r>
          </w:p>
        </w:tc>
      </w:tr>
      <w:tr>
        <w:tc>
          <w:tcPr>
            <w:tcW w:type="dxa" w:w="5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categories</w:t>
            </w:r>
          </w:p>
        </w:tc>
        <w:tc>
          <w:tcPr>
            <w:tcW w:type="dxa" w:w="706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Two 3-level category trees → one self-referencing categories tree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measurements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measurements → measurements</w:t>
            </w:r>
          </w:p>
        </w:tc>
      </w:tr>
      <w:tr>
        <w:tc>
          <w:tcPr>
            <w:tcW w:type="dxa" w:w="5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listings</w:t>
            </w:r>
          </w:p>
        </w:tc>
        <w:tc>
          <w:tcPr>
            <w:tcW w:type="dxa" w:w="706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Six shop-format tables + services → listings, listing_price_tiers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listingmedia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product_images, service_images, documents → listing_media</w:t>
            </w:r>
          </w:p>
        </w:tc>
      </w:tr>
      <w:tr>
        <w:tc>
          <w:tcPr>
            <w:tcW w:type="dxa" w:w="5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bids</w:t>
            </w:r>
          </w:p>
        </w:tc>
        <w:tc>
          <w:tcPr>
            <w:tcW w:type="dxa" w:w="706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bid_for_services → bids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carts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carts → carts (header) + cart_items</w:t>
            </w:r>
          </w:p>
        </w:tc>
      </w:tr>
      <w:tr>
        <w:tc>
          <w:tcPr>
            <w:tcW w:type="dxa" w:w="5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orders</w:t>
            </w:r>
          </w:p>
        </w:tc>
        <w:tc>
          <w:tcPr>
            <w:tcW w:type="dxa" w:w="706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sales/orders/billings/shippings + service_orders/hireds → orders, order_items, addresses, payments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legacypayments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balances, payment_requests, seller_payments, commissions, commission_payments, refund_histories → payments</w:t>
            </w:r>
          </w:p>
        </w:tc>
      </w:tr>
      <w:tr>
        <w:tc>
          <w:tcPr>
            <w:tcW w:type="dxa" w:w="5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quotes</w:t>
            </w:r>
          </w:p>
        </w:tc>
        <w:tc>
          <w:tcPr>
            <w:tcW w:type="dxa" w:w="706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simple_reqs → quote_requests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messaging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chats, messages → conversations, messages</w:t>
            </w:r>
          </w:p>
        </w:tc>
      </w:tr>
      <w:tr>
        <w:tc>
          <w:tcPr>
            <w:tcW w:type="dxa" w:w="5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reviews</w:t>
            </w:r>
          </w:p>
        </w:tc>
        <w:tc>
          <w:tcPr>
            <w:tcW w:type="dxa" w:w="706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reviews, favourits → reviews, favourites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notifications → notifications (unchanged)</w:t>
            </w:r>
          </w:p>
        </w:tc>
      </w:tr>
      <w:tr>
        <w:tc>
          <w:tcPr>
            <w:tcW w:type="dxa" w:w="5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cms</w:t>
            </w:r>
          </w:p>
        </w:tc>
        <w:tc>
          <w:tcPr>
            <w:tcW w:type="dxa" w:w="706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banners, sidebar_banners, email_contents, others → banners, email_templates, settings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8A6D12" w:sz="4"/>
          <w:left w:val="single" w:color="8A6D12" w:sz="16"/>
          <w:bottom w:val="single" w:color="8A6D12" w:sz="4"/>
          <w:right w:val="single" w:color="8A6D1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F1D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12"/>
                <w:sz w:val="20"/>
                <w:szCs w:val="20"/>
              </w:rPr>
              <w:t xml:space="preserve">Order matters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Steps 6–16 all depend on the ID maps built by steps 1–5 (and each other — step 10 depends on step 6's listing map, step 11 depends on step 10's order map, and so on). Running --only for a single step without having already run everything before it in a prior pass will silently skip rows whose referenced parent isn't in the map yet.</w:t>
            </w:r>
          </w:p>
        </w:tc>
      </w:tr>
    </w:tbl>
    <w:p>
      <w:pPr>
        <w:pStyle w:val="Heading1"/>
        <w:spacing w:after="200" w:before="400"/>
      </w:pPr>
      <w:r>
        <w:t xml:space="preserve">5. Module-by-Module Mapping Reference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Each subsection below mirrors one module of the redesign proposal. “Legacy table(s)” lists every old table the migration reads from for that module; “New table(s)” lists every new table it writes to.</w:t>
      </w:r>
    </w:p>
    <w:p>
      <w:pPr>
        <w:pStyle w:val="Heading2"/>
        <w:spacing w:after="120" w:before="300"/>
      </w:pPr>
      <w:r>
        <w:t xml:space="preserve">5.1 Geography Reference Data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Legacy table(s)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New table(s)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countries, states, cities, unions (upazilas intentionally excluded)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countries, states, thanas, cities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No migration file in the repository defines countries/states/cities — they were seeded directly into the database, most likely from a common open geography dataset. Column reads are defensive (checked at runtime rather than assumed) so the step degrades gracefully rather than fatally erroring if a column name differs slightly from the guess — see Section 7, item 1.</w:t>
      </w: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unions is the real, live thana-level table (every thana_id column in the application points at it). upazilas is a confirmed-dormant duplicate — the original platform audit found zero writes to it anywhere in the codebase — and is deliberately not migrated.</w:t>
      </w:r>
    </w:p>
    <w:p>
      <w:pPr>
        <w:spacing w:after="100"/>
      </w:pPr>
    </w:p>
    <w:p>
      <w:pPr>
        <w:pStyle w:val="Heading2"/>
        <w:spacing w:after="120" w:before="300"/>
      </w:pPr>
      <w:r>
        <w:t xml:space="preserve">5.2 Identity &amp; Authentication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Legacy table(s)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New table(s)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users (role + user_infos.section), skills, interests, edcations, experiences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admins, admin_media, sellers, seller_media, users, buyer_media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Every legacy account lived in one users table with a role column. The split rule, confirmed directly against the application's own middleware and controllers: role == 5 → admins; otherwise user_infos.section == 1 → sellers; otherwise → users (buyers).</w:t>
      </w: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Per-account JSON fields (skills, interests, education, experience) are folded in from their own child tables where a matching user_id row exists.</w:t>
      </w: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verify_phone, otps, otp_logs, forget_otps, password_resets and verifies are intentionally not migrated — see Section 6.</w:t>
      </w:r>
    </w:p>
    <w:p>
      <w:pPr>
        <w:spacing w:after="100"/>
      </w:pPr>
    </w:p>
    <w:p>
      <w:pPr>
        <w:pStyle w:val="Heading2"/>
        <w:spacing w:after="120" w:before="300"/>
      </w:pPr>
      <w:r>
        <w:t xml:space="preserve">5.3 Seller Business Profile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Legacy table(s)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New table(s)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companies, contacts, company_files, certificats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seller_infos, seller_media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One seller_infos row per seller, built from their companies row plus their contacts row (WhatsApp, Facebook, WeChat, Skype, public email).</w:t>
      </w: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companies.country is free text in the legacy schema, not a real foreign key — resolved by a best-effort case-insensitive name match against the already-migrated countries table, falling back to the seller's own address country.</w:t>
      </w: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company_files (shop gallery photos) and certificats (certification documents) both become seller_media rows, tagged gallery_image / certificate respectively.</w:t>
      </w:r>
    </w:p>
    <w:p>
      <w:pPr>
        <w:spacing w:after="100"/>
      </w:pPr>
    </w:p>
    <w:p>
      <w:pPr>
        <w:pStyle w:val="Heading2"/>
        <w:spacing w:after="120" w:before="300"/>
      </w:pPr>
      <w:r>
        <w:t xml:space="preserve">5.4 Categories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Legacy table(s)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New table(s)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grand_categories, parent_categories, child_categories, service_grands, service_parents, service_children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categories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Two separate 3-level trees (one for products, one for services) collapse into a single self-referencing categories table, distinguished by a type column.</w:t>
      </w: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Slugs are generated fresh from each category's name and de-duplicated across both trees, since the same name (e.g. “Electronics”) can legitimately exist on both the product and service side.</w:t>
      </w:r>
    </w:p>
    <w:p>
      <w:pPr>
        <w:spacing w:after="100"/>
      </w:pPr>
    </w:p>
    <w:p>
      <w:pPr>
        <w:pStyle w:val="Heading2"/>
        <w:spacing w:after="120" w:before="300"/>
      </w:pPr>
      <w:r>
        <w:t xml:space="preserve">5.5 Catalog / Listings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Legacy table(s)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New table(s)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products, used_malls, village_products, retail_shops, wholesales, brand_walls, services, product_images, service_images, documents, measurements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listings, listing_price_tiers, listing_media, measurements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The single largest consolidation in the migration: six near-identical shop-format tables plus the freelance services table all become rows in one listings table, tagged by catalog_type (product/service) and, on the product side, listing_type (general/used/village/retail/wholesale/brand) so which legacy format a listing came from is never lost.</w:t>
      </w: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used_malls' four separate date-part columns (purchase_date, use_day, use_month, use_year) are combined into one free-text condition_note field.</w:t>
      </w: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wholesales' three hardcoded quantity/price-break column pairs become unlimited listing_price_tiers rows; the legacy quantity-range strings (e.g. “10-49”) are parsed with a heuristic (Section 7, item 5).</w:t>
      </w: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services.saler_post determines whether a listing is a seller-posted offer or a buyer-posted job request (Section 7, item 2).</w:t>
      </w: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product_images, service_images and documents (the brand-wall attachment table) all become listing_media rows.</w:t>
      </w:r>
    </w:p>
    <w:p>
      <w:pPr>
        <w:spacing w:after="100"/>
      </w:pPr>
    </w:p>
    <w:p>
      <w:pPr>
        <w:pStyle w:val="Heading2"/>
        <w:spacing w:after="120" w:before="300"/>
      </w:pPr>
      <w:r>
        <w:t xml:space="preserve">5.6 Bidding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Legacy table(s)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New table(s)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bid_for_services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bids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A bid's outcome (accepted vs. never acted on) is inferred from whether a hireds row exists referencing it, since the legacy bid table itself never recorded an outcome — ‘rejected’ and ‘withdrawn’ can't be distinguished from legacy data and are never produced by the migration.</w:t>
      </w:r>
    </w:p>
    <w:p>
      <w:pPr>
        <w:spacing w:after="100"/>
      </w:pPr>
    </w:p>
    <w:p>
      <w:pPr>
        <w:pStyle w:val="Heading2"/>
        <w:spacing w:after="120" w:before="300"/>
      </w:pPr>
      <w:r>
        <w:t xml:space="preserve">5.7 Orders, Order Items, Carts, Addresses &amp; Payments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Legacy table(s)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New table(s)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carts, sales, orders, billings, shippings, service_orders, hireds, payments, order_pays, hire_pays, balances, payment_requests, seller_payments, commissions, commission_payments, refund_histories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carts, cart_items, orders, order_items, addresses, payments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The largest and highest-risk module. The legacy per-seller “orders” row (not the buyer-facing “sales” checkout row) becomes the new orders row; its billings line items become order_items; its linked shippings row becomes an addresses row.</w:t>
      </w: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The direct-hire path (service_orders) and the bid-then-hire path (hireds) both become orders rows too, tagged order_type = service or job respectively, unifying two previously separate status-code implementations into the same state machine.</w:t>
      </w: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Three parallel legacy withdrawal tables (balances, payment_requests, seller_payments) are all migrated into the one new payments ledger, purpose = seller_payout — kept distinguishable via a payments.meta.legacySource tag rather than silently merged (Section 7, item 6).</w:t>
      </w: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Active shopping carts are migrated but are the lowest-value data in this module — likely stale by the time of go-live — and can be excluded with --only if a cutover makes them pointless to carry over.</w:t>
      </w:r>
    </w:p>
    <w:p>
      <w:pPr>
        <w:spacing w:after="100"/>
      </w:pPr>
    </w:p>
    <w:p>
      <w:pPr>
        <w:pStyle w:val="Heading2"/>
        <w:spacing w:after="120" w:before="300"/>
      </w:pPr>
      <w:r>
        <w:t xml:space="preserve">5.8 Buyer Inquiries (Quote Requests)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Legacy table(s)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New table(s)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simple_reqs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quote_requests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The legacy table's user_id column actually stores the seller, not the buyer — a data-modeling bug the redesign fixes. The migration resolves the true buyer only where the inquiry's free-text email matches a known migrated buyer account; otherwise buyer_id is left null and the original contact fields (name, email, phone, company, city, road) are preserved as-is.</w:t>
      </w:r>
    </w:p>
    <w:p>
      <w:pPr>
        <w:spacing w:after="100"/>
      </w:pPr>
    </w:p>
    <w:p>
      <w:pPr>
        <w:pStyle w:val="Heading2"/>
        <w:spacing w:after="120" w:before="300"/>
      </w:pPr>
      <w:r>
        <w:t xml:space="preserve">5.9 Messaging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Legacy table(s)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New table(s)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chats, messages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conversations, messages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chats is renamed conversations for clarity; each message's sender is classified as buyer or seller by checking which side of the parent conversation their legacy user id resolves to.</w:t>
      </w:r>
    </w:p>
    <w:p>
      <w:pPr>
        <w:spacing w:after="100"/>
      </w:pPr>
    </w:p>
    <w:p>
      <w:pPr>
        <w:pStyle w:val="Heading2"/>
        <w:spacing w:after="120" w:before="300"/>
      </w:pPr>
      <w:r>
        <w:t xml:space="preserve">5.10 Reviews &amp; Favourites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Legacy table(s)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New table(s)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reviews, favourits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reviews, favourites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The new schema requires every review to reference a real completed order (closing a gap where the legacy schema allowed reviews with no verified purchase behind them). The migration best-effort matches each legacy review to the buyer's most recent order against that same listing; a review with no matching order is skipped rather than inserted with a fabricated order reference.</w:t>
      </w:r>
    </w:p>
    <w:p>
      <w:pPr>
        <w:spacing w:after="100"/>
      </w:pPr>
    </w:p>
    <w:p>
      <w:pPr>
        <w:pStyle w:val="Heading2"/>
        <w:spacing w:after="120" w:before="300"/>
      </w:pPr>
      <w:r>
        <w:t xml:space="preserve">5.11 Notifications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Legacy table(s)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New table(s)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Laravel's own framework table, already well-designed — copied across unchanged, row for row.</w:t>
      </w:r>
    </w:p>
    <w:p>
      <w:pPr>
        <w:spacing w:after="100"/>
      </w:pPr>
    </w:p>
    <w:p>
      <w:pPr>
        <w:pStyle w:val="Heading2"/>
        <w:spacing w:after="120" w:before="300"/>
      </w:pPr>
      <w:r>
        <w:t xml:space="preserve">5.12 CMS &amp; Site Settings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Legacy table(s)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New table(s)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banners, sidebar_banners, email_contents, others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banners, email_templates, settings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banners and sidebar_banners (two placements of the same underlying idea) merge into one banners table with a placement column.</w:t>
      </w: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others' three fixed value1/value2/value3 columns become a proper key → JSON value store (settings), collapsing to a single JSON value where only one of the three legacy columns was actually used.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6. Data Intentionally Not Migrated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Legacy table(s)</w:t>
            </w:r>
          </w:p>
        </w:tc>
        <w:tc>
          <w:tcPr>
            <w:tcW w:type="dxa" w:w="59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it's excluded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verify_phone, otps, otp_logs, forget_otps, password_resets, verifies</w:t>
            </w:r>
          </w:p>
        </w:tc>
        <w:tc>
          <w:tcPr>
            <w:tcW w:type="dxa" w:w="59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Short-lived verification codes and reset tokens by design. Carrying live secrets into a new system is a security smell, not a data-fidelity requirement — every account should simply request a fresh code/token the first time it's needed post-migration.</w:t>
            </w:r>
          </w:p>
        </w:tc>
      </w:tr>
      <w:tr>
        <w:tc>
          <w:tcPr>
            <w:tcW w:type="dxa" w:w="34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upazilas</w:t>
            </w:r>
          </w:p>
        </w:tc>
        <w:tc>
          <w:tcPr>
            <w:tcW w:type="dxa" w:w="596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Confirmed dormant duplicate of unions — the original platform audit found zero writes to this table anywhere in the codebase.</w:t>
            </w:r>
          </w:p>
        </w:tc>
      </w:tr>
    </w:tbl>
    <w:p>
      <w:pPr>
        <w:pStyle w:val="Heading1"/>
        <w:spacing w:after="200" w:before="400"/>
      </w:pPr>
      <w:r>
        <w:t xml:space="preserve">7. Assumptions &amp; Risks Requiring Verification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items below are places where the legacy schema was genuinely ambiguous — undocumented status codes, columns with no schema-level comment, or tables whose DDL isn't even in this repository. Each was resolved with the most defensible reading available from the application code, but none were confirmed against a live data sample. Spot-check each before trusting the migrated result in production.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20"/>
        <w:gridCol w:w="2900"/>
        <w:gridCol w:w="2200"/>
        <w:gridCol w:w="3840"/>
      </w:tblGrid>
      <w:tr>
        <w:trPr>
          <w:tblHeader/>
        </w:trPr>
        <w:tc>
          <w:tcPr>
            <w:tcW w:type="dxa" w:w="42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38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</w:tr>
      <w:tr>
        <w:tc>
          <w:tcPr>
            <w:tcW w:type="dxa" w:w="4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countries/states/cities column names were inferred (no migration file defines these tables)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migrateGeography()</w:t>
            </w:r>
          </w:p>
        </w:tc>
        <w:tc>
          <w:tcPr>
            <w:tcW w:type="dxa" w:w="38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Run DESCRIBE countries; DESCRIBE states; DESCRIBE cities; on the live database and compare against the script's expected columns.</w:t>
            </w:r>
          </w:p>
        </w:tc>
      </w:tr>
      <w:tr>
        <w:tc>
          <w:tcPr>
            <w:tcW w:type="dxa" w:w="42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services.saler_post: 1 = seller-posted offer, 0 = buyer-posted job request</w:t>
            </w:r>
          </w:p>
        </w:tc>
        <w:tc>
          <w:tcPr>
            <w:tcW w:type="dxa" w:w="22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migrateServices()</w:t>
            </w:r>
          </w:p>
        </w:tc>
        <w:tc>
          <w:tcPr>
            <w:tcW w:type="dxa" w:w="384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Spot-check 5–10 known listings of each kind against the live seller/buyer panels.</w:t>
            </w:r>
          </w:p>
        </w:tc>
      </w:tr>
      <w:tr>
        <w:tc>
          <w:tcPr>
            <w:tcW w:type="dxa" w:w="4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orders.delivary codes 3 and 4 are both treated as ‘cancelled’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migrateProductOrders()</w:t>
            </w:r>
          </w:p>
        </w:tc>
        <w:tc>
          <w:tcPr>
            <w:tcW w:type="dxa" w:w="38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 the two separate call sites in UserProductController that set these codes for any behavioral difference the migration should preserve.</w:t>
            </w:r>
          </w:p>
        </w:tc>
      </w:tr>
      <w:tr>
        <w:tc>
          <w:tcPr>
            <w:tcW w:type="dxa" w:w="42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banners' second legacy status column (statusS) is dropped; only status is kept</w:t>
            </w:r>
          </w:p>
        </w:tc>
        <w:tc>
          <w:tcPr>
            <w:tcW w:type="dxa" w:w="22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migrateCms()</w:t>
            </w:r>
          </w:p>
        </w:tc>
        <w:tc>
          <w:tcPr>
            <w:tcW w:type="dxa" w:w="384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 the admin banner-management screen for any second toggle or scheduling behavior driven by statusS.</w:t>
            </w:r>
          </w:p>
        </w:tc>
      </w:tr>
      <w:tr>
        <w:tc>
          <w:tcPr>
            <w:tcW w:type="dxa" w:w="4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Wholesale tier quantity ranges (e.g. “10-49”) are parsed with a regex heuristic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migrateWholesales()</w:t>
            </w:r>
          </w:p>
        </w:tc>
        <w:tc>
          <w:tcPr>
            <w:tcW w:type="dxa" w:w="38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Compare tier counts/ranges before and after migration on a sample of wholesale listings.</w:t>
            </w:r>
          </w:p>
        </w:tc>
      </w:tr>
      <w:tr>
        <w:tc>
          <w:tcPr>
            <w:tcW w:type="dxa" w:w="42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Three parallel legacy withdrawal tables are migrated separately, not deduplicated</w:t>
            </w:r>
          </w:p>
        </w:tc>
        <w:tc>
          <w:tcPr>
            <w:tcW w:type="dxa" w:w="22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migrateStandalonePayments()</w:t>
            </w:r>
          </w:p>
        </w:tc>
        <w:tc>
          <w:tcPr>
            <w:tcW w:type="dxa" w:w="384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Business decision required: which system (if any) should be treated as authoritative for a seller who used more than one.</w:t>
            </w:r>
          </w:p>
        </w:tc>
      </w:tr>
      <w:tr>
        <w:tc>
          <w:tcPr>
            <w:tcW w:type="dxa" w:w="4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Commission rate defaulted to 20% for every historical order (no rate-history table exists in the legacy schema)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migrateProductOrders() / migrateServiceOrders()</w:t>
            </w:r>
          </w:p>
        </w:tc>
        <w:tc>
          <w:tcPr>
            <w:tcW w:type="dxa" w:w="38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Cross-check against commissions.amount rows where present; treat migrated commission_amount as an estimate, not an audited figure.</w:t>
            </w:r>
          </w:p>
        </w:tc>
      </w:tr>
    </w:tbl>
    <w:p>
      <w:pPr>
        <w:pStyle w:val="Heading1"/>
        <w:spacing w:after="200" w:before="400"/>
      </w:pPr>
      <w:r>
        <w:t xml:space="preserve">8. Post-Migration Verification Checklist</w:t>
      </w: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Row-count reconciliation: for every legacy table, compare SELECT COUNT(*) against the corresponding new table(s), accounting for rows the migration deliberately skips (orphaned foreign keys, unmatched buyers on quote requests, reviews with no matching order).</w:t>
      </w: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Referential spot-check: pick 3–5 sellers with a non-trivial history and confirm their listings, orders, and payments all appear correctly under the new schema.</w:t>
      </w: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Login check: the password hash is copied verbatim from the old row, so a test account created before the migration should be able to log in unchanged against the new schema (via a throwaway script, not the live app, since the app itself hasn't been cut over).</w:t>
      </w: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Financial spot-check: for a handful of completed orders, confirm orders.total, commission_amount and the linked payments row match what the old sales/orders/payments rows implied.</w:t>
      </w: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Re-read Section 7 against the live database and resolve or accept each open item before treating the migrated data as final.</w:t>
      </w:r>
    </w:p>
    <w:p>
      <w:pPr>
        <w:pStyle w:val="Heading1"/>
        <w:spacing w:after="200" w:before="400"/>
      </w:pPr>
      <w:r>
        <w:t xml:space="preserve">9. Safety &amp; Rollback Notes</w:t>
      </w: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The migration is strictly read-only against the old/live database connection — nothing in this tooling can modify production data.</w:t>
      </w: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--fresh drops and recreates only the 32 tables in the new_mysql database. It never touches the old database, and it never touches anything outside the new_mysql connection.</w:t>
      </w: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The command is not idempotent: running it a second time without --fresh will insert duplicate rows, since it always creates new auto-increment IDs rather than upserting by a natural key. Always re-run with --fresh for a clean re-attempt.</w:t>
      </w:r>
    </w:p>
    <w:p>
      <w:pPr>
        <w:pStyle w:val="ListParagraph"/>
        <w:numPr>
          <w:ilvl w:val="0"/>
          <w:numId w:val="1"/>
        </w:numPr>
        <w:spacing w:after="80" w:line="264"/>
        <w:rPr>
          <w:rFonts w:ascii="Calibri" w:cs="Calibri" w:eastAsia="Calibri" w:hAnsi="Calibri"/>
          <w:sz w:val="22"/>
          <w:szCs w:val="22"/>
        </w:rPr>
      </w:pPr>
      <w:r>
        <w:t xml:space="preserve">Recommended flow: run once against a snapshot/copy of production well before go-live to work through Section 7's open items, then run again — fresh — against a snapshot taken immediately before the real cutover.</w:t>
      </w:r>
    </w:p>
    <w:p>
      <w:pPr>
        <w:pStyle w:val="Heading1"/>
        <w:spacing w:after="200" w:before="400"/>
      </w:pPr>
      <w:r>
        <w:t xml:space="preserve">Appendix A: File Manifest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1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database/new_schema/new_schema.sql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DDL for all 32 tables in the redesigned schema.</w:t>
            </w:r>
          </w:p>
        </w:tc>
      </w:tr>
      <w:tr>
        <w:tc>
          <w:tcPr>
            <w:tcW w:type="dxa" w:w="42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app/Console/Commands/MigrateOldToNewDb.php</w:t>
            </w:r>
          </w:p>
        </w:tc>
        <w:tc>
          <w:tcPr>
            <w:tcW w:type="dxa" w:w="516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php artisan db:migrate-to-new ETL command described throughout this guide.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config/database.php (edited)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Adds the new_mysql connection definition.</w:t>
            </w:r>
          </w:p>
        </w:tc>
      </w:tr>
      <w:tr>
        <w:tc>
          <w:tcPr>
            <w:tcW w:type="dxa" w:w="420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.env.example (edited)</w:t>
            </w:r>
          </w:p>
        </w:tc>
        <w:tc>
          <w:tcPr>
            <w:tcW w:type="dxa" w:w="5160"/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Documents the five NEW_DB_* variables this migration needs.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Egoola.com — Database Migration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DE6F0" w:sz="6" w:space="4"/>
      </w:pBdr>
      <w:spacing w:after="200" w:before="36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2026-09-09T17:31:16.678Z</dcterms:created>
  <dcterms:modified xsi:type="dcterms:W3CDTF">2026-09-09T17:31:16.678Z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