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состояние. 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50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0.017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Найдите стационарное состояние системы.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Стационарное состояние будет выражено двумя координатами, где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0.64</m:t>
            </m:r>
          </m:num>
          <m:den>
            <m:r>
              <m:t>0.017</m:t>
            </m:r>
          </m:den>
        </m:f>
        <m:r>
          <m:rPr>
            <m:sty m:val="p"/>
          </m:rPr>
          <m:t>=</m:t>
        </m:r>
        <m:r>
          <m:t>37.65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0.71</m:t>
            </m:r>
          </m:num>
          <m:den>
            <m:r>
              <m:t>0.046</m:t>
            </m:r>
          </m:den>
        </m:f>
        <m:r>
          <m:rPr>
            <m:sty m:val="p"/>
          </m:rPr>
          <m:t>=</m:t>
        </m:r>
        <m:r>
          <m:t>15.43</m:t>
        </m:r>
      </m:oMath>
    </w:p>
    <w:p>
      <w:pPr>
        <w:numPr>
          <w:ilvl w:val="0"/>
          <w:numId w:val="1002"/>
        </w:numPr>
      </w:pPr>
      <w:r>
        <w:t xml:space="preserve">Таким образом, получив стационарное состояние, пишем программу на Julia (Figure 1). Здесь u0 - начальные условия, t - время воспроизведения модели, функция foo моделирует систему дифференциальных уравнений, tmp - переменная для хранения ввычисленной функции, getX и getY - функции для вызова параметра из массива.</w:t>
      </w:r>
    </w:p>
    <w:p>
      <w:pPr>
        <w:pStyle w:val="CaptionedFigure"/>
      </w:pPr>
      <w:bookmarkStart w:id="23" w:name="fig:001"/>
      <w:r>
        <w:drawing>
          <wp:inline>
            <wp:extent cx="3265714" cy="2512678"/>
            <wp:effectExtent b="0" l="0" r="0" t="0"/>
            <wp:docPr descr="Figure 1: Программный код" title="" id="1" name="Picture"/>
            <a:graphic>
              <a:graphicData uri="http://schemas.openxmlformats.org/drawingml/2006/picture">
                <pic:pic>
                  <pic:nvPicPr>
                    <pic:cNvPr descr="image/rep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Программный код</w:t>
      </w:r>
    </w:p>
    <w:p>
      <w:pPr>
        <w:numPr>
          <w:ilvl w:val="0"/>
          <w:numId w:val="1003"/>
        </w:numPr>
        <w:pStyle w:val="Compact"/>
      </w:pPr>
      <w:r>
        <w:t xml:space="preserve">В результате запуска получим следующий график популяций хищников (голубой) и жертв (красный) (Figure 2).</w:t>
      </w:r>
    </w:p>
    <w:p>
      <w:pPr>
        <w:pStyle w:val="CaptionedFigure"/>
      </w:pPr>
      <w:bookmarkStart w:id="25" w:name="fig:002"/>
      <w:r>
        <w:drawing>
          <wp:inline>
            <wp:extent cx="3857384" cy="2727831"/>
            <wp:effectExtent b="0" l="0" r="0" t="0"/>
            <wp:docPr descr="Figure 2: Раздельные графики" title="" id="1" name="Picture"/>
            <a:graphic>
              <a:graphicData uri="http://schemas.openxmlformats.org/drawingml/2006/picture">
                <pic:pic>
                  <pic:nvPicPr>
                    <pic:cNvPr descr="image/rep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Раздельные графики</w:t>
      </w:r>
    </w:p>
    <w:p>
      <w:pPr>
        <w:numPr>
          <w:ilvl w:val="0"/>
          <w:numId w:val="1004"/>
        </w:numPr>
        <w:pStyle w:val="Compact"/>
      </w:pPr>
      <w:r>
        <w:t xml:space="preserve">Для получения совместного графика зависимости изменим вывод, заменив его на следующий вид (Figure 3).</w:t>
      </w:r>
    </w:p>
    <w:p>
      <w:pPr>
        <w:pStyle w:val="CaptionedFigure"/>
      </w:pPr>
      <w:bookmarkStart w:id="27" w:name="fig:003"/>
      <w:r>
        <w:drawing>
          <wp:inline>
            <wp:extent cx="1851852" cy="445673"/>
            <wp:effectExtent b="0" l="0" r="0" t="0"/>
            <wp:docPr descr="Figure 3: Изменение кода" title="" id="1" name="Picture"/>
            <a:graphic>
              <a:graphicData uri="http://schemas.openxmlformats.org/drawingml/2006/picture">
                <pic:pic>
                  <pic:nvPicPr>
                    <pic:cNvPr descr="image/rep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Изменение кода</w:t>
      </w:r>
    </w:p>
    <w:p>
      <w:pPr>
        <w:numPr>
          <w:ilvl w:val="0"/>
          <w:numId w:val="1005"/>
        </w:numPr>
        <w:pStyle w:val="Compact"/>
      </w:pPr>
      <w:r>
        <w:t xml:space="preserve">Таким образом получим новый график зависимости x от y (Figure 4).</w:t>
      </w:r>
    </w:p>
    <w:p>
      <w:pPr>
        <w:pStyle w:val="CaptionedFigure"/>
      </w:pPr>
      <w:bookmarkStart w:id="29" w:name="fig:004"/>
      <w:r>
        <w:drawing>
          <wp:inline>
            <wp:extent cx="5334000" cy="3718069"/>
            <wp:effectExtent b="0" l="0" r="0" t="0"/>
            <wp:docPr descr="Figure 4: Совместный график" title="" id="1" name="Picture"/>
            <a:graphic>
              <a:graphicData uri="http://schemas.openxmlformats.org/drawingml/2006/picture">
                <pic:pic>
                  <pic:nvPicPr>
                    <pic:cNvPr descr="image/rep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Совместный график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мы успешно промоделировали систему «хищник — жертва» и получили графики зависимости.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Абакумов Егор</dc:creator>
  <dc:language>ru-RU</dc:language>
  <cp:keywords/>
  <dcterms:created xsi:type="dcterms:W3CDTF">2021-03-13T18:20:51Z</dcterms:created>
  <dcterms:modified xsi:type="dcterms:W3CDTF">2021-03-13T18:20:51Z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