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50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0.66</m:t>
        </m:r>
        <m:r>
          <m:rPr>
            <m:sty m:val="p"/>
          </m:rPr>
          <m:t>+</m:t>
        </m:r>
        <m:r>
          <m:t>0.00006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0.000066</m:t>
        </m:r>
        <m:r>
          <m:rPr>
            <m:sty m:val="p"/>
          </m:rPr>
          <m:t>+</m:t>
        </m:r>
        <m:r>
          <m:t>0.6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0.66</m:t>
        </m:r>
        <m:r>
          <m:t>t</m:t>
        </m:r>
        <m:r>
          <m:rPr>
            <m:sty m:val="p"/>
          </m:rPr>
          <m:t>+</m:t>
        </m:r>
        <m:r>
          <m:t>0.6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2010</m:t>
        </m:r>
      </m:oMath>
      <w:r>
        <w:t xml:space="preserve">, в начальный момент о товаре знает 29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34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код для первого случая (иллюстр. 1). Здесь N - популяция, u0 - количество осведомленных о товаре людей в начальный момент времени, t - временной промежуток наблюдения, foo - функция решения, u - рабочая переменная, переменные temp и graph - временные переменные для хранения промежуточных результатов.</w:t>
      </w:r>
    </w:p>
    <w:p>
      <w:pPr>
        <w:pStyle w:val="CaptionedFigure"/>
      </w:pPr>
      <w:bookmarkStart w:id="23" w:name="fig:001"/>
      <w:r>
        <w:drawing>
          <wp:inline>
            <wp:extent cx="4706282" cy="3325090"/>
            <wp:effectExtent b="0" l="0" r="0" t="0"/>
            <wp:docPr descr="Figure 1: Код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report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33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В результате получим график для первого случая (иллюстр. 2).</w:t>
      </w:r>
    </w:p>
    <w:p>
      <w:pPr>
        <w:pStyle w:val="CaptionedFigure"/>
      </w:pPr>
      <w:bookmarkStart w:id="25" w:name="fig:002"/>
      <w:r>
        <w:drawing>
          <wp:inline>
            <wp:extent cx="5334000" cy="3549557"/>
            <wp:effectExtent b="0" l="0" r="0" t="0"/>
            <wp:docPr descr="Figure 2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report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для первого случая</w:t>
      </w:r>
    </w:p>
    <w:p>
      <w:pPr>
        <w:numPr>
          <w:ilvl w:val="0"/>
          <w:numId w:val="1004"/>
        </w:numPr>
        <w:pStyle w:val="Compact"/>
      </w:pPr>
      <w:r>
        <w:t xml:space="preserve">Далее поменяем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получив тем самым второе уравнение (иллюстр. 3).</w:t>
      </w:r>
    </w:p>
    <w:p>
      <w:pPr>
        <w:pStyle w:val="CaptionedFigure"/>
      </w:pPr>
      <w:bookmarkStart w:id="27" w:name="fig:003"/>
      <w:r>
        <w:drawing>
          <wp:inline>
            <wp:extent cx="4667916" cy="3376246"/>
            <wp:effectExtent b="0" l="0" r="0" t="0"/>
            <wp:docPr descr="Figure 3: Код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report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337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для второго случая</w:t>
      </w:r>
    </w:p>
    <w:p>
      <w:pPr>
        <w:numPr>
          <w:ilvl w:val="0"/>
          <w:numId w:val="1005"/>
        </w:numPr>
        <w:pStyle w:val="Compact"/>
      </w:pPr>
      <w:r>
        <w:t xml:space="preserve">В результате получим следующий график, по которому вычислим момент максимальной скорости распространения рекламы: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0.0035</m:t>
        </m:r>
        <m:r>
          <m:rPr>
            <m:sty m:val="p"/>
          </m:rPr>
          <m:t>;</m:t>
        </m:r>
        <m:r>
          <m:t> </m:t>
        </m:r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(иллюстр. 4).</w:t>
      </w:r>
    </w:p>
    <w:p>
      <w:pPr>
        <w:pStyle w:val="CaptionedFigure"/>
      </w:pPr>
      <w:bookmarkStart w:id="29" w:name="fig:004"/>
      <w:r>
        <w:drawing>
          <wp:inline>
            <wp:extent cx="5334000" cy="3496449"/>
            <wp:effectExtent b="0" l="0" r="0" t="0"/>
            <wp:docPr descr="Figure 4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report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для второго случая</w:t>
      </w:r>
    </w:p>
    <w:p>
      <w:pPr>
        <w:numPr>
          <w:ilvl w:val="0"/>
          <w:numId w:val="1006"/>
        </w:numPr>
        <w:pStyle w:val="Compact"/>
      </w:pPr>
      <w:r>
        <w:t xml:space="preserve">Теперь снова изменим ситуацию, добавив влияние внешних условий на коффициенты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для получения третьего уравнения (иллюстр. 5).</w:t>
      </w:r>
    </w:p>
    <w:p>
      <w:pPr>
        <w:pStyle w:val="CaptionedFigure"/>
      </w:pPr>
      <w:bookmarkStart w:id="31" w:name="fig:005"/>
      <w:r>
        <w:drawing>
          <wp:inline>
            <wp:extent cx="5000425" cy="3376246"/>
            <wp:effectExtent b="0" l="0" r="0" t="0"/>
            <wp:docPr descr="Figure 5: Код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report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25" cy="337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Код для третьего случая</w:t>
      </w:r>
    </w:p>
    <w:p>
      <w:pPr>
        <w:numPr>
          <w:ilvl w:val="0"/>
          <w:numId w:val="1007"/>
        </w:numPr>
        <w:pStyle w:val="Compact"/>
      </w:pPr>
      <w:r>
        <w:t xml:space="preserve">В результате получим следующий график (иллюстр. 6).</w:t>
      </w:r>
    </w:p>
    <w:p>
      <w:pPr>
        <w:pStyle w:val="CaptionedFigure"/>
      </w:pPr>
      <w:bookmarkStart w:id="33" w:name="fig:006"/>
      <w:r>
        <w:drawing>
          <wp:inline>
            <wp:extent cx="5334000" cy="3492499"/>
            <wp:effectExtent b="0" l="0" r="0" t="0"/>
            <wp:docPr descr="Figure 6: График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report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График для третьего случая</w:t>
      </w:r>
    </w:p>
    <w:bookmarkEnd w:id="34"/>
    <w:bookmarkStart w:id="3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Записать модель Мальтуса (дать пояснение, где используется данная модель).</w:t>
      </w:r>
    </w:p>
    <w:p>
      <w:pPr>
        <w:pStyle w:val="FirstParagraph"/>
      </w:pPr>
      <w:r>
        <w:t xml:space="preserve">Модель Мальтуса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численность,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темп прироста населения (т. н. «мальтузианский параметр»), а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время.</w:t>
      </w:r>
    </w:p>
    <w:p>
      <w:pPr>
        <w:numPr>
          <w:ilvl w:val="0"/>
          <w:numId w:val="1009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уравнение).</w:t>
      </w:r>
    </w:p>
    <w:p>
      <w:pPr>
        <w:pStyle w:val="FirstParagraph"/>
      </w:pPr>
      <w:r>
        <w:t xml:space="preserve">Уравнение логистической кривой 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численность популяции,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скорость роста популяции,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поддерживающая ёмкость среды (верхняя граница численности популяции).</w:t>
      </w:r>
    </w:p>
    <w:p>
      <w:pPr>
        <w:numPr>
          <w:ilvl w:val="0"/>
          <w:numId w:val="1010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рекламы?</w:t>
      </w:r>
    </w:p>
    <w:p>
      <w:pPr>
        <w:pStyle w:val="FirstParagraph"/>
      </w:pPr>
      <w:r>
        <w:t xml:space="preserve">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характеризует интенсивность рекламной компании.</w:t>
      </w:r>
    </w:p>
    <w:p>
      <w:pPr>
        <w:pStyle w:val="BodyText"/>
      </w:pPr>
      <w:r>
        <w:t xml:space="preserve">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характеризует эффект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?</w:t>
      </w:r>
    </w:p>
    <w:p>
      <w:pPr>
        <w:pStyle w:val="FirstParagraph"/>
      </w:pPr>
      <w:r>
        <w:t xml:space="preserve">Модель принимает вид модели Мальтуса.</w:t>
      </w:r>
    </w:p>
    <w:p>
      <w:pPr>
        <w:numPr>
          <w:ilvl w:val="0"/>
          <w:numId w:val="1012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?</w:t>
      </w:r>
    </w:p>
    <w:p>
      <w:pPr>
        <w:pStyle w:val="FirstParagraph"/>
      </w:pPr>
      <w:r>
        <w:t xml:space="preserve">Модель принимает вид логистической кривой.</w:t>
      </w:r>
    </w:p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мы успешно промоделировали распространение рекламы в трех различных ситуациях, построили графики для каждой и ответили на все контрольные вопросы.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Абакумов Егор Александрович</dc:creator>
  <dc:language>ru-RU</dc:language>
  <cp:keywords/>
  <dcterms:created xsi:type="dcterms:W3CDTF">2021-03-27T16:57:38Z</dcterms:created>
  <dcterms:modified xsi:type="dcterms:W3CDTF">2021-03-27T16:57:38Z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