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Абакумов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</w:t>
      </w:r>
    </w:p>
    <w:p>
      <w:pPr>
        <w:pStyle w:val="BodyText"/>
      </w:pPr>
      <w:r>
        <w:t xml:space="preserve">При пренебрежимо малых издержках уравнения динамики оборотных средств будут выглядеть следующим образом: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t>2</m:t>
                  </m:r>
                </m:sup>
              </m:s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den>
          </m:f>
        </m:oMath>
      </m:oMathPara>
    </w:p>
    <w:p>
      <w:pPr>
        <w:pStyle w:val="FirstParagraph"/>
      </w:pPr>
      <w:r>
        <w:t xml:space="preserve">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50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1, описываемого следующей системой уравнений: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2, описываемого следующей системой уравнений: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0.00031</m:t>
                    </m:r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6.4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4.1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40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9.5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Cs/>
          <w:i/>
          <w:bCs/>
          <w:b/>
        </w:rPr>
        <w:t xml:space="preserve">Замечание: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sub>
            </m:sSub>
          </m:e>
        </m:acc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rPr>
          <w:iCs/>
          <w:i/>
          <w:bCs/>
          <w:b/>
        </w:rPr>
        <w:t xml:space="preserve">Обозначения: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продукта;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цикла;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товара;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продукта;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времени;</w:t>
      </w:r>
    </w:p>
    <w:p>
      <w:pPr>
        <w:pStyle w:val="BodyText"/>
      </w:pPr>
      <m:oMath>
        <m:r>
          <m:t>d</m:t>
        </m:r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время.</w:t>
      </w:r>
    </w:p>
    <w:bookmarkEnd w:id="21"/>
    <w:bookmarkStart w:id="30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3"/>
        </w:numPr>
        <w:pStyle w:val="Compact"/>
      </w:pPr>
      <w:r>
        <w:t xml:space="preserve">Напишем код для первого случая (иллюстр. 1). Здесь M_01, M_02 - капитализация первой и второй фирмы, p_cr - критическая цена, N - кол-во потребителей, q - максимальная потребность одного человека в продукте в единицу времени, t1, t2 - время производственного цикла, p1, p2 - цена товара. Функция foo моделирует систему двух уравнений, u - переменная для M, syst и res - временные технические переменные.</w:t>
      </w:r>
    </w:p>
    <w:p>
      <w:pPr>
        <w:pStyle w:val="CaptionedFigure"/>
      </w:pPr>
      <w:bookmarkStart w:id="23" w:name="fig:001"/>
      <w:r>
        <w:drawing>
          <wp:inline>
            <wp:extent cx="5334000" cy="5496621"/>
            <wp:effectExtent b="0" l="0" r="0" t="0"/>
            <wp:docPr descr="Figure 1: Код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report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Код для первого случая</w:t>
      </w:r>
    </w:p>
    <w:p>
      <w:pPr>
        <w:numPr>
          <w:ilvl w:val="0"/>
          <w:numId w:val="1004"/>
        </w:numPr>
        <w:pStyle w:val="Compact"/>
      </w:pPr>
      <w:r>
        <w:t xml:space="preserve">В результате получим график для первого случая (иллюстр. 2).</w:t>
      </w:r>
    </w:p>
    <w:p>
      <w:pPr>
        <w:pStyle w:val="CaptionedFigure"/>
      </w:pPr>
      <w:bookmarkStart w:id="25" w:name="fig:002"/>
      <w:r>
        <w:drawing>
          <wp:inline>
            <wp:extent cx="5334000" cy="3499709"/>
            <wp:effectExtent b="0" l="0" r="0" t="0"/>
            <wp:docPr descr="Figure 2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report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для первого случая</w:t>
      </w:r>
    </w:p>
    <w:p>
      <w:pPr>
        <w:numPr>
          <w:ilvl w:val="0"/>
          <w:numId w:val="1005"/>
        </w:numPr>
        <w:pStyle w:val="Compact"/>
      </w:pPr>
      <w:r>
        <w:t xml:space="preserve">Далее изменим код под второй случай, добавив эффект действия конкурента на покупателей фирмы (иллюстр. 3).</w:t>
      </w:r>
    </w:p>
    <w:p>
      <w:pPr>
        <w:pStyle w:val="CaptionedFigure"/>
      </w:pPr>
      <w:bookmarkStart w:id="27" w:name="fig:003"/>
      <w:r>
        <w:drawing>
          <wp:inline>
            <wp:extent cx="5334000" cy="4621582"/>
            <wp:effectExtent b="0" l="0" r="0" t="0"/>
            <wp:docPr descr="Figure 3: Код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report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Код для второго случая</w:t>
      </w:r>
    </w:p>
    <w:p>
      <w:pPr>
        <w:numPr>
          <w:ilvl w:val="0"/>
          <w:numId w:val="1006"/>
        </w:numPr>
        <w:pStyle w:val="Compact"/>
      </w:pPr>
      <w:r>
        <w:t xml:space="preserve">В результате получим следующий график (иллюстр. 4).</w:t>
      </w:r>
    </w:p>
    <w:p>
      <w:pPr>
        <w:pStyle w:val="CaptionedFigure"/>
      </w:pPr>
      <w:bookmarkStart w:id="29" w:name="fig:004"/>
      <w:r>
        <w:drawing>
          <wp:inline>
            <wp:extent cx="5334000" cy="3549672"/>
            <wp:effectExtent b="0" l="0" r="0" t="0"/>
            <wp:docPr descr="Figure 4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report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График для второго случая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работы мы в различных условиях промоделировали конкуренцию двух фирм, получили и проанализировали графики их взаимодействия.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Абакумов Егор Александрович</dc:creator>
  <dc:language>ru-RU</dc:language>
  <cp:keywords/>
  <dcterms:created xsi:type="dcterms:W3CDTF">2021-04-02T15:17:19Z</dcterms:created>
  <dcterms:modified xsi:type="dcterms:W3CDTF">2021-04-02T15:17:19Z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конкуренции двух фирм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