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Абакумов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1" w:name="теоретическое-описание"/>
    <w:p>
      <w:pPr>
        <w:pStyle w:val="Heading1"/>
      </w:pPr>
      <w:r>
        <w:t xml:space="preserve">Теоретическое описание</w:t>
      </w:r>
    </w:p>
    <w:p>
      <w:pPr>
        <w:pStyle w:val="FirstParagraph"/>
      </w:pPr>
      <w:r>
        <w:t xml:space="preserve">SELinux представляет собой систему маркировки, каждый процесс имеет метку. Каждый файл, каталог или даже пользователь в системе имеет метку. Даже портам и устройствам и именам хостов в системе присвоены метки. SELinux определяет правила доступа процесса к объектам с определенными метками. Это и называется политикой. За соблюдением правил следит ядро. Иногда это еще называется обязательный контроль доступа (Mandatory Access Control, MAC). [1]</w:t>
      </w:r>
    </w:p>
    <w:p>
      <w:pPr>
        <w:pStyle w:val="BodyText"/>
      </w:pPr>
      <w:r>
        <w:t xml:space="preserve">В дистрибутиве Linux MAC реализована поверх того, что мы называем моделью избирательного управления доступом (Discretionary Access Control), сокращённо DAC.</w:t>
      </w:r>
    </w:p>
    <w:p>
      <w:pPr>
        <w:pStyle w:val="BodyText"/>
      </w:pPr>
      <w:r>
        <w:t xml:space="preserve">DAC – это управление доступом на основе списков управления доступом, где объектами доступа служат пользователь, группа и другие. Эти объекты имеют комбинацию полномочий чтение/запись/выполнение или r/w/x. SELinux позволяет ограничить доступ к объектам пользователя, который определён именно им так, что суперпользователь не может иметь суперпривилегии по отношению ко всем объектам нашего пользователя.</w:t>
      </w:r>
    </w:p>
    <w:p>
      <w:pPr>
        <w:pStyle w:val="BodyText"/>
      </w:pPr>
      <w:r>
        <w:t xml:space="preserve">Другими словами, SELinux позволяет произвести точную настройку требований контроля доступа, с помощью которой определяется степень влияния пользователя на описанный настройкой процесс. Это в полной мере может предотвратить получение злоумышленником доступа ко всем объектам и процессам системы. [2]</w:t>
      </w:r>
    </w:p>
    <w:p>
      <w:pPr>
        <w:pStyle w:val="BodyText"/>
      </w:pPr>
      <w:r>
        <w:t xml:space="preserve">Владелец файла не имеет полной свободы действий над атрибутами безопасности. Стандартные атрибуты контроля доступа, такие как группа и владелец ничего не значат для SELinux. Полностью все управляется метками. Значения атрибутов могут быть установлены и без прав root, но на это нужно иметь специальные полномочия SELinux.</w:t>
      </w:r>
    </w:p>
    <w:bookmarkEnd w:id="21"/>
    <w:bookmarkStart w:id="62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</w:pPr>
      <w:r>
        <w:t xml:space="preserve">Готовим стенд. Для этого устанавливаем Apache, selinux command line tools и seinfo, дальше настраиваем ServerName в конфигурации httpd, разрешаем фильтру подключаться к 81-му порту. Делаем заранее за кадром.</w:t>
      </w:r>
    </w:p>
    <w:p>
      <w:pPr>
        <w:numPr>
          <w:ilvl w:val="0"/>
          <w:numId w:val="1001"/>
        </w:numPr>
      </w:pPr>
      <w:r>
        <w:t xml:space="preserve">Входим в систему и проверяем режим работы selinux (иллюстр. 1). Проверяем, что демон httpd включен и работает (иллюстр. 2). Находим процессы демона в списке и выписавем контекст: system_u:system_r:httpd_t:s0 (иллюстр. 3). Просматриваем переключатели selinux (иллюстр. 4).</w:t>
      </w:r>
    </w:p>
    <w:p>
      <w:pPr>
        <w:pStyle w:val="CaptionedFigure"/>
      </w:pPr>
      <w:bookmarkStart w:id="23" w:name="fig:001"/>
      <w:r>
        <w:drawing>
          <wp:inline>
            <wp:extent cx="2896880" cy="2005532"/>
            <wp:effectExtent b="0" l="0" r="0" t="0"/>
            <wp:docPr descr="Figure 1: Режим работы selinux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20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Режим работы selinux</w:t>
      </w:r>
    </w:p>
    <w:p>
      <w:pPr>
        <w:pStyle w:val="CaptionedFigure"/>
      </w:pPr>
      <w:bookmarkStart w:id="25" w:name="fig:002"/>
      <w:r>
        <w:drawing>
          <wp:inline>
            <wp:extent cx="4671892" cy="3204242"/>
            <wp:effectExtent b="0" l="0" r="0" t="0"/>
            <wp:docPr descr="Figure 2: Проверка httpd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Проверка httpd</w:t>
      </w:r>
    </w:p>
    <w:p>
      <w:pPr>
        <w:pStyle w:val="CaptionedFigure"/>
      </w:pPr>
      <w:bookmarkStart w:id="27" w:name="fig:003"/>
      <w:r>
        <w:drawing>
          <wp:inline>
            <wp:extent cx="3619179" cy="937452"/>
            <wp:effectExtent b="0" l="0" r="0" t="0"/>
            <wp:docPr descr="Figure 3: Процессы демона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Процессы демона</w:t>
      </w:r>
    </w:p>
    <w:p>
      <w:pPr>
        <w:pStyle w:val="CaptionedFigure"/>
      </w:pPr>
      <w:bookmarkStart w:id="29" w:name="fig:004"/>
      <w:r>
        <w:drawing>
          <wp:inline>
            <wp:extent cx="3765176" cy="2358998"/>
            <wp:effectExtent b="0" l="0" r="0" t="0"/>
            <wp:docPr descr="Figure 4: Переключатели selinux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Переключатели selinux</w:t>
      </w:r>
    </w:p>
    <w:p>
      <w:pPr>
        <w:numPr>
          <w:ilvl w:val="0"/>
          <w:numId w:val="1002"/>
        </w:numPr>
        <w:pStyle w:val="Compact"/>
      </w:pPr>
      <w:r>
        <w:t xml:space="preserve">Утилитой seinfo выводим статистику по политике, множество пользователей, ролей и типов (иллюстр. 5, 6, 7, 8).</w:t>
      </w:r>
    </w:p>
    <w:p>
      <w:pPr>
        <w:pStyle w:val="CaptionedFigure"/>
      </w:pPr>
      <w:bookmarkStart w:id="31" w:name="fig:005"/>
      <w:r>
        <w:drawing>
          <wp:inline>
            <wp:extent cx="3396342" cy="2382050"/>
            <wp:effectExtent b="0" l="0" r="0" t="0"/>
            <wp:docPr descr="Figure 5: 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238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Статистика по политике</w:t>
      </w:r>
    </w:p>
    <w:p>
      <w:pPr>
        <w:pStyle w:val="CaptionedFigure"/>
      </w:pPr>
      <w:bookmarkStart w:id="33" w:name="fig:006"/>
      <w:r>
        <w:drawing>
          <wp:inline>
            <wp:extent cx="2005532" cy="1444598"/>
            <wp:effectExtent b="0" l="0" r="0" t="0"/>
            <wp:docPr descr="Figure 6: Множество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532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Множество пользователей</w:t>
      </w:r>
    </w:p>
    <w:p>
      <w:pPr>
        <w:pStyle w:val="CaptionedFigure"/>
      </w:pPr>
      <w:bookmarkStart w:id="35" w:name="fig:007"/>
      <w:r>
        <w:drawing>
          <wp:inline>
            <wp:extent cx="1936376" cy="2128477"/>
            <wp:effectExtent b="0" l="0" r="0" t="0"/>
            <wp:docPr descr="Figure 7: Множество ролей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376" cy="21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Множество ролей</w:t>
      </w:r>
    </w:p>
    <w:p>
      <w:pPr>
        <w:pStyle w:val="CaptionedFigure"/>
      </w:pPr>
      <w:bookmarkStart w:id="37" w:name="fig:008"/>
      <w:r>
        <w:drawing>
          <wp:inline>
            <wp:extent cx="2942984" cy="3050561"/>
            <wp:effectExtent b="0" l="0" r="0" t="0"/>
            <wp:docPr descr="Figure 8: Множество типов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305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Множество типов</w:t>
      </w:r>
    </w:p>
    <w:p>
      <w:pPr>
        <w:numPr>
          <w:ilvl w:val="0"/>
          <w:numId w:val="1003"/>
        </w:numPr>
        <w:pStyle w:val="Compact"/>
      </w:pPr>
      <w:r>
        <w:t xml:space="preserve">Проверяем тип файлов и поддиректорий, находящихся в директории /var/www. Так как в директории лежат только поддиректории, их типы: httpd_sys_script_exec_t и httpd_sys_content_t. Пытаемся определить тип файлов в /var/www/html. Так как там нет файлов, определять нечего. Определяем круг пользователей, которым разрешено создание файлов в директории /var/www/html. Так как пользователь для директории установлен в system_u, создавать файлы там может только суперпользователь (иллюстр. 9).</w:t>
      </w:r>
    </w:p>
    <w:p>
      <w:pPr>
        <w:pStyle w:val="CaptionedFigure"/>
      </w:pPr>
      <w:bookmarkStart w:id="39" w:name="fig:009"/>
      <w:r>
        <w:drawing>
          <wp:inline>
            <wp:extent cx="4395267" cy="1006608"/>
            <wp:effectExtent b="0" l="0" r="0" t="0"/>
            <wp:docPr descr="Figure 9: Проверка типов в /var/www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Проверка типов в /var/www</w:t>
      </w:r>
    </w:p>
    <w:p>
      <w:pPr>
        <w:numPr>
          <w:ilvl w:val="0"/>
          <w:numId w:val="1004"/>
        </w:numPr>
        <w:pStyle w:val="Compact"/>
      </w:pPr>
      <w:r>
        <w:t xml:space="preserve">Из-под рута создаем файл в /var/www/html/ (иллюстр. 10). Проверяем контекст: unconfined_u:object_r:httpd_sys_content_t:s0 (иллюстр. 11). Проверяем доступность файла в браузере (иллюстр. 12).</w:t>
      </w:r>
    </w:p>
    <w:p>
      <w:pPr>
        <w:pStyle w:val="CaptionedFigure"/>
      </w:pPr>
      <w:bookmarkStart w:id="41" w:name="fig:010"/>
      <w:r>
        <w:drawing>
          <wp:inline>
            <wp:extent cx="3242662" cy="1021976"/>
            <wp:effectExtent b="0" l="0" r="0" t="0"/>
            <wp:docPr descr="Figure 10: Файл /var/www/html/test.html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102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Файл /var/www/html/test.html</w:t>
      </w:r>
    </w:p>
    <w:p>
      <w:pPr>
        <w:pStyle w:val="CaptionedFigure"/>
      </w:pPr>
      <w:bookmarkStart w:id="43" w:name="fig:011"/>
      <w:r>
        <w:drawing>
          <wp:inline>
            <wp:extent cx="4618104" cy="368833"/>
            <wp:effectExtent b="0" l="0" r="0" t="0"/>
            <wp:docPr descr="Figure 11: 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04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Контекст файла test.html</w:t>
      </w:r>
    </w:p>
    <w:p>
      <w:pPr>
        <w:pStyle w:val="CaptionedFigure"/>
      </w:pPr>
      <w:bookmarkStart w:id="45" w:name="fig:012"/>
      <w:r>
        <w:drawing>
          <wp:inline>
            <wp:extent cx="3273398" cy="1483018"/>
            <wp:effectExtent b="0" l="0" r="0" t="0"/>
            <wp:docPr descr="Figure 12: Проверка файла в браузере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98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 файла в браузере</w:t>
      </w:r>
    </w:p>
    <w:p>
      <w:pPr>
        <w:numPr>
          <w:ilvl w:val="0"/>
          <w:numId w:val="1005"/>
        </w:numPr>
        <w:pStyle w:val="Compact"/>
      </w:pPr>
      <w:r>
        <w:t xml:space="preserve">Изучив контексты файлов для httpd_selinux приходим к выводу, что контекст был выбран верно. Теперь изменим контекст (иллюстр. 13). Теперь браузер не имеет доступа к файлу, выдается ошибка (иллюстр. 14). Файл не был отображен, так как процесс httpd не имеет доступа к выбранному нами типу файла. Просматриваем логи, где говорится, что selinux запретил доступ из-за разницы в контекстах (иллюстр. 15).</w:t>
      </w:r>
    </w:p>
    <w:p>
      <w:pPr>
        <w:pStyle w:val="CaptionedFigure"/>
      </w:pPr>
      <w:bookmarkStart w:id="47" w:name="fig:013"/>
      <w:r>
        <w:drawing>
          <wp:inline>
            <wp:extent cx="4741048" cy="822191"/>
            <wp:effectExtent b="0" l="0" r="0" t="0"/>
            <wp:docPr descr="Figure 13: 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report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Изменение контекста</w:t>
      </w:r>
    </w:p>
    <w:p>
      <w:pPr>
        <w:pStyle w:val="CaptionedFigure"/>
      </w:pPr>
      <w:bookmarkStart w:id="49" w:name="fig:014"/>
      <w:r>
        <w:drawing>
          <wp:inline>
            <wp:extent cx="3404026" cy="1813431"/>
            <wp:effectExtent b="0" l="0" r="0" t="0"/>
            <wp:docPr descr="Figure 14: Ошибка доступа в браузере" title="" id="1" name="Picture"/>
            <a:graphic>
              <a:graphicData uri="http://schemas.openxmlformats.org/drawingml/2006/picture">
                <pic:pic>
                  <pic:nvPicPr>
                    <pic:cNvPr descr="image/report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181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Ошибка доступа в браузере</w:t>
      </w:r>
    </w:p>
    <w:p>
      <w:pPr>
        <w:pStyle w:val="CaptionedFigure"/>
      </w:pPr>
      <w:bookmarkStart w:id="51" w:name="fig:015"/>
      <w:r>
        <w:drawing>
          <wp:inline>
            <wp:extent cx="5334000" cy="1762738"/>
            <wp:effectExtent b="0" l="0" r="0" t="0"/>
            <wp:docPr descr="Figure 15: Логи" title="" id="1" name="Picture"/>
            <a:graphic>
              <a:graphicData uri="http://schemas.openxmlformats.org/drawingml/2006/picture">
                <pic:pic>
                  <pic:nvPicPr>
                    <pic:cNvPr descr="image/report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Логи</w:t>
      </w:r>
    </w:p>
    <w:p>
      <w:pPr>
        <w:numPr>
          <w:ilvl w:val="0"/>
          <w:numId w:val="1006"/>
        </w:numPr>
        <w:pStyle w:val="Compact"/>
      </w:pPr>
      <w:r>
        <w:t xml:space="preserve">Меняем порт прослушивания httpd с 80 на 81 (иллюстр. 16). Пытаемся перезапустить демона, он перезапускается, так как 81 порт прописан по дефолту в политике. В логах никаких ошибок не видим (иллюстр. 17). Выполняем добавление порта, на что selinux отказывается это делать, посколько порт уже прописан, проверяем это в списке (иллюстр. 18). Собственно, поэтому демон и перезапустился, хотя по задумке лабораторной работы не должен был, так как процесс попытался бы получить доступ к запрещенному порту, на что selinux не дал бы разрешения, а httpd, не стерпев такого обращения с собой, отказался бы запускаться, и только прописывание порта в selinux позволило бы выполнить перезапуск. Короче говоря, возвращаем верный контекст на файл test.html (иллюстр. 19) и проверяем его через 81-ый порт браузером (иллюстр. 20). Удаляем привязку порта, selinux отвечает, что порт прописан в политике, так что удаляться он не будет. Ну, мы его туда и не добавляли, так что кто мы такие, чтобы удалять его оттуда. Удаляем файл /var/www/html/test.html.</w:t>
      </w:r>
    </w:p>
    <w:p>
      <w:pPr>
        <w:pStyle w:val="CaptionedFigure"/>
      </w:pPr>
      <w:bookmarkStart w:id="53" w:name="fig:016"/>
      <w:r>
        <w:drawing>
          <wp:inline>
            <wp:extent cx="3972645" cy="2051636"/>
            <wp:effectExtent b="0" l="0" r="0" t="0"/>
            <wp:docPr descr="Figure 16: Замена порта прослушивания" title="" id="1" name="Picture"/>
            <a:graphic>
              <a:graphicData uri="http://schemas.openxmlformats.org/drawingml/2006/picture">
                <pic:pic>
                  <pic:nvPicPr>
                    <pic:cNvPr descr="image/report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Замена порта прослушивания</w:t>
      </w:r>
    </w:p>
    <w:p>
      <w:pPr>
        <w:pStyle w:val="CaptionedFigure"/>
      </w:pPr>
      <w:bookmarkStart w:id="55" w:name="fig:017"/>
      <w:r>
        <w:drawing>
          <wp:inline>
            <wp:extent cx="4203166" cy="845243"/>
            <wp:effectExtent b="0" l="0" r="0" t="0"/>
            <wp:docPr descr="Figure 17: Отсутствие ошибок в логах" title="" id="1" name="Picture"/>
            <a:graphic>
              <a:graphicData uri="http://schemas.openxmlformats.org/drawingml/2006/picture">
                <pic:pic>
                  <pic:nvPicPr>
                    <pic:cNvPr descr="image/report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Отсутствие ошибок в логах</w:t>
      </w:r>
    </w:p>
    <w:p>
      <w:pPr>
        <w:pStyle w:val="CaptionedFigure"/>
      </w:pPr>
      <w:bookmarkStart w:id="57" w:name="fig:018"/>
      <w:r>
        <w:drawing>
          <wp:inline>
            <wp:extent cx="4741048" cy="1275549"/>
            <wp:effectExtent b="0" l="0" r="0" t="0"/>
            <wp:docPr descr="Figure 18: Список портов httpd в selinux" title="" id="1" name="Picture"/>
            <a:graphic>
              <a:graphicData uri="http://schemas.openxmlformats.org/drawingml/2006/picture">
                <pic:pic>
                  <pic:nvPicPr>
                    <pic:cNvPr descr="image/report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12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Список портов httpd в selinux</w:t>
      </w:r>
    </w:p>
    <w:p>
      <w:pPr>
        <w:pStyle w:val="CaptionedFigure"/>
      </w:pPr>
      <w:bookmarkStart w:id="59" w:name="fig:019"/>
      <w:r>
        <w:drawing>
          <wp:inline>
            <wp:extent cx="4710312" cy="591670"/>
            <wp:effectExtent b="0" l="0" r="0" t="0"/>
            <wp:docPr descr="Figure 19: Возвращение верного контекста на файл test.html" title="" id="1" name="Picture"/>
            <a:graphic>
              <a:graphicData uri="http://schemas.openxmlformats.org/drawingml/2006/picture">
                <pic:pic>
                  <pic:nvPicPr>
                    <pic:cNvPr descr="image/report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Возвращение верного контекста на файл test.html</w:t>
      </w:r>
    </w:p>
    <w:p>
      <w:pPr>
        <w:pStyle w:val="CaptionedFigure"/>
      </w:pPr>
      <w:bookmarkStart w:id="61" w:name="fig:020"/>
      <w:r>
        <w:drawing>
          <wp:inline>
            <wp:extent cx="3404026" cy="1436914"/>
            <wp:effectExtent b="0" l="0" r="0" t="0"/>
            <wp:docPr descr="Figure 20: Проверка доступа к файлу браузером через 81-ый порт" title="" id="1" name="Picture"/>
            <a:graphic>
              <a:graphicData uri="http://schemas.openxmlformats.org/drawingml/2006/picture">
                <pic:pic>
                  <pic:nvPicPr>
                    <pic:cNvPr descr="image/report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Проверка доступа к файлу браузером через 81-ый порт</w:t>
      </w:r>
    </w:p>
    <w:bookmarkEnd w:id="62"/>
    <w:bookmarkStart w:id="6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мы успешно развили навыки администрирования ОС Linux, получили первое практическое знакомство с технологией SELinux и проверили работу SELinx на практике совместно с веб-сервером Apache.</w:t>
      </w:r>
    </w:p>
    <w:bookmarkEnd w:id="63"/>
    <w:bookmarkStart w:id="6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</w:pPr>
      <w:r>
        <w:t xml:space="preserve">НАСТРОЙКА SELINUX. // Losst. 2021. URL: https://losst.ru/nastrojka-selinux (дата обращения 23.11.2021).</w:t>
      </w:r>
    </w:p>
    <w:p>
      <w:pPr>
        <w:numPr>
          <w:ilvl w:val="0"/>
          <w:numId w:val="1007"/>
        </w:numPr>
      </w:pPr>
      <w:r>
        <w:t xml:space="preserve">Введение в SELinux под CentOS Stream // RUVDS. 2021. URL: https://ruvds.com/ru/helpcenter/vvedenie-v-selinux-pod-centos-stream/ (дата обращения 23.11.2021).</w:t>
      </w:r>
    </w:p>
    <w:p>
      <w:pPr>
        <w:numPr>
          <w:ilvl w:val="0"/>
          <w:numId w:val="1007"/>
        </w:numPr>
      </w:pPr>
      <w:r>
        <w:t xml:space="preserve">seinfo (1) // OpenNET. 2021. URL: https://www.opennet.ru/man.shtml?topic=seinfo&amp;category=1&amp;russian=2 (дата обращения 23.11.2021).</w:t>
      </w:r>
    </w:p>
    <w:p>
      <w:pPr>
        <w:numPr>
          <w:ilvl w:val="0"/>
          <w:numId w:val="1007"/>
        </w:numPr>
      </w:pPr>
      <w:r>
        <w:t xml:space="preserve">Д. С. Кулябов, А. В. Королькова, М. Н. Геворкян. Информационная безопасность компьютерных сетей: лабораторные работы. // Факультет физико-математических и естественных наук. M.: РУДН, 2015. 64 с..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Абакумов Егор Александрович</dc:creator>
  <dc:language>ru-RU</dc:language>
  <cp:keywords/>
  <dcterms:created xsi:type="dcterms:W3CDTF">2021-11-23T20:31:13Z</dcterms:created>
  <dcterms:modified xsi:type="dcterms:W3CDTF">2021-11-23T20:31:13Z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Мандатное разграничение прав в Linux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