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</w:t>
      </w:r>
      <w:r>
        <w:t xml:space="preserve"> </w:t>
      </w:r>
      <w:r>
        <w:t xml:space="preserve">называемая схема однократного использования, изобретение, которое чаще всего</w:t>
      </w:r>
      <w:r>
        <w:t xml:space="preserve"> </w:t>
      </w:r>
      <w:r>
        <w:t xml:space="preserve">связывают с именем Г.С. Вернама.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в математике обозначается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программой.</w:t>
      </w:r>
    </w:p>
    <w:p>
      <w:pPr>
        <w:pStyle w:val="BodyText"/>
      </w:pPr>
      <w:r>
        <w:t xml:space="preserve">К. Шенноном было доказано, что если ключ является фрагментом истинно случайной двоичной последовательности с равномерным законом распределением, причём его длина равна длине исходного сообщения, и используется этот ключ только один раз, после чего уничтожается, то такой шифр является абсолютно стойким, даже если криптоаналитик располагает неограниченным ресурсом времени и неограниченным набором вычислительных ресурсов. Действительно, противнику известно только зашифрованное сообщение , при этом все различные ключевые последовательности возможны и равновероятны, а значит, возможны и любые сообщения , т.е. криптоалгоритм не даёт никакой информации об открытом тексте [2].</w:t>
      </w:r>
    </w:p>
    <w:bookmarkEnd w:id="21"/>
    <w:bookmarkStart w:id="30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первую очередь оговоримся, что использовать будем среду Jupyter Notebook и язык программирования Питон. Для выполнения задания нам необходимо будет подключить библиотеки random и string. Пишем блок необходимых функций, которые и реализуют всю логику программы: функция generate_new_key принимает на вход длину требуемого ключа и возвращает случайную строку символов, что и будет являться ключом; функция hexadecimal_form возвращает шестнадцатиричный вид подаваемой на вход строки; функции single_gamming, unencrypt и compute_initial_key принимают на вход две строки и выполняют их посимвольное сложение по модулю 2 (иллюстр. 1).</w:t>
      </w:r>
    </w:p>
    <w:p>
      <w:pPr>
        <w:pStyle w:val="CaptionedFigure"/>
      </w:pPr>
      <w:bookmarkStart w:id="23" w:name="fig:001"/>
      <w:r>
        <w:drawing>
          <wp:inline>
            <wp:extent cx="5334000" cy="2347695"/>
            <wp:effectExtent b="0" l="0" r="0" t="0"/>
            <wp:docPr descr="Figure 1: Блок функций для расчетов" title="" id="1" name="Picture"/>
            <a:graphic>
              <a:graphicData uri="http://schemas.openxmlformats.org/drawingml/2006/picture">
                <pic:pic>
                  <pic:nvPicPr>
                    <pic:cNvPr descr="image/report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Блок функций для расчетов</w:t>
      </w:r>
    </w:p>
    <w:p>
      <w:pPr>
        <w:numPr>
          <w:ilvl w:val="0"/>
          <w:numId w:val="1002"/>
        </w:numPr>
        <w:pStyle w:val="Compact"/>
      </w:pPr>
      <w:r>
        <w:t xml:space="preserve">Далее пишем блок расчетов всех необходимых параметров: initial_string получает с клавиатуры входную строку (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в нашем случае); key - начальный используемый ключ; encrypted_string - первоначальный шифротекст; new_key - случайный ключ, используемый для получения варианта шифротекста; unencrypted_new_key - вариант текста, получаемый с помощью случайного ключа и изначального шифротекста; initial_key - начальный ключ, получаемый гаммированием открытого начального текста имеющимся шифротекстом; unencrypted_initial_key - расшифрованный вычисленным исходным ключом шифротекст (иллюстр. 2).</w:t>
      </w:r>
    </w:p>
    <w:p>
      <w:pPr>
        <w:pStyle w:val="CaptionedFigure"/>
      </w:pPr>
      <w:bookmarkStart w:id="25" w:name="fig:002"/>
      <w:r>
        <w:drawing>
          <wp:inline>
            <wp:extent cx="5334000" cy="2930992"/>
            <wp:effectExtent b="0" l="0" r="0" t="0"/>
            <wp:docPr descr="Figure 2: Блок расчетов переменных" title="" id="1" name="Picture"/>
            <a:graphic>
              <a:graphicData uri="http://schemas.openxmlformats.org/drawingml/2006/picture">
                <pic:pic>
                  <pic:nvPicPr>
                    <pic:cNvPr descr="image/report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Блок расчетов переменных</w:t>
      </w:r>
    </w:p>
    <w:p>
      <w:pPr>
        <w:numPr>
          <w:ilvl w:val="0"/>
          <w:numId w:val="1003"/>
        </w:numPr>
        <w:pStyle w:val="Compact"/>
      </w:pPr>
      <w:r>
        <w:t xml:space="preserve">Пишем блок вывода данных для первого задания. Выводим на экран шифротекст, полученный однократным гаммированием исходной строки сгенерированным ключом (иллюстр. 3)</w:t>
      </w:r>
    </w:p>
    <w:p>
      <w:pPr>
        <w:pStyle w:val="CaptionedFigure"/>
      </w:pPr>
      <w:bookmarkStart w:id="27" w:name="fig:003"/>
      <w:r>
        <w:drawing>
          <wp:inline>
            <wp:extent cx="5334000" cy="1316476"/>
            <wp:effectExtent b="0" l="0" r="0" t="0"/>
            <wp:docPr descr="Figure 3: Задание №1" title="" id="1" name="Picture"/>
            <a:graphic>
              <a:graphicData uri="http://schemas.openxmlformats.org/drawingml/2006/picture">
                <pic:pic>
                  <pic:nvPicPr>
                    <pic:cNvPr descr="image/report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Задание №1</w:t>
      </w:r>
    </w:p>
    <w:p>
      <w:pPr>
        <w:numPr>
          <w:ilvl w:val="0"/>
          <w:numId w:val="1004"/>
        </w:numPr>
        <w:pStyle w:val="Compact"/>
      </w:pPr>
      <w:r>
        <w:t xml:space="preserve">Пишем блок вывода данных для второго задания. Выводим на экран случайный сгенерированный ключ, позволяющий вычислить один из вариантов расфишровки шифротекста, непосредственно сам вариант расшифровки, далее из шифротекста и исходной строки вычисляем и выводим исходный ключ и с его помощью выводим расшифрованный шифротекст (иллюстр. 4)</w:t>
      </w:r>
    </w:p>
    <w:p>
      <w:pPr>
        <w:pStyle w:val="CaptionedFigure"/>
      </w:pPr>
      <w:bookmarkStart w:id="29" w:name="fig:004"/>
      <w:r>
        <w:drawing>
          <wp:inline>
            <wp:extent cx="5334000" cy="2106985"/>
            <wp:effectExtent b="0" l="0" r="0" t="0"/>
            <wp:docPr descr="Figure 4: Задание №2" title="" id="1" name="Picture"/>
            <a:graphic>
              <a:graphicData uri="http://schemas.openxmlformats.org/drawingml/2006/picture">
                <pic:pic>
                  <pic:nvPicPr>
                    <pic:cNvPr descr="image/report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Задание №2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на практике освоили применение режима однократного гаммирования.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Поясните смысл однократного гаммирования.</w:t>
      </w:r>
    </w:p>
    <w:p>
      <w:pPr>
        <w:numPr>
          <w:ilvl w:val="0"/>
          <w:numId w:val="1006"/>
        </w:numPr>
        <w:pStyle w:val="Compact"/>
      </w:pP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Однократное гаммирование – это когда каждый символ попарно с символом ключа складываются по модулю 2 (XOR) (обозначается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8"/>
        </w:numPr>
        <w:pStyle w:val="Compact"/>
      </w:pPr>
      <w:r>
        <w:t xml:space="preserve">Ключ должен быть того же размера, что и сообщение, нельзя кодировать два сообщения одним ключом</w:t>
      </w:r>
    </w:p>
    <w:p>
      <w:pPr>
        <w:numPr>
          <w:ilvl w:val="0"/>
          <w:numId w:val="1009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10"/>
        </w:numPr>
        <w:pStyle w:val="Compact"/>
      </w:pPr>
      <w:r>
        <w:t xml:space="preserve">Невскрываемость при соблюдении требований и простота реализации.</w:t>
      </w:r>
    </w:p>
    <w:p>
      <w:pPr>
        <w:numPr>
          <w:ilvl w:val="0"/>
          <w:numId w:val="1011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numPr>
          <w:ilvl w:val="0"/>
          <w:numId w:val="1012"/>
        </w:numPr>
        <w:pStyle w:val="Compact"/>
      </w:pPr>
      <w:r>
        <w:t xml:space="preserve">Потому что каждый символ сообщения должен быть закодирован попарным сложением по модулю два.</w:t>
      </w:r>
    </w:p>
    <w:p>
      <w:pPr>
        <w:numPr>
          <w:ilvl w:val="0"/>
          <w:numId w:val="1013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numPr>
          <w:ilvl w:val="0"/>
          <w:numId w:val="1014"/>
        </w:numPr>
        <w:pStyle w:val="Compact"/>
      </w:pPr>
      <w:r>
        <w:t xml:space="preserve">XOR или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. Сложение по модулю 2. Особенность в симметричности - операция при повторном применении дает исходный результат.</w:t>
      </w:r>
    </w:p>
    <w:p>
      <w:pPr>
        <w:numPr>
          <w:ilvl w:val="0"/>
          <w:numId w:val="1015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numPr>
          <w:ilvl w:val="0"/>
          <w:numId w:val="1016"/>
        </w:numPr>
        <w:pStyle w:val="Compact"/>
      </w:pPr>
      <w:r>
        <w:t xml:space="preserve">Сложить по модулю 2 каждый символ открытого текста и ключа.</w:t>
      </w:r>
    </w:p>
    <w:p>
      <w:pPr>
        <w:numPr>
          <w:ilvl w:val="0"/>
          <w:numId w:val="1017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numPr>
          <w:ilvl w:val="0"/>
          <w:numId w:val="1018"/>
        </w:numPr>
        <w:pStyle w:val="Compact"/>
      </w:pP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19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numPr>
          <w:ilvl w:val="0"/>
          <w:numId w:val="1020"/>
        </w:numPr>
        <w:pStyle w:val="Compact"/>
      </w:pPr>
      <w:r>
        <w:t xml:space="preserve">случайность ключа;</w:t>
      </w:r>
    </w:p>
    <w:p>
      <w:pPr>
        <w:numPr>
          <w:ilvl w:val="0"/>
          <w:numId w:val="1020"/>
        </w:numPr>
        <w:pStyle w:val="Compact"/>
      </w:pPr>
      <w:r>
        <w:t xml:space="preserve">совпадение длины ключа и сообщения;</w:t>
      </w:r>
    </w:p>
    <w:p>
      <w:pPr>
        <w:numPr>
          <w:ilvl w:val="0"/>
          <w:numId w:val="1020"/>
        </w:numPr>
        <w:pStyle w:val="Compact"/>
      </w:pPr>
      <w:r>
        <w:t xml:space="preserve">однократное использование ключа.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1"/>
        </w:numPr>
      </w:pPr>
      <w:r>
        <w:t xml:space="preserve">Шнайер, Б. Прикладная криптография. Протоколы, алгоритмы, исходные тексты на языке Си / Б. Шнайер. – М. : Триумф, 2002. – 816 с.</w:t>
      </w:r>
    </w:p>
    <w:p>
      <w:pPr>
        <w:numPr>
          <w:ilvl w:val="0"/>
          <w:numId w:val="1021"/>
        </w:numPr>
      </w:pPr>
      <w:r>
        <w:t xml:space="preserve">Харин, Ю.С. Математические и компьютерные основы криптологии : учебное пособие / Ю.С. Харин, В.И. Берник, Г.В. Матвеев, С.В. Агиевич. – Мн. : Новое знание, 2003. – 382 с.</w:t>
      </w:r>
    </w:p>
    <w:p>
      <w:pPr>
        <w:numPr>
          <w:ilvl w:val="0"/>
          <w:numId w:val="1021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Абакумов Егор Александрович</dc:creator>
  <dc:language>ru-RU</dc:language>
  <cp:keywords/>
  <dcterms:created xsi:type="dcterms:W3CDTF">2021-12-05T21:20:27Z</dcterms:created>
  <dcterms:modified xsi:type="dcterms:W3CDTF">2021-12-05T21:20:27Z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Однократное гаммирование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