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№1</w:t>
      </w:r>
      <w:r>
        <w:rPr>
          <w:rFonts w:ascii="Arial" w:hAnsi="Arial" w:cs="Arial"/>
          <w:sz w:val="22"/>
          <w:szCs w:val="22"/>
        </w:rPr>
      </w:r>
    </w:p>
    <w:p>
      <w:pPr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 Заказу </w:t>
      </w:r>
      <w:r>
        <w:rPr>
          <w:rFonts w:ascii="Arial" w:hAnsi="Arial" w:cs="Arial"/>
          <w:spacing w:val="-2"/>
          <w:sz w:val="22"/>
          <w:szCs w:val="22"/>
        </w:rPr>
        <w:t xml:space="preserve">№ ________________ от _________ 20</w:t>
      </w:r>
      <w:r>
        <w:rPr>
          <w:rFonts w:ascii="Arial" w:hAnsi="Arial" w:cs="Arial"/>
          <w:spacing w:val="-2"/>
          <w:sz w:val="22"/>
          <w:szCs w:val="22"/>
        </w:rPr>
        <w:t xml:space="preserve">__</w:t>
      </w:r>
      <w:r>
        <w:rPr>
          <w:rFonts w:ascii="Arial" w:hAnsi="Arial" w:cs="Arial"/>
          <w:spacing w:val="-2"/>
          <w:sz w:val="22"/>
          <w:szCs w:val="22"/>
        </w:rPr>
        <w:t xml:space="preserve"> г.</w:t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ind w:firstLine="709"/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eastAsia="Arial Unicode MS" w:cs="Arial"/>
          <w:sz w:val="22"/>
          <w:szCs w:val="22"/>
        </w:rPr>
        <w:t xml:space="preserve">к</w:t>
      </w:r>
      <w:r>
        <w:rPr>
          <w:rFonts w:ascii="Arial" w:hAnsi="Arial" w:cs="Arial"/>
          <w:sz w:val="22"/>
          <w:szCs w:val="22"/>
        </w:rPr>
        <w:t xml:space="preserve"> Договору № </w:t>
      </w:r>
      <w:r>
        <w:rPr>
          <w:rFonts w:ascii="Arial" w:hAnsi="Arial" w:cs="Arial"/>
          <w:spacing w:val="-2"/>
          <w:sz w:val="22"/>
          <w:szCs w:val="22"/>
        </w:rPr>
        <w:t xml:space="preserve">_________________</w:t>
      </w:r>
      <w:r>
        <w:rPr>
          <w:rFonts w:ascii="Arial" w:hAnsi="Arial" w:cs="Arial"/>
          <w:spacing w:val="-2"/>
          <w:sz w:val="22"/>
          <w:szCs w:val="22"/>
        </w:rPr>
        <w:t xml:space="preserve"> от </w:t>
      </w:r>
      <w:r>
        <w:rPr>
          <w:rFonts w:ascii="Arial" w:hAnsi="Arial" w:cs="Arial"/>
          <w:spacing w:val="-2"/>
          <w:sz w:val="22"/>
          <w:szCs w:val="22"/>
        </w:rPr>
        <w:t xml:space="preserve">________2</w:t>
      </w:r>
      <w:r>
        <w:rPr>
          <w:rFonts w:ascii="Arial" w:hAnsi="Arial" w:cs="Arial"/>
          <w:spacing w:val="-2"/>
          <w:sz w:val="22"/>
          <w:szCs w:val="22"/>
        </w:rPr>
        <w:t xml:space="preserve">0</w:t>
      </w:r>
      <w:r>
        <w:rPr>
          <w:rFonts w:ascii="Arial" w:hAnsi="Arial" w:cs="Arial"/>
          <w:spacing w:val="-2"/>
          <w:sz w:val="22"/>
          <w:szCs w:val="22"/>
        </w:rPr>
        <w:t xml:space="preserve">__</w:t>
      </w:r>
      <w:r>
        <w:rPr>
          <w:rFonts w:ascii="Arial" w:hAnsi="Arial" w:cs="Arial"/>
          <w:spacing w:val="-2"/>
          <w:sz w:val="22"/>
          <w:szCs w:val="22"/>
        </w:rPr>
        <w:t xml:space="preserve"> г.</w:t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jc w:val="center"/>
        <w:rPr>
          <w:rFonts w:ascii="Arial" w:hAnsi="Arial" w:cs="Arial"/>
          <w:b/>
          <w:bCs/>
        </w:rPr>
        <w:outlineLvl w:val="5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jc w:val="center"/>
        <w:keepNext/>
        <w:rPr>
          <w:rFonts w:asciiTheme="minorHAnsi" w:hAnsiTheme="minorHAnsi" w:cstheme="minorHAnsi"/>
          <w:b/>
        </w:rPr>
        <w:outlineLvl w:val="2"/>
      </w:pPr>
      <w:r>
        <w:rPr>
          <w:rFonts w:asciiTheme="minorHAnsi" w:hAnsiTheme="minorHAnsi" w:cstheme="minorHAnsi"/>
          <w:b/>
        </w:rPr>
        <w:t xml:space="preserve">Техническое задание</w:t>
      </w:r>
      <w:r>
        <w:rPr>
          <w:rFonts w:asciiTheme="minorHAnsi" w:hAnsiTheme="minorHAnsi" w:cstheme="minorHAnsi"/>
          <w:b/>
        </w:rPr>
      </w:r>
    </w:p>
    <w:p>
      <w:pPr>
        <w:jc w:val="center"/>
        <w:keepNext/>
        <w:rPr>
          <w:rFonts w:asciiTheme="minorHAnsi" w:hAnsiTheme="minorHAnsi" w:cstheme="minorHAnsi"/>
        </w:rPr>
        <w:outlineLvl w:val="2"/>
      </w:pPr>
      <w:r>
        <w:rPr>
          <w:rFonts w:asciiTheme="minorHAnsi" w:hAnsiTheme="minorHAnsi" w:cstheme="minorHAnsi"/>
        </w:rPr>
        <w:t xml:space="preserve">на выполнение работ по</w:t>
      </w:r>
      <w:r>
        <w:rPr>
          <w:rFonts w:asciiTheme="minorHAnsi" w:hAnsiTheme="minorHAnsi" w:cstheme="minorHAnsi"/>
        </w:rPr>
        <w:t xml:space="preserve"> теме</w:t>
      </w:r>
      <w:r>
        <w:rPr>
          <w:rFonts w:asciiTheme="minorHAnsi" w:hAnsiTheme="minorHAnsi" w:cstheme="minorHAnsi"/>
        </w:rPr>
        <w:t xml:space="preserve">:</w:t>
      </w:r>
      <w:r>
        <w:rPr>
          <w:rFonts w:asciiTheme="minorHAnsi" w:hAnsiTheme="minorHAnsi" w:cstheme="minorHAnsi"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cs="Arial"/>
          <w:b/>
        </w:rPr>
        <w:t xml:space="preserve"> </w:t>
      </w:r>
      <w:r>
        <w:rPr>
          <w:rFonts w:asciiTheme="majorHAnsi" w:hAnsiTheme="majorHAnsi" w:cstheme="majorHAnsi"/>
          <w:b/>
          <w:highlight w:val="yellow"/>
        </w:rPr>
        <w:t xml:space="preserve">Дополнение к технологическому проекту разработки </w:t>
      </w:r>
      <w:r>
        <w:rPr>
          <w:rFonts w:asciiTheme="majorHAnsi" w:hAnsiTheme="majorHAnsi" w:cstheme="majorHAnsi"/>
          <w:b/>
          <w:highlight w:val="yellow"/>
        </w:rPr>
        <w:t xml:space="preserve">____________</w:t>
      </w:r>
      <w:r>
        <w:rPr>
          <w:rFonts w:asciiTheme="majorHAnsi" w:hAnsiTheme="majorHAnsi" w:cstheme="majorHAnsi"/>
          <w:b/>
          <w:highlight w:val="yellow"/>
        </w:rPr>
        <w:t xml:space="preserve"> месторождения</w:t>
      </w:r>
      <w:r>
        <w:rPr>
          <w:rFonts w:ascii="Arial" w:hAnsi="Arial" w:cs="Arial"/>
          <w:b/>
        </w:rPr>
      </w:r>
    </w:p>
    <w:p>
      <w:pPr>
        <w:jc w:val="center"/>
        <w:rPr>
          <w:rFonts w:ascii="Arial" w:hAnsi="Arial" w:eastAsia="Calibri" w:cs="Arial"/>
        </w:rPr>
      </w:pPr>
      <w:r>
        <w:rPr>
          <w:rFonts w:ascii="Arial" w:hAnsi="Arial" w:eastAsia="Calibri" w:cs="Arial"/>
        </w:rPr>
        <w:t xml:space="preserve">(продукт: </w:t>
      </w:r>
      <w:r>
        <w:rPr>
          <w:rFonts w:ascii="Arial" w:hAnsi="Arial" w:cs="Arial"/>
        </w:rPr>
        <w:t xml:space="preserve">Проектно-технический документ)</w:t>
      </w:r>
      <w:r>
        <w:rPr>
          <w:rFonts w:ascii="Arial" w:hAnsi="Arial" w:eastAsia="Calibri" w:cs="Arial"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jc w:val="center"/>
        <w:keepNext/>
        <w:rPr>
          <w:rFonts w:ascii="Arial" w:hAnsi="Arial" w:cs="Arial"/>
          <w:b/>
          <w:bCs/>
        </w:rPr>
        <w:outlineLvl w:val="2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709"/>
        <w:contextualSpacing w:val="0"/>
        <w:ind w:left="0" w:firstLine="567"/>
        <w:jc w:val="both"/>
        <w:tabs>
          <w:tab w:val="left" w:pos="854" w:leader="none"/>
        </w:tabs>
        <w:rPr>
          <w14:ligatures w14:val="none"/>
        </w:rPr>
        <w:outlineLvl w:val="2"/>
      </w:pPr>
      <w:r>
        <w:rPr>
          <w:rFonts w:ascii="Arial" w:hAnsi="Arial" w:cs="Arial"/>
          <w:b/>
          <w:bCs/>
        </w:rPr>
        <w:t xml:space="preserve">Заказчик: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{Полное-Наименование-ДО-Заказчика}</w:t>
      </w:r>
      <w:r/>
      <w:r>
        <w:rPr>
          <w14:ligatures w14:val="none"/>
        </w:rPr>
      </w:r>
    </w:p>
    <w:p>
      <w:pPr>
        <w:contextualSpacing/>
        <w:ind w:left="720" w:firstLine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09"/>
        <w:numPr>
          <w:ilvl w:val="0"/>
          <w:numId w:val="2"/>
        </w:numPr>
        <w:contextualSpacing w:val="0"/>
        <w:ind w:left="0" w:firstLine="567"/>
        <w:jc w:val="both"/>
        <w:tabs>
          <w:tab w:val="left" w:pos="854" w:leader="none"/>
        </w:tabs>
        <w:rPr>
          <w:rFonts w:ascii="Arial" w:hAnsi="Arial"/>
          <w:b/>
        </w:rPr>
      </w:pPr>
      <w:r/>
      <w:bookmarkStart w:id="0" w:name="_Toc274219824"/>
      <w:r/>
      <w:bookmarkStart w:id="1" w:name="_Toc275361027"/>
      <w:r>
        <w:rPr>
          <w:rFonts w:ascii="Arial" w:hAnsi="Arial"/>
          <w:b/>
        </w:rPr>
        <w:t xml:space="preserve">Цели и задачи </w:t>
      </w:r>
      <w:bookmarkEnd w:id="0"/>
      <w:r/>
      <w:bookmarkEnd w:id="1"/>
      <w:r>
        <w:rPr>
          <w:rFonts w:ascii="Arial" w:hAnsi="Arial"/>
          <w:b/>
        </w:rPr>
        <w:t xml:space="preserve">работ </w:t>
      </w:r>
      <w:r>
        <w:rPr>
          <w:rFonts w:ascii="Arial" w:hAnsi="Arial"/>
          <w:b/>
        </w:rPr>
      </w:r>
    </w:p>
    <w:p>
      <w:pPr>
        <w:pStyle w:val="709"/>
        <w:contextualSpacing w:val="0"/>
        <w:ind w:left="0" w:firstLine="567"/>
        <w:jc w:val="both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Подготовка и согласование нового технического проекта разработки месторождения УВС</w:t>
      </w:r>
      <w:r>
        <w:rPr>
          <w:rFonts w:ascii="Arial" w:hAnsi="Arial"/>
        </w:rPr>
        <w:t xml:space="preserve">, подготовка</w:t>
      </w:r>
      <w:r>
        <w:rPr>
          <w:rFonts w:ascii="Arial" w:hAnsi="Arial"/>
        </w:rPr>
        <w:t xml:space="preserve"> проектных решений по разработке месторождения в следующих направлениях:</w:t>
      </w:r>
      <w:r>
        <w:rPr>
          <w:rFonts w:ascii="Arial" w:hAnsi="Arial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выделение эксплуатационных объектов;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</w:t>
      </w:r>
      <w:r>
        <w:rPr>
          <w:sz w:val="24"/>
          <w:szCs w:val="24"/>
        </w:rPr>
        <w:t xml:space="preserve">актуализация</w:t>
      </w:r>
      <w:r>
        <w:rPr>
          <w:sz w:val="24"/>
          <w:szCs w:val="24"/>
        </w:rPr>
        <w:t xml:space="preserve"> трёхмерной гидродинамической модели месторождения на основе актуальной трёхмерной геологической модели;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обоснование систем</w:t>
      </w:r>
      <w:r>
        <w:rPr>
          <w:sz w:val="24"/>
          <w:szCs w:val="24"/>
        </w:rPr>
        <w:t xml:space="preserve">ы</w:t>
      </w:r>
      <w:r>
        <w:rPr>
          <w:sz w:val="24"/>
          <w:szCs w:val="24"/>
        </w:rPr>
        <w:t xml:space="preserve"> разработки и технологий воздействия на пласт;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применение методов интенсификации добычи УВС;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прогноз технологических показателей разработки;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обоснование коэффициентов извлечения УВС по пластам;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технико-экономическое обоснование рекомендуемого варианта разработки;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подготовка программы исследовательских работ, мониторинга и контроля разработки и доразведки месторождения.</w:t>
      </w:r>
      <w:r>
        <w:rPr>
          <w:sz w:val="24"/>
          <w:szCs w:val="24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Принятые сокращения</w:t>
      </w:r>
      <w:r>
        <w:rPr>
          <w:rFonts w:ascii="Arial" w:hAnsi="Arial" w:cs="Arial"/>
          <w:b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ГДМ – гидродинамическая модель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ГИС – геофизические исследования скважин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ГКЗ </w:t>
      </w:r>
      <w:r>
        <w:rPr>
          <w:rFonts w:ascii="Arial" w:hAnsi="Arial" w:cs="Arial"/>
        </w:rPr>
        <w:t xml:space="preserve">(ФБУ «ГКЗ») – Федеральное бюджетное учреждение «Г</w:t>
      </w:r>
      <w:r>
        <w:rPr>
          <w:rFonts w:ascii="Arial" w:hAnsi="Arial" w:cs="Arial"/>
        </w:rPr>
        <w:t xml:space="preserve">осударственная комиссия по запасам</w:t>
      </w:r>
      <w:r>
        <w:rPr>
          <w:rFonts w:ascii="Arial" w:hAnsi="Arial" w:cs="Arial"/>
        </w:rPr>
        <w:t xml:space="preserve"> полезных ископаемых»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ГМ – геологическая модель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ГТС – геолого-технический совет</w:t>
      </w:r>
      <w:r>
        <w:rPr>
          <w:rFonts w:ascii="Arial" w:hAnsi="Arial" w:cs="Arial"/>
        </w:rPr>
      </w:r>
    </w:p>
    <w:p>
      <w:pPr>
        <w:pStyle w:val="709"/>
        <w:contextualSpacing w:val="0"/>
        <w:ind w:left="567"/>
        <w:rPr>
          <w:rFonts w:ascii="Arial" w:hAnsi="Arial"/>
        </w:rPr>
      </w:pPr>
      <w:r>
        <w:rPr>
          <w:rFonts w:ascii="Arial" w:hAnsi="Arial"/>
        </w:rPr>
        <w:t xml:space="preserve">КП – календарный план</w:t>
      </w:r>
      <w:r>
        <w:rPr>
          <w:rFonts w:ascii="Arial" w:hAnsi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НТС – научно-технический совет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ОПЗ </w:t>
      </w:r>
      <w:r>
        <w:rPr>
          <w:rFonts w:ascii="Arial" w:hAnsi="Arial" w:cs="Arial"/>
        </w:rPr>
        <w:t xml:space="preserve">– оперативный подсчёт</w:t>
      </w:r>
      <w:r>
        <w:rPr>
          <w:rFonts w:ascii="Arial" w:hAnsi="Arial" w:cs="Arial"/>
        </w:rPr>
        <w:t xml:space="preserve"> запасов УВС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ПЗ – подсчёт (пересчёт) запасов УВС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ПТД – </w:t>
      </w:r>
      <w:r>
        <w:rPr>
          <w:rFonts w:ascii="Arial" w:hAnsi="Arial" w:cs="Arial"/>
        </w:rPr>
        <w:t xml:space="preserve">проектная техническая документация</w:t>
      </w:r>
      <w:r>
        <w:rPr>
          <w:rFonts w:ascii="Arial" w:hAnsi="Arial" w:cs="Arial"/>
        </w:rPr>
      </w:r>
    </w:p>
    <w:p>
      <w:pPr>
        <w:pStyle w:val="709"/>
        <w:contextualSpacing w:val="0"/>
        <w:ind w:left="567"/>
        <w:rPr>
          <w:rFonts w:ascii="Arial" w:hAnsi="Arial"/>
        </w:rPr>
      </w:pPr>
      <w:r>
        <w:rPr>
          <w:rFonts w:ascii="Arial" w:hAnsi="Arial"/>
        </w:rPr>
        <w:t xml:space="preserve">ТЗ – техническое задание</w:t>
      </w:r>
      <w:r>
        <w:rPr>
          <w:rFonts w:ascii="Arial" w:hAnsi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УВС – углеводородное сырьё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ЦКР (ЦКР Роснедр по УВС) – Центральная комиссия по согласованию технических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проектов разработки месторождений УВС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ЭО – эксплуатационный объект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Периметр выполнения работ</w:t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Работы выполняются</w:t>
      </w:r>
      <w:r>
        <w:rPr>
          <w:rFonts w:ascii="Arial" w:hAnsi="Arial" w:cs="Arial"/>
        </w:rPr>
        <w:t xml:space="preserve"> по </w:t>
      </w:r>
      <w:r>
        <w:rPr>
          <w:rFonts w:asciiTheme="majorHAnsi" w:hAnsiTheme="majorHAnsi" w:cstheme="majorHAnsi"/>
          <w:b/>
          <w:highlight w:val="yellow"/>
        </w:rPr>
        <w:t xml:space="preserve">____________</w:t>
      </w:r>
      <w:r>
        <w:rPr>
          <w:rFonts w:asciiTheme="majorHAnsi" w:hAnsiTheme="majorHAnsi" w:cstheme="majorHAnsi"/>
          <w:b/>
        </w:rPr>
        <w:t xml:space="preserve"> </w:t>
      </w:r>
      <w:r>
        <w:rPr>
          <w:rFonts w:ascii="Arial" w:hAnsi="Arial" w:cs="Arial"/>
        </w:rPr>
        <w:t xml:space="preserve">месторождению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Сроки в</w:t>
      </w:r>
      <w:r>
        <w:rPr>
          <w:rFonts w:ascii="Arial" w:hAnsi="Arial" w:cs="Arial"/>
          <w:b/>
        </w:rPr>
        <w:t xml:space="preserve">ыполнения работ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Начало: </w:t>
      </w:r>
      <w:r>
        <w:rPr>
          <w:rFonts w:asciiTheme="minorHAnsi" w:hAnsiTheme="minorHAnsi" w:cstheme="minorHAnsi"/>
        </w:rPr>
        <w:t xml:space="preserve">с момента подписания Заказа</w:t>
      </w:r>
      <w:r>
        <w:rPr>
          <w:rFonts w:asciiTheme="minorHAnsi" w:hAnsiTheme="minorHAnsi" w:cstheme="minorHAnsi"/>
        </w:rPr>
        <w:t xml:space="preserve">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Окончание: __.</w:t>
      </w:r>
      <w:r>
        <w:rPr>
          <w:rFonts w:ascii="Arial" w:hAnsi="Arial" w:cs="Arial"/>
        </w:rPr>
        <w:t xml:space="preserve"> ____.</w:t>
      </w:r>
      <w:r>
        <w:rPr>
          <w:rFonts w:ascii="Arial" w:hAnsi="Arial" w:cs="Arial"/>
        </w:rPr>
        <w:t xml:space="preserve"> 20__</w:t>
      </w:r>
      <w:r>
        <w:rPr>
          <w:rFonts w:ascii="Arial" w:hAnsi="Arial" w:cs="Arial"/>
        </w:rPr>
        <w:t xml:space="preserve"> г.</w:t>
      </w:r>
      <w:r>
        <w:rPr>
          <w:rFonts w:ascii="Arial" w:hAnsi="Arial" w:cs="Arial"/>
        </w:rPr>
      </w:r>
    </w:p>
    <w:p>
      <w:pPr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Сроки выполнения этапов определяются </w:t>
      </w:r>
      <w:r>
        <w:rPr>
          <w:rFonts w:ascii="Arial" w:hAnsi="Arial" w:cs="Arial"/>
        </w:rPr>
        <w:t xml:space="preserve">К</w:t>
      </w:r>
      <w:r>
        <w:rPr>
          <w:rFonts w:ascii="Arial" w:hAnsi="Arial" w:cs="Arial"/>
        </w:rPr>
        <w:t xml:space="preserve">алендарным планом (Приложение №2).</w:t>
      </w:r>
      <w:r>
        <w:rPr>
          <w:rFonts w:ascii="Arial" w:hAnsi="Arial" w:cs="Arial"/>
        </w:rPr>
      </w:r>
    </w:p>
    <w:p>
      <w:pPr>
        <w:ind w:firstLine="360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Содержание работ</w:t>
      </w:r>
      <w:r>
        <w:rPr>
          <w:rFonts w:ascii="Arial" w:hAnsi="Arial" w:cs="Arial"/>
          <w:b/>
        </w:rPr>
        <w:t xml:space="preserve">, особенн</w:t>
      </w:r>
      <w:r>
        <w:rPr>
          <w:rFonts w:ascii="Arial" w:hAnsi="Arial" w:cs="Arial"/>
          <w:b/>
        </w:rPr>
        <w:t xml:space="preserve">ости их выполнения и результаты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widowControl w:val="off"/>
        <w:tabs>
          <w:tab w:val="left" w:pos="85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Перечень работ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требования к </w:t>
      </w:r>
      <w:r>
        <w:rPr>
          <w:rFonts w:ascii="Arial" w:hAnsi="Arial" w:cs="Arial"/>
        </w:rPr>
        <w:t xml:space="preserve">ним</w:t>
      </w:r>
      <w:r>
        <w:rPr>
          <w:rFonts w:ascii="Arial" w:hAnsi="Arial" w:cs="Arial"/>
        </w:rPr>
        <w:t xml:space="preserve"> и детализаци</w:t>
      </w:r>
      <w:r>
        <w:rPr>
          <w:rFonts w:ascii="Arial" w:hAnsi="Arial" w:cs="Arial"/>
        </w:rPr>
        <w:t xml:space="preserve">я</w:t>
      </w:r>
      <w:r>
        <w:rPr>
          <w:rFonts w:ascii="Arial" w:hAnsi="Arial" w:cs="Arial"/>
        </w:rPr>
        <w:t xml:space="preserve"> ожидаемых результатов представлен</w:t>
      </w:r>
      <w:r>
        <w:rPr>
          <w:rFonts w:ascii="Arial" w:hAnsi="Arial" w:cs="Arial"/>
        </w:rPr>
        <w:t xml:space="preserve">ы</w:t>
      </w:r>
      <w:r>
        <w:rPr>
          <w:rFonts w:ascii="Arial" w:hAnsi="Arial" w:cs="Arial"/>
        </w:rPr>
        <w:t xml:space="preserve"> в таблиц</w:t>
      </w:r>
      <w:r>
        <w:rPr>
          <w:rFonts w:ascii="Arial" w:hAnsi="Arial" w:cs="Arial"/>
        </w:rPr>
        <w:t xml:space="preserve">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jc w:val="right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 xml:space="preserve">Таблица </w:t>
      </w:r>
      <w:r>
        <w:rPr>
          <w:rFonts w:cs="Arial" w:asciiTheme="minorHAnsi" w:hAnsiTheme="minorHAnsi"/>
          <w:sz w:val="22"/>
          <w:szCs w:val="22"/>
        </w:rPr>
        <w:t xml:space="preserve">2</w:t>
      </w:r>
      <w:r>
        <w:rPr>
          <w:rFonts w:cs="Arial" w:asciiTheme="minorHAnsi" w:hAnsiTheme="minorHAnsi"/>
          <w:sz w:val="22"/>
          <w:szCs w:val="22"/>
        </w:rPr>
      </w:r>
    </w:p>
    <w:tbl>
      <w:tblPr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768"/>
        <w:gridCol w:w="1634"/>
        <w:gridCol w:w="1926"/>
        <w:gridCol w:w="4595"/>
      </w:tblGrid>
      <w:tr>
        <w:tblPrEx/>
        <w:trPr>
          <w:trHeight w:val="79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Наименование работы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34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Требования к выполнению работ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Ожидаемые результаты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Описание работы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 *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1.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Предпроектная подготовка.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Построение ГМ. Подготовка разделов ПТД по геологии. Оценка параметров разработки,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проведение установочного совещания.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hanging="11"/>
              <w:spacing w:after="120"/>
              <w:widowControl w:val="off"/>
              <w:tabs>
                <w:tab w:val="left" w:pos="152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разделы ПТД 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табличными и графическими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приложениями;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hanging="11"/>
              <w:spacing w:after="120"/>
              <w:widowControl w:val="off"/>
              <w:tabs>
                <w:tab w:val="left" w:pos="152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</w:t>
            </w:r>
            <w:r>
              <w:rPr>
                <w:rFonts w:ascii="Arial" w:hAnsi="Arial" w:eastAsia="Calibri" w:cs="Arial"/>
                <w:sz w:val="20"/>
                <w:szCs w:val="20"/>
                <w:lang w:val="en-US" w:eastAsia="en-US"/>
              </w:rPr>
              <w:t xml:space="preserve">D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ГМ.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передаютс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1) Сбор, анализ и оценка качества исходной геолого-промысловой информации. Оценка качества первичного геофизического материала.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2) Обоснование необходимости и цели составления ПТД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, решаемых задач проектным документом.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3) Оценка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выполнения решений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действующего проектного документа, оценка параметров разработки эксплуатационных объектов.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4)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Проведение установочного совещания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по выполнению работ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 р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езультат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проведенных геологоразведочных работ, оценка изученности месторождения.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сследовани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керна, ГИС и ГДИС, оценка представительности исследований и распределени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площади месторождения.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6) 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писание геологического строения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месторождения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 гидрогеологических и инженерно-геологических условий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физико-гидродинамическ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характеристик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продуктивных пластов; описание свойств и состава пластовых флюидов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сведени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о запасах УВС.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7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Создание и верификация базы данных для трехмерного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моделирования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Актуализация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3</w:t>
            </w:r>
            <w:r>
              <w:rPr>
                <w:rFonts w:ascii="Arial" w:hAnsi="Arial" w:eastAsia="Calibri" w:cs="Arial"/>
                <w:sz w:val="20"/>
                <w:szCs w:val="20"/>
                <w:lang w:val="en-US" w:eastAsia="en-US"/>
              </w:rPr>
              <w:t xml:space="preserve">D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ГМ резервуаров продуктивных пластов на основании данных интерпретации ГИС и результатам интерпретации 3D сейсморазведки.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8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Подготовка разделов ПТД: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Введение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Общие сведения о месторождении и лицензионном участке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Геолого-физическая характеристика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месторождения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Цифровая геологическая модель месторождения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983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 разработки месторождения, выделение ЭО. Построение ГДМ ЭО. Проектирование разработки месторождения. Подготовка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разделов ПТД.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contextualSpacing w:val="0"/>
              <w:ind w:left="0" w:firstLine="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разделы ПТД с табличными и графическими приложениями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contextualSpacing w:val="0"/>
              <w:ind w:left="10" w:hanging="1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ГДМ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ЭО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с результатами расчё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та базового варианта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разработки.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 передаются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Анализ выполнения условий пользования недрами и проектного документа; описание этапов и целей проектирования разработки месторождения.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Характеристика текущего состояния разработки, анализ выполнения решений предыдущего проектного документа. Сравнение основных проектных и фактических показателей разработки.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Выявление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причин расхождени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проектных и фактических показателей разработки. Сведения об использовании ПНГ. Анализ выработки запасов.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Актуализация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ГДМ по эксплуатационным объектам, адаптация ГДМ на основе анализа истории разработки. Расчёт базового варианта разработки.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4) Выработка концепции по формированию вариантов разработки месторождения.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5) Выделение эксплуатационных объектов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построение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карт суммарных нефте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-,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газонасыщенных толщин, карт совмещенных контуров по ЭО.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боснование выбора системы разработки, схемы размещения и плотности сетки скважин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ЭО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Подготовка разделов ПТД: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 выполнения условий пользования недрами и проектного документа, состояния разработки месторождения и эксплуатационных объектов, выработки запасов и сопоставление фактических и проектных показателей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Выделение эксплуатационных объектов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вариантов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агентов воздействия на пласты и способов поддержания пластового давления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</w:t>
            </w:r>
            <w:r>
              <w:rPr>
                <w:rFonts w:eastAsia="Calibri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выбора системы размещения и плотности сеток добывающих и нагнетательных скважин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Цифровые фильтрационные модели месторождения.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Расчёт технологических показателей разработки на ГДМ. Техн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ко-экономическая оценка вариантов разработки. П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одготовка смежных разделов ПТД.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highlight w:val="lightGray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highlight w:val="lightGray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firstLine="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разделы ПТД с табличными и графическими приложениями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firstLine="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расчёты на ГДМ технологических показателей разработки.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передаютс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Расчёт т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ехнологически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х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показател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вариантам разработки эксплуатационных объектов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применения м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етод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интенсификации добычи УВС и повышения коэффициента извлечения УВС.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3) Экономическая оценка вариантов разработки, расчёт технико-экономических показателей.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4) Характеристика извлекаемых запасов и коэффициентов извлечения УВС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Уточнение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вариантов разработки ЭО по результатам расчёта технологических показателей на прогноз и экономической оценки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6) Подготовка разделов ПТД: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Технологические показатели вариантов разработки и выбор рекомендуемого варианта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Методы интенсификации добычи УВС и повышения коэффициента извлечения УВС пластов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Экономическая оценка вариантов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Характеристика извлекаемых запасов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и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коэффициентов извлечения УВС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7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Подготовка смежных разделов ПТД: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Конструкции скважин, производство буровых работ, методы вскрытия пластов и освоения скважин, исследования скважин в процессе бурения, консервация и ликвидация скважин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Техника и технология добычи УВС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Контроль процесса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Доразведка и научно-исследовательские работы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Мероприятия по рациональному использованию и охране недр, обеспечению требований в области охраны окружающей среды и обеспечения экологической безопасности при пользовании недрами.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395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4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Оформление ПТД. Согласование ПТД на НТС Заказчика. Госэкспертиза ПТД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З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ащита работы в госорганах. Подготовка итогового отчёта и передача Заказчику.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ind w:left="10" w:firstLine="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Итоговый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ПТД;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ind w:left="10" w:firstLine="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Презентация;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ind w:left="10" w:firstLine="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ротокол ЦКР с приложениями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ind w:left="1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ind w:left="1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передаютс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Оформление ПТД в соответствии с «Правилами подготовки технических проектов разработки месторождений углеводородного сырья» (утв. приказом Минприроды России от 20.09.2019 г. № 639).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Экспертиза ПТД на соответствие всем требованиям ГКЗ, законодательства РФ, требованиям Заказчика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Согласование ПТД на НТС Заказчика.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4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Передача ПТД на государственную экспертизу.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Сопровождение ПТ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Д при прохождении госэкспертизы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 подготовка проекта протокола ЦКР.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Выполнение рекомендаций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результатам госэкспертизы, корректировка материалов ПТД, протокола – по согласованию с Заказчиком.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Участие в рассмотрении ПТД на заседании ЦКР Роснедр по УВС.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7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Выверка материалов ПТД на соответствие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утв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ерждённому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(согласованному)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протоколу ЦКР Роснедр по УВС.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8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Подготовка итоговой версии ПТД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 итогам рассмотрения в госорганах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ередача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Заказчику.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</w:tbl>
    <w:p>
      <w:pPr>
        <w:ind w:firstLine="567"/>
        <w:jc w:val="both"/>
        <w:tabs>
          <w:tab w:val="left" w:pos="854" w:leader="none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Примечание:</w:t>
      </w:r>
      <w:r>
        <w:rPr>
          <w:rFonts w:ascii="Arial" w:hAnsi="Arial" w:cs="Arial"/>
          <w:color w:val="0070c0"/>
        </w:rPr>
        <w:t xml:space="preserve"> </w:t>
      </w:r>
      <w:r>
        <w:rPr>
          <w:rFonts w:ascii="Arial" w:hAnsi="Arial" w:cs="Arial"/>
          <w:color w:val="0070c0"/>
        </w:rPr>
        <w:t xml:space="preserve">* В </w:t>
      </w:r>
      <w:r>
        <w:rPr>
          <w:rFonts w:ascii="Arial" w:hAnsi="Arial" w:cs="Arial"/>
          <w:color w:val="0070c0"/>
        </w:rPr>
        <w:t xml:space="preserve">случае привлечения Субисполнителей, Исполнитель осуществляет сопровождение выполнения работ на всех этапах, оказывает методическую поддержку, подготовку исходных данных, выработку и согласование решений по проекту в интересах Заказчика (недропользователя).</w:t>
      </w:r>
      <w:r>
        <w:rPr>
          <w:rFonts w:ascii="Arial" w:hAnsi="Arial" w:cs="Arial"/>
          <w:color w:val="0070c0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Услови</w:t>
      </w:r>
      <w:r>
        <w:rPr>
          <w:rFonts w:ascii="Arial" w:hAnsi="Arial" w:cs="Arial"/>
          <w:b/>
        </w:rPr>
        <w:t xml:space="preserve">я</w:t>
      </w:r>
      <w:r>
        <w:rPr>
          <w:rFonts w:ascii="Arial" w:hAnsi="Arial" w:cs="Arial"/>
          <w:b/>
        </w:rPr>
        <w:t xml:space="preserve"> вып</w:t>
      </w:r>
      <w:r>
        <w:rPr>
          <w:rFonts w:ascii="Arial" w:hAnsi="Arial" w:cs="Arial"/>
          <w:b/>
        </w:rPr>
        <w:t xml:space="preserve">олнения работы</w:t>
      </w:r>
      <w:r>
        <w:rPr>
          <w:rFonts w:ascii="Arial" w:hAnsi="Arial" w:cs="Arial"/>
          <w:b/>
        </w:rPr>
      </w:r>
    </w:p>
    <w:p>
      <w:pPr>
        <w:ind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Материалы ПТД должны отвечать требованиям Российского законодательства и находиться в соответствии со следующими документами:</w:t>
      </w:r>
      <w:r>
        <w:rPr>
          <w:rFonts w:asciiTheme="minorHAnsi" w:hAnsiTheme="minorHAnsi" w:cstheme="minorHAnsi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Закон РФ от 21.02.1992 № 2395-1 «О недрах»;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«Классификация запасов и ресурсов нефти и горючих газов», утверждена Приказом № 477 от 01.11.2013 г. Министерства природных ресурсов и экологии РФ;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«Регламент по созданию постоянно действующих геолого-технологических </w:t>
      </w:r>
      <w:r>
        <w:rPr>
          <w:rFonts w:ascii="Arial" w:hAnsi="Arial"/>
        </w:rPr>
        <w:t xml:space="preserve">моделей нефтяных и газонефтяных месторождений» (РД 153-39.0-047-00);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Временный регламент оценки качества и приемки т</w:t>
      </w:r>
      <w:r>
        <w:rPr>
          <w:rFonts w:ascii="Arial" w:hAnsi="Arial"/>
        </w:rPr>
        <w:t xml:space="preserve">рехмерных цифровых геолого-гидродинамических моделей, представляемых пользователями недр в составе технических проектов разработки месторождений углеводородного сырья на рассмотрение ЦКР Роснедр по УВС». Протокол ЦКР Роснедр по УВС от 19.04.2012 г. № 5370;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«Методические указания по геолого-промысловому анализу разработки нефтяных и газонефтяных месторождений» (РД 153-39.0-110-01);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«Методические указания по комплексированию и этапности выполнения геофизических, гидродинамических и физико-химических исследований при разработке нефтяных и газонефтяных месторождений» (утв. Протоколом НТС ФАН Роснедра от 05.10.2023 N 03-17/8-пр);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подготовки, согласования и утверждения технических проектов разработки месторождений полезных ископаемых, технических проектов строительства и эксплуатации подземных сооружен</w:t>
      </w:r>
      <w:r>
        <w:rPr>
          <w:rFonts w:ascii="Arial" w:hAnsi="Arial"/>
        </w:rPr>
        <w:t xml:space="preserve">ий, технических проектов ликвидации и консервации горных выработок, буровых скважин и иных сооружений, связанных с пользованием недрами, по видам полезных ископаемых и видам пользования недрами» (Постановление правительства РФ от 30 ноября 2021 г. № 2127);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разработки месторождений углеводородного сырья» (утв. приказом Министерства природных ресурсов и экологии РФ от 17.03.2025 № 110/02)</w:t>
      </w:r>
      <w:r>
        <w:rPr>
          <w:rFonts w:ascii="Arial" w:hAnsi="Arial"/>
        </w:rPr>
        <w:t xml:space="preserve">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подготовки технических проектов разработки месторождений углеводородного сырья» (утв. </w:t>
      </w:r>
      <w:r>
        <w:rPr>
          <w:rFonts w:ascii="Arial" w:hAnsi="Arial"/>
        </w:rPr>
        <w:t xml:space="preserve">П</w:t>
      </w:r>
      <w:r>
        <w:rPr>
          <w:rFonts w:ascii="Arial" w:hAnsi="Arial"/>
        </w:rPr>
        <w:t xml:space="preserve">риказом Минприроды России от 20.09.2019 г. № 639);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Приказ Ростехнадзора от 15.12.2020 № 534 «Об утверждении федеральных норм и правил в области промышленной безопасности «Правила безопасности в нефтяной и газовой промышленности»;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ГОСТ Р 53713-2009. Национальный стандарт Российской Федерации. Месторождения нефтяные и газонефтяные. Правила разработки. (утвержден и введен в действие Приказом Ростехрегулирования от 15.12.2009 №1166-ст);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Налоговый кодекс Российской Федерации;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ГОСТ 7.32-2017 СИБИД. Отчет о научно-исследовательской работе. Структура и правила оформления.</w:t>
      </w:r>
      <w:r>
        <w:rPr>
          <w:rFonts w:ascii="Arial" w:hAnsi="Arial"/>
        </w:rPr>
      </w:r>
    </w:p>
    <w:p>
      <w:pPr>
        <w:jc w:val="both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Требования к документации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Исполнитель передаёт Заказчику материалы выполненной работы:</w:t>
      </w:r>
      <w:r>
        <w:rPr>
          <w:rFonts w:asciiTheme="minorHAnsi" w:hAnsiTheme="minorHAnsi" w:cstheme="minorHAnsi"/>
        </w:rPr>
      </w:r>
    </w:p>
    <w:p>
      <w:pPr>
        <w:ind w:firstLine="567"/>
        <w:jc w:val="both"/>
        <w:widowControl w:val="o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Итоговый отчёт по ПТД на электронном носителе (на бумажном носителе – по требованию Заказчика</w:t>
      </w:r>
      <w:r>
        <w:rPr>
          <w:rFonts w:asciiTheme="minorHAnsi" w:hAnsiTheme="minorHAnsi" w:cstheme="minorHAnsi"/>
        </w:rPr>
        <w:t xml:space="preserve">, госорганов</w:t>
      </w:r>
      <w:r>
        <w:rPr>
          <w:rFonts w:asciiTheme="minorHAnsi" w:hAnsiTheme="minorHAnsi" w:cstheme="minorHAnsi"/>
        </w:rPr>
        <w:t xml:space="preserve">), из которых 1 экз. передаётся Заказчику, 1 экз. – в госорганы, </w:t>
      </w:r>
      <w:r>
        <w:rPr>
          <w:rFonts w:asciiTheme="minorHAnsi" w:hAnsiTheme="minorHAnsi" w:cstheme="minorHAnsi"/>
        </w:rPr>
        <w:t xml:space="preserve">а </w:t>
      </w:r>
      <w:r>
        <w:rPr>
          <w:rFonts w:asciiTheme="minorHAnsi" w:hAnsiTheme="minorHAnsi" w:cstheme="minorHAnsi"/>
        </w:rPr>
        <w:t xml:space="preserve">также при выполнении ОПЗ, ПЗ</w:t>
      </w:r>
      <w:r>
        <w:rPr>
          <w:rFonts w:asciiTheme="minorHAnsi" w:hAnsiTheme="minorHAnsi" w:cstheme="minorHAnsi"/>
        </w:rPr>
        <w:t xml:space="preserve">,</w:t>
      </w:r>
      <w:r>
        <w:rPr>
          <w:rFonts w:asciiTheme="minorHAnsi" w:hAnsiTheme="minorHAnsi" w:cstheme="minorHAnsi"/>
        </w:rPr>
        <w:t xml:space="preserve"> 1 экз.</w:t>
      </w:r>
      <w:r>
        <w:rPr>
          <w:rFonts w:asciiTheme="minorHAnsi" w:hAnsiTheme="minorHAnsi" w:cstheme="minorHAnsi"/>
        </w:rPr>
        <w:t xml:space="preserve"> –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в </w:t>
      </w:r>
      <w:r>
        <w:rPr>
          <w:rFonts w:asciiTheme="minorHAnsi" w:hAnsiTheme="minorHAnsi" w:cstheme="minorHAnsi"/>
        </w:rPr>
        <w:t xml:space="preserve">территориальные и федеральные фонды в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соответствии с изменениями от 01.</w:t>
      </w:r>
      <w:bookmarkStart w:id="2" w:name="_GoBack"/>
      <w:r/>
      <w:bookmarkEnd w:id="2"/>
      <w:r>
        <w:rPr>
          <w:rFonts w:asciiTheme="minorHAnsi" w:hAnsiTheme="minorHAnsi" w:cstheme="minorHAnsi"/>
        </w:rPr>
        <w:t xml:space="preserve">09.2023</w:t>
      </w:r>
      <w:r>
        <w:rPr>
          <w:rFonts w:asciiTheme="minorHAnsi" w:hAnsiTheme="minorHAnsi" w:cstheme="minorHAnsi"/>
        </w:rPr>
        <w:t xml:space="preserve"> </w:t>
      </w:r>
      <w:r>
        <w:rPr>
          <w:rFonts w:asciiTheme="minorHAnsi" w:hAnsiTheme="minorHAnsi" w:cstheme="minorHAnsi"/>
        </w:rPr>
        <w:t xml:space="preserve">г. порядка представления геологической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информации о недрах с использованием ФГИС «ЕФГИ» (</w:t>
      </w:r>
      <w:hyperlink r:id="rId10" w:tooltip="https://new.efgi.ru" w:history="1">
        <w:r>
          <w:rPr>
            <w:rStyle w:val="711"/>
            <w:rFonts w:asciiTheme="minorHAnsi" w:hAnsiTheme="minorHAnsi" w:cstheme="minorHAnsi"/>
          </w:rPr>
          <w:t xml:space="preserve">https://new.efgi.ru</w:t>
        </w:r>
      </w:hyperlink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Материалы на электронных носителях передаются </w:t>
      </w:r>
      <w:r>
        <w:rPr>
          <w:rFonts w:ascii="Arial" w:hAnsi="Arial" w:cs="Arial"/>
        </w:rPr>
        <w:t xml:space="preserve">в следующих форматах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текст отчёта – МS W</w:t>
      </w:r>
      <w:r>
        <w:rPr>
          <w:rFonts w:ascii="Arial" w:hAnsi="Arial" w:cs="Arial"/>
          <w:lang w:val="en-US"/>
        </w:rPr>
        <w:t xml:space="preserve">ord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/ Р7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табличные приложения – MS Excel</w:t>
      </w:r>
      <w:r>
        <w:rPr>
          <w:rFonts w:ascii="Arial" w:hAnsi="Arial" w:cs="Arial"/>
        </w:rPr>
        <w:t xml:space="preserve"> / Р7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р</w:t>
      </w:r>
      <w:r>
        <w:rPr>
          <w:rFonts w:ascii="Arial" w:hAnsi="Arial" w:cs="Arial"/>
        </w:rPr>
        <w:t xml:space="preserve">исунки и другая графическая информация – *.bmp, *.jpg, *.tiff;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графические приложения – </w:t>
      </w:r>
      <w:r>
        <w:rPr>
          <w:rFonts w:ascii="Arial" w:hAnsi="Arial" w:cs="Arial"/>
        </w:rPr>
        <w:t xml:space="preserve">Corel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 xml:space="preserve">raw</w:t>
      </w:r>
      <w:r>
        <w:rPr>
          <w:rFonts w:ascii="Arial" w:hAnsi="Arial" w:cs="Arial"/>
        </w:rPr>
        <w:t xml:space="preserve"> (версия 6</w:t>
      </w:r>
      <w:r>
        <w:rPr>
          <w:rFonts w:ascii="Arial" w:hAnsi="Arial" w:cs="Arial"/>
        </w:rPr>
        <w:t xml:space="preserve">X</w:t>
      </w:r>
      <w:r>
        <w:rPr>
          <w:rFonts w:ascii="Arial" w:hAnsi="Arial" w:cs="Arial"/>
        </w:rPr>
        <w:t xml:space="preserve">)</w:t>
      </w:r>
      <w:r>
        <w:rPr>
          <w:rFonts w:ascii="Arial" w:hAnsi="Arial" w:cs="Arial"/>
        </w:rPr>
        <w:t xml:space="preserve"> или аналог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*.pdf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ГМ – </w:t>
      </w:r>
      <w:r>
        <w:rPr>
          <w:rFonts w:ascii="Arial" w:hAnsi="Arial" w:cs="Arial"/>
        </w:rPr>
        <w:t xml:space="preserve">в формате</w:t>
      </w:r>
      <w:r>
        <w:rPr>
          <w:rFonts w:ascii="Arial" w:hAnsi="Arial" w:cs="Arial"/>
        </w:rPr>
        <w:t xml:space="preserve"> ПО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</w:t>
      </w:r>
      <w:r>
        <w:rPr>
          <w:rFonts w:ascii="Arial" w:hAnsi="Arial" w:cs="Arial"/>
        </w:rPr>
        <w:t xml:space="preserve">Navigator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</w:t>
      </w:r>
      <w:r>
        <w:rPr>
          <w:rFonts w:ascii="Arial" w:hAnsi="Arial" w:cs="Arial"/>
        </w:rPr>
        <w:t xml:space="preserve">P</w:t>
      </w:r>
      <w:r>
        <w:rPr>
          <w:rFonts w:ascii="Arial" w:hAnsi="Arial" w:cs="Arial"/>
        </w:rPr>
        <w:t xml:space="preserve">etrel</w:t>
      </w:r>
      <w:r>
        <w:rPr>
          <w:rFonts w:ascii="Arial" w:hAnsi="Arial" w:cs="Arial"/>
        </w:rPr>
        <w:t xml:space="preserve">)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ГДМ – </w:t>
      </w:r>
      <w:r>
        <w:rPr>
          <w:rFonts w:ascii="Arial" w:hAnsi="Arial" w:cs="Arial"/>
        </w:rPr>
        <w:t xml:space="preserve">в формате</w:t>
      </w:r>
      <w:r>
        <w:rPr>
          <w:rFonts w:ascii="Arial" w:hAnsi="Arial" w:cs="Arial"/>
        </w:rPr>
        <w:t xml:space="preserve"> ПО </w:t>
      </w:r>
      <w:r>
        <w:rPr>
          <w:rFonts w:ascii="Arial" w:hAnsi="Arial" w:cs="Arial"/>
        </w:rPr>
        <w:t xml:space="preserve">t</w:t>
      </w:r>
      <w:r>
        <w:rPr>
          <w:rFonts w:ascii="Arial" w:hAnsi="Arial" w:cs="Arial"/>
        </w:rPr>
        <w:t xml:space="preserve">Navigator;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презентация – PowerPoint</w:t>
      </w:r>
      <w:r>
        <w:rPr>
          <w:rFonts w:ascii="Arial" w:hAnsi="Arial" w:cs="Arial"/>
        </w:rPr>
        <w:t xml:space="preserve"> / Р7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contextualSpacing/>
        <w:jc w:val="both"/>
        <w:tabs>
          <w:tab w:val="left" w:pos="854" w:leader="none"/>
          <w:tab w:val="center" w:pos="10206" w:leader="none"/>
        </w:tabs>
        <w:rPr>
          <w:rFonts w:cs="Arial" w:asciiTheme="minorHAnsi" w:hAnsiTheme="minorHAnsi"/>
          <w:i/>
          <w:sz w:val="20"/>
          <w:szCs w:val="20"/>
        </w:rPr>
      </w:pPr>
      <w:r>
        <w:rPr>
          <w:rFonts w:cs="Arial" w:asciiTheme="minorHAnsi" w:hAnsiTheme="minorHAnsi"/>
          <w:i/>
          <w:sz w:val="20"/>
          <w:szCs w:val="20"/>
        </w:rPr>
      </w:r>
      <w:r>
        <w:rPr>
          <w:rFonts w:cs="Arial" w:asciiTheme="minorHAnsi" w:hAnsiTheme="minorHAnsi"/>
          <w:i/>
          <w:sz w:val="20"/>
          <w:szCs w:val="20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Контроль качества 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Приемка каждого выполненного этапа осуществляется с оформлением акта сдачи-приемки</w:t>
      </w:r>
      <w:r>
        <w:rPr>
          <w:rFonts w:ascii="Arial" w:hAnsi="Arial" w:cs="Arial"/>
        </w:rPr>
        <w:t xml:space="preserve"> выполненных</w:t>
      </w:r>
      <w:r>
        <w:rPr>
          <w:rFonts w:ascii="Arial" w:hAnsi="Arial" w:cs="Arial"/>
        </w:rPr>
        <w:t xml:space="preserve"> работ. Перечень документации и иных материалов, подлежащих </w:t>
      </w:r>
      <w:r>
        <w:rPr>
          <w:rFonts w:ascii="Arial" w:hAnsi="Arial" w:cs="Arial"/>
        </w:rPr>
        <w:t xml:space="preserve">оформлению и сдаче на отдельных этапах выполнения работ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определяется настоящим Техническим Заданием.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keepNext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Условия привлечения субподрядчиков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Порядок привлечения Субподрядчиков регламентируется типовыми разделами договора ПАО «Газпром нефть» (ТРД), опубликованного на внутреннем портале ПАО «Газпром нефть» в разделе «База знаний / Документы / Типовые разделы договора для внутригрупповых сделок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714" w:hanging="357"/>
        <w:jc w:val="both"/>
        <w:keepNext/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Иные условия выполнения работ </w:t>
      </w:r>
      <w:r>
        <w:rPr>
          <w:rFonts w:ascii="Arial" w:hAnsi="Arial" w:cs="Arial"/>
          <w:b/>
        </w:rPr>
      </w:r>
    </w:p>
    <w:p>
      <w:pPr>
        <w:ind w:firstLine="360"/>
        <w:jc w:val="both"/>
        <w:spacing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Иные условия выполнения работ по данному Техническому заданию отсутствуют.</w:t>
      </w:r>
      <w:r>
        <w:rPr>
          <w:rFonts w:ascii="Arial" w:hAnsi="Arial" w:cs="Arial"/>
          <w:bCs/>
        </w:rPr>
      </w:r>
    </w:p>
    <w:p>
      <w:pPr>
        <w:ind w:firstLine="360"/>
        <w:jc w:val="both"/>
        <w:spacing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692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5263"/>
        <w:gridCol w:w="4659"/>
      </w:tblGrid>
      <w:tr>
        <w:tblPrEx/>
        <w:trPr>
          <w:cantSplit/>
          <w:trHeight w:val="1247"/>
        </w:trPr>
        <w:tc>
          <w:tcPr>
            <w:tcW w:w="5263" w:type="dxa"/>
            <w:textDirection w:val="lrTb"/>
            <w:noWrap w:val="false"/>
          </w:tcPr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4659" w:type="dxa"/>
            <w:textDirection w:val="lrTb"/>
            <w:noWrap w:val="false"/>
          </w:tcPr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w="11906" w:h="16838" w:orient="portrait"/>
      <w:pgMar w:top="1134" w:right="851" w:bottom="1134" w:left="1134" w:header="709" w:footer="397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Arial Unicode MS">
    <w:panose1 w:val="020B0604020202020204"/>
  </w:font>
  <w:font w:name="Arial">
    <w:panose1 w:val="020B0604020202020204"/>
  </w:font>
  <w:font w:name="Segoe UI">
    <w:panose1 w:val="020B0502040204020203"/>
  </w:font>
  <w:font w:name="Calibri">
    <w:panose1 w:val="020F0502020204030204"/>
  </w:font>
  <w:font w:name="Times New Roman">
    <w:panose1 w:val="02020603050405020304"/>
  </w:font>
  <w:font w:name="Wingdings">
    <w:panose1 w:val="0500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88" w:hanging="360"/>
        <w:tabs>
          <w:tab w:val="num" w:pos="1388" w:leader="none"/>
        </w:tabs>
      </w:pPr>
      <w:rPr>
        <w:rFonts w:hint="default" w:ascii="Arial" w:hAnsi="Arial" w:eastAsia="Times New Roman" w:cs="Arial"/>
        <w:b/>
        <w:i w:val="0"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6" w:hanging="360"/>
      </w:pPr>
      <w:rPr>
        <w:rFonts w:hint="default" w:ascii="Symbol" w:hAnsi="Symbol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77" w:hanging="567"/>
        <w:tabs>
          <w:tab w:val="num" w:pos="2483" w:leader="none"/>
        </w:tabs>
      </w:pPr>
      <w:rPr>
        <w:rFonts w:hint="default" w:ascii="Symbol" w:hAnsi="Symbol"/>
        <w:b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3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5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77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49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1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3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5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37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094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53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20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13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 w:val="false"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/>
        <w:strike w:val="0"/>
        <w:color w:val="auto"/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  <w:b w:val="0"/>
        <w:i w:val="0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num w:numId="1">
    <w:abstractNumId w:val="14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2"/>
  </w:num>
  <w:num w:numId="7">
    <w:abstractNumId w:val="4"/>
  </w:num>
  <w:num w:numId="8">
    <w:abstractNumId w:val="7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</w:num>
  <w:num w:numId="13">
    <w:abstractNumId w:val="8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3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92"/>
    <w:next w:val="69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93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92"/>
    <w:next w:val="69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93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92"/>
    <w:next w:val="692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93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92"/>
    <w:next w:val="69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93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92"/>
    <w:next w:val="69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93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92"/>
    <w:next w:val="69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93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92"/>
    <w:next w:val="69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3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92"/>
    <w:next w:val="69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3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92"/>
    <w:next w:val="69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3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92"/>
    <w:next w:val="69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93"/>
    <w:link w:val="35"/>
    <w:uiPriority w:val="10"/>
    <w:rPr>
      <w:sz w:val="48"/>
      <w:szCs w:val="48"/>
    </w:rPr>
  </w:style>
  <w:style w:type="paragraph" w:styleId="37">
    <w:name w:val="Subtitle"/>
    <w:basedOn w:val="692"/>
    <w:next w:val="69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3"/>
    <w:link w:val="37"/>
    <w:uiPriority w:val="11"/>
    <w:rPr>
      <w:sz w:val="24"/>
      <w:szCs w:val="24"/>
    </w:rPr>
  </w:style>
  <w:style w:type="paragraph" w:styleId="39">
    <w:name w:val="Quote"/>
    <w:basedOn w:val="692"/>
    <w:next w:val="69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92"/>
    <w:next w:val="69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93"/>
    <w:link w:val="697"/>
    <w:uiPriority w:val="99"/>
  </w:style>
  <w:style w:type="character" w:styleId="46">
    <w:name w:val="Footer Char"/>
    <w:basedOn w:val="693"/>
    <w:link w:val="699"/>
    <w:uiPriority w:val="99"/>
  </w:style>
  <w:style w:type="paragraph" w:styleId="47">
    <w:name w:val="Caption"/>
    <w:basedOn w:val="692"/>
    <w:next w:val="69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3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9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005196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0073bc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ecece" w:themeFill="text1" w:themeFillTint="40"/>
    </w:tblPr>
    <w:tblStylePr w:type="band1Horz">
      <w:tcPr>
        <w:shd w:val="clear" w:color="ffffff" w:themeColor="text1" w:themeTint="75" w:fill="a6a6a6" w:themeFill="text1" w:themeFillTint="75"/>
      </w:tcPr>
    </w:tblStylePr>
    <w:tblStylePr w:type="band1Vert">
      <w:tcPr>
        <w:shd w:val="clear" w:color="ffffff" w:themeColor="text1" w:themeTint="75" w:fill="a6a6a6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afdaff" w:themeFill="accent1" w:themeFillTint="34"/>
    </w:tblPr>
    <w:tblStylePr w:type="band1Horz">
      <w:tcPr>
        <w:shd w:val="clear" w:color="ffffff" w:themeColor="accent1" w:themeTint="75" w:fill="4bacfe" w:themeFill="accent1" w:themeFillTint="75"/>
      </w:tcPr>
    </w:tblStylePr>
    <w:tblStylePr w:type="band1Vert">
      <w:tcPr>
        <w:shd w:val="clear" w:color="ffffff" w:themeColor="accent1" w:themeTint="75" w:fill="4bacfe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5f0fa" w:themeFill="accent2" w:themeFillTint="32"/>
    </w:tblPr>
    <w:tblStylePr w:type="band1Horz">
      <w:tcPr>
        <w:shd w:val="clear" w:color="ffffff" w:themeColor="accent2" w:themeTint="75" w:fill="9fddf4" w:themeFill="accent2" w:themeFillTint="75"/>
      </w:tcPr>
    </w:tblStylePr>
    <w:tblStylePr w:type="band1Vert">
      <w:tcPr>
        <w:shd w:val="clear" w:color="ffffff" w:themeColor="accent2" w:themeTint="75" w:fill="9fddf4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de5ff" w:themeFill="accent3" w:themeFillTint="34"/>
    </w:tblPr>
    <w:tblStylePr w:type="band1Horz">
      <w:tcPr>
        <w:shd w:val="clear" w:color="ffffff" w:themeColor="accent3" w:themeTint="75" w:fill="6bc5ff" w:themeFill="accent3" w:themeFillTint="75"/>
      </w:tcPr>
    </w:tblStylePr>
    <w:tblStylePr w:type="band1Vert">
      <w:tcPr>
        <w:shd w:val="clear" w:color="ffffff" w:themeColor="accent3" w:themeTint="75" w:fill="6bc5ff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7f7f7" w:themeFill="accent4" w:themeFillTint="34"/>
    </w:tblPr>
    <w:tblStylePr w:type="band1Horz">
      <w:tcPr>
        <w:shd w:val="clear" w:color="ffffff" w:themeColor="accent4" w:themeTint="75" w:fill="eeeeee" w:themeFill="accent4" w:themeFillTint="75"/>
      </w:tcPr>
    </w:tblStylePr>
    <w:tblStylePr w:type="band1Vert">
      <w:tcPr>
        <w:shd w:val="clear" w:color="ffffff" w:themeColor="accent4" w:themeTint="75" w:fill="eeeeee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4f8c7" w:themeFill="accent5" w:themeFillTint="34"/>
    </w:tblPr>
    <w:tblStylePr w:type="band1Horz">
      <w:tcPr>
        <w:shd w:val="clear" w:color="ffffff" w:themeColor="accent5" w:themeTint="75" w:fill="e8f182" w:themeFill="accent5" w:themeFillTint="75"/>
      </w:tcPr>
    </w:tblStylePr>
    <w:tblStylePr w:type="band1Vert">
      <w:tcPr>
        <w:shd w:val="clear" w:color="ffffff" w:themeColor="accent5" w:themeTint="75" w:fill="e8f182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eecc9" w:themeFill="accent6" w:themeFillTint="34"/>
    </w:tblPr>
    <w:tblStylePr w:type="band1Horz">
      <w:tcPr>
        <w:shd w:val="clear" w:color="ffffff" w:themeColor="accent6" w:themeTint="75" w:fill="ffd584" w:themeFill="accent6" w:themeFillTint="75"/>
      </w:tcPr>
    </w:tblStylePr>
    <w:tblStylePr w:type="band1Vert">
      <w:tcPr>
        <w:shd w:val="clear" w:color="ffffff" w:themeColor="accent6" w:themeTint="75" w:fill="ffd58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tcPr>
        <w:shd w:val="clear" w:color="ffffff" w:themeColor="text1" w:themeTint="34" w:fill="d7d7d7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5c5c5c" w:themeColor="text1" w:themeTint="80" w:themeShade="95"/>
      </w:rPr>
    </w:tblStylePr>
    <w:tblStylePr w:type="firstRow">
      <w:rPr>
        <w:b/>
        <w:color w:val="5c5c5c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5c5c5c" w:themeColor="text1" w:themeTint="80" w:themeShade="95"/>
      </w:rPr>
    </w:tblStylePr>
    <w:tblStylePr w:type="lastRow">
      <w:rPr>
        <w:b/>
        <w:color w:val="5c5c5c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0063b8" w:themeColor="accent1" w:themeTint="80" w:themeShade="95"/>
      </w:rPr>
    </w:tblStylePr>
    <w:tblStylePr w:type="firstRow">
      <w:rPr>
        <w:b/>
        <w:color w:val="0063b8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63b8" w:themeColor="accent1" w:themeTint="80" w:themeShade="95"/>
      </w:rPr>
    </w:tblStylePr>
    <w:tblStylePr w:type="lastRow">
      <w:rPr>
        <w:b/>
        <w:color w:val="0063b8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0436e" w:themeColor="accent3" w:themeTint="FE" w:themeShade="95"/>
      </w:rPr>
    </w:tblStylePr>
    <w:tblStylePr w:type="firstRow">
      <w:rPr>
        <w:b/>
        <w:color w:val="00436e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0436e" w:themeColor="accent3" w:themeTint="FE" w:themeShade="95"/>
      </w:rPr>
    </w:tblStylePr>
    <w:tblStylePr w:type="lastRow">
      <w:rPr>
        <w:b/>
        <w:color w:val="00436e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0063b8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0063b8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0063b8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63b8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0436e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00436e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0436e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436e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656d0c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656d0c" w:themeColor="accent5" w:themeShade="95"/>
        <w:sz w:val="22"/>
      </w:rPr>
    </w:tblStylePr>
    <w:tblStylePr w:type="firstCol">
      <w:rPr>
        <w:rFonts w:ascii="Liberation Sans" w:hAnsi="Liberation Sans"/>
        <w:i/>
        <w:color w:val="656d0c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56d0c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905e00" w:themeColor="accent6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905e00" w:themeColor="accent6" w:themeShade="95"/>
        <w:sz w:val="22"/>
      </w:rPr>
    </w:tblStylePr>
    <w:tblStylePr w:type="firstCol">
      <w:rPr>
        <w:rFonts w:ascii="Liberation Sans" w:hAnsi="Liberation Sans"/>
        <w:i/>
        <w:color w:val="905e00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05e00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3db3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e0ec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fc961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9d9d9d" w:themeFill="text1" w:themeFillTint="80"/>
    </w:tblPr>
    <w:tblStylePr w:type="band1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9d9d9d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9d9d9d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4077" w:themeFill="accent1"/>
    </w:tblPr>
    <w:tblStylePr w:type="band1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00407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00407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4d4f1" w:themeFill="accent2" w:themeFillTint="97"/>
    </w:tblPr>
    <w:tblStylePr w:type="band1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84d4f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3db3ff" w:themeFill="accent3" w:themeFillTint="98"/>
    </w:tblPr>
    <w:tblStylePr w:type="band1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3db3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3db3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9e9e9" w:themeFill="accent4" w:themeFillTint="9A"/>
    </w:tblPr>
    <w:tblStylePr w:type="band1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e9e9e9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0ec5b" w:themeFill="accent5" w:themeFillTint="9A"/>
    </w:tblPr>
    <w:tblStylePr w:type="band1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e0ec5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e0ec5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c961" w:themeFill="accent6" w:themeFillTint="98"/>
    </w:tblPr>
    <w:tblStylePr w:type="band1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fc96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fc96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02444" w:themeColor="accent1" w:themeShade="95"/>
      </w:rPr>
    </w:tblStylePr>
    <w:tblStylePr w:type="firstRow">
      <w:rPr>
        <w:b/>
        <w:color w:val="00244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2444" w:themeColor="accent1" w:themeShade="95"/>
      </w:rPr>
    </w:tblStylePr>
    <w:tblStylePr w:type="lastRow">
      <w:rPr>
        <w:b/>
        <w:color w:val="00244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0070b8" w:themeColor="accent3" w:themeTint="98" w:themeShade="95"/>
      </w:rPr>
    </w:tblStylePr>
    <w:tblStylePr w:type="firstRow">
      <w:rPr>
        <w:b/>
        <w:color w:val="0070b8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070b8" w:themeColor="accent3" w:themeTint="98" w:themeShade="95"/>
      </w:rPr>
    </w:tblStylePr>
    <w:tblStylePr w:type="lastRow">
      <w:rPr>
        <w:b/>
        <w:color w:val="0070b8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daa13" w:themeColor="accent5" w:themeTint="9A" w:themeShade="95"/>
      </w:rPr>
    </w:tblStylePr>
    <w:tblStylePr w:type="firstRow">
      <w:rPr>
        <w:b/>
        <w:color w:val="9daa13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daa13" w:themeColor="accent5" w:themeTint="9A" w:themeShade="95"/>
      </w:rPr>
    </w:tblStylePr>
    <w:tblStylePr w:type="lastRow">
      <w:rPr>
        <w:b/>
        <w:color w:val="9daa13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ce8200" w:themeColor="accent6" w:themeTint="98" w:themeShade="95"/>
      </w:rPr>
    </w:tblStylePr>
    <w:tblStylePr w:type="firstRow">
      <w:rPr>
        <w:b/>
        <w:color w:val="ce8200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8200" w:themeColor="accent6" w:themeTint="98" w:themeShade="95"/>
      </w:rPr>
    </w:tblStylePr>
    <w:tblStylePr w:type="lastRow">
      <w:rPr>
        <w:b/>
        <w:color w:val="ce8200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c5c5c" w:themeColor="text1" w:themeTint="80" w:themeShade="95"/>
        <w:sz w:val="22"/>
      </w:rPr>
    </w:tblStylePr>
  </w:style>
  <w:style w:type="table" w:styleId="148">
    <w:name w:val="List Table 7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02444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002444" w:themeColor="accent1" w:themeShade="95"/>
        <w:sz w:val="22"/>
      </w:rPr>
    </w:tblStylePr>
    <w:tblStylePr w:type="firstCol">
      <w:rPr>
        <w:rFonts w:ascii="Liberation Sans" w:hAnsi="Liberation Sans"/>
        <w:i/>
        <w:color w:val="00244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244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02444" w:themeColor="accent1" w:themeShade="95"/>
        <w:sz w:val="22"/>
      </w:rPr>
    </w:tblStylePr>
  </w:style>
  <w:style w:type="table" w:styleId="149">
    <w:name w:val="List Table 7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698c3" w:themeColor="accent2" w:themeTint="97" w:themeShade="95"/>
        <w:sz w:val="22"/>
      </w:rPr>
    </w:tblStylePr>
  </w:style>
  <w:style w:type="table" w:styleId="150">
    <w:name w:val="List Table 7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0070b8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0070b8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0070b8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70b8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070b8" w:themeColor="accent3" w:themeTint="98" w:themeShade="95"/>
        <w:sz w:val="22"/>
      </w:rPr>
    </w:tblStylePr>
  </w:style>
  <w:style w:type="table" w:styleId="151">
    <w:name w:val="List Table 7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888888" w:themeColor="accent4" w:themeTint="9A" w:themeShade="95"/>
        <w:sz w:val="22"/>
      </w:rPr>
    </w:tblStylePr>
  </w:style>
  <w:style w:type="table" w:styleId="152">
    <w:name w:val="List Table 7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daa13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9daa13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daa13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daa13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daa13" w:themeColor="accent5" w:themeTint="9A" w:themeShade="95"/>
        <w:sz w:val="22"/>
      </w:rPr>
    </w:tblStylePr>
  </w:style>
  <w:style w:type="table" w:styleId="153">
    <w:name w:val="List Table 7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ce820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ce820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ce8200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e8200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e8200" w:themeColor="accent6" w:themeTint="98" w:themeShade="95"/>
        <w:sz w:val="22"/>
      </w:rPr>
    </w:tblStylePr>
  </w:style>
  <w:style w:type="table" w:styleId="154">
    <w:name w:val="Lined - Accent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155">
    <w:name w:val="Lined - Accent 1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156">
    <w:name w:val="Lined - Accent 2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157">
    <w:name w:val="Lined - Accent 3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158">
    <w:name w:val="Lined - Accent 4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159">
    <w:name w:val="Lined - Accent 5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160">
    <w:name w:val="Lined - Accent 6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161">
    <w:name w:val="Bordered &amp; Lined - Accent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162">
    <w:name w:val="Bordered &amp; Lined - Accent 1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163">
    <w:name w:val="Bordered &amp; Lined - Accent 2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164">
    <w:name w:val="Bordered &amp; Lined - Accent 3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165">
    <w:name w:val="Bordered &amp; Lined - Accent 4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166">
    <w:name w:val="Bordered &amp; Lined - Accent 5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167">
    <w:name w:val="Bordered &amp; Lined - Accent 6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168">
    <w:name w:val="Bordered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9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3"/>
    <w:uiPriority w:val="99"/>
    <w:unhideWhenUsed/>
    <w:rPr>
      <w:vertAlign w:val="superscript"/>
    </w:rPr>
  </w:style>
  <w:style w:type="character" w:styleId="180">
    <w:name w:val="Endnote Text Char"/>
    <w:link w:val="719"/>
    <w:uiPriority w:val="99"/>
    <w:rPr>
      <w:sz w:val="20"/>
    </w:rPr>
  </w:style>
  <w:style w:type="character" w:styleId="181">
    <w:name w:val="endnote reference"/>
    <w:basedOn w:val="693"/>
    <w:uiPriority w:val="99"/>
    <w:semiHidden/>
    <w:unhideWhenUsed/>
    <w:rPr>
      <w:vertAlign w:val="superscript"/>
    </w:rPr>
  </w:style>
  <w:style w:type="paragraph" w:styleId="182">
    <w:name w:val="toc 1"/>
    <w:basedOn w:val="692"/>
    <w:next w:val="69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92"/>
    <w:next w:val="69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92"/>
    <w:next w:val="69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92"/>
    <w:next w:val="69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92"/>
    <w:next w:val="69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92"/>
    <w:next w:val="69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92"/>
    <w:next w:val="69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92"/>
    <w:next w:val="69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92"/>
    <w:next w:val="69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92"/>
    <w:next w:val="692"/>
    <w:uiPriority w:val="99"/>
    <w:unhideWhenUsed/>
    <w:pPr>
      <w:spacing w:after="0" w:afterAutospacing="0"/>
    </w:pPr>
  </w:style>
  <w:style w:type="paragraph" w:styleId="692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93" w:default="1">
    <w:name w:val="Default Paragraph Font"/>
    <w:uiPriority w:val="1"/>
    <w:semiHidden/>
    <w:unhideWhenUsed/>
  </w:style>
  <w:style w:type="table" w:styleId="69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5" w:default="1">
    <w:name w:val="No List"/>
    <w:uiPriority w:val="99"/>
    <w:semiHidden/>
    <w:unhideWhenUsed/>
  </w:style>
  <w:style w:type="table" w:styleId="696">
    <w:name w:val="Table Grid"/>
    <w:basedOn w:val="694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97">
    <w:name w:val="Header"/>
    <w:basedOn w:val="692"/>
    <w:link w:val="698"/>
    <w:unhideWhenUsed/>
    <w:pPr>
      <w:tabs>
        <w:tab w:val="center" w:pos="4677" w:leader="none"/>
        <w:tab w:val="right" w:pos="9355" w:leader="none"/>
      </w:tabs>
    </w:pPr>
  </w:style>
  <w:style w:type="character" w:styleId="698" w:customStyle="1">
    <w:name w:val="Верхний колонтитул Знак"/>
    <w:basedOn w:val="693"/>
    <w:link w:val="69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99">
    <w:name w:val="Footer"/>
    <w:basedOn w:val="692"/>
    <w:link w:val="70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00" w:customStyle="1">
    <w:name w:val="Нижний колонтитул Знак"/>
    <w:basedOn w:val="693"/>
    <w:link w:val="69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1">
    <w:name w:val="Normal (Web)"/>
    <w:basedOn w:val="692"/>
    <w:uiPriority w:val="99"/>
    <w:semiHidden/>
    <w:unhideWhenUsed/>
    <w:pPr>
      <w:spacing w:before="100" w:beforeAutospacing="1" w:after="100" w:afterAutospacing="1"/>
    </w:pPr>
    <w:rPr>
      <w:rFonts w:eastAsiaTheme="minorEastAsia"/>
    </w:rPr>
  </w:style>
  <w:style w:type="paragraph" w:styleId="702">
    <w:name w:val="Body Text"/>
    <w:basedOn w:val="692"/>
    <w:link w:val="703"/>
    <w:uiPriority w:val="99"/>
    <w:pPr>
      <w:keepNext/>
      <w:outlineLvl w:val="0"/>
    </w:pPr>
    <w:rPr>
      <w:szCs w:val="20"/>
    </w:rPr>
  </w:style>
  <w:style w:type="character" w:styleId="703" w:customStyle="1">
    <w:name w:val="Основной текст Знак1"/>
    <w:link w:val="702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04" w:customStyle="1">
    <w:name w:val="Основной текст Знак"/>
    <w:basedOn w:val="693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5">
    <w:name w:val="Body Text Indent"/>
    <w:basedOn w:val="692"/>
    <w:link w:val="706"/>
    <w:uiPriority w:val="99"/>
    <w:semiHidden/>
    <w:unhideWhenUsed/>
    <w:pPr>
      <w:ind w:left="283"/>
      <w:spacing w:after="120"/>
    </w:pPr>
  </w:style>
  <w:style w:type="character" w:styleId="706" w:customStyle="1">
    <w:name w:val="Основной текст с отступом Знак"/>
    <w:basedOn w:val="693"/>
    <w:link w:val="705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7">
    <w:name w:val="Body Text First Indent 2"/>
    <w:basedOn w:val="705"/>
    <w:link w:val="708"/>
    <w:uiPriority w:val="99"/>
    <w:semiHidden/>
    <w:unhideWhenUsed/>
    <w:pPr>
      <w:ind w:left="360" w:firstLine="360"/>
      <w:spacing w:after="0"/>
    </w:pPr>
  </w:style>
  <w:style w:type="character" w:styleId="708" w:customStyle="1">
    <w:name w:val="Красная строка 2 Знак"/>
    <w:basedOn w:val="706"/>
    <w:link w:val="707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9">
    <w:name w:val="List Paragraph"/>
    <w:basedOn w:val="692"/>
    <w:link w:val="710"/>
    <w:uiPriority w:val="34"/>
    <w:qFormat/>
    <w:pPr>
      <w:contextualSpacing/>
      <w:ind w:left="720"/>
    </w:pPr>
  </w:style>
  <w:style w:type="character" w:styleId="710" w:customStyle="1">
    <w:name w:val="Абзац списка Знак"/>
    <w:link w:val="709"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1">
    <w:name w:val="Hyperlink"/>
    <w:basedOn w:val="693"/>
    <w:uiPriority w:val="99"/>
    <w:unhideWhenUsed/>
    <w:rPr>
      <w:color w:val="0070ba" w:themeColor="hyperlink"/>
      <w:u w:val="single"/>
    </w:rPr>
  </w:style>
  <w:style w:type="table" w:styleId="712">
    <w:name w:val="Grid Table Light"/>
    <w:basedOn w:val="694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713">
    <w:name w:val="Plain Table 4"/>
    <w:basedOn w:val="694"/>
    <w:uiPriority w:val="44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  <w:style w:type="paragraph" w:styleId="714">
    <w:name w:val="Balloon Text"/>
    <w:basedOn w:val="692"/>
    <w:link w:val="715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715" w:customStyle="1">
    <w:name w:val="Текст выноски Знак"/>
    <w:basedOn w:val="693"/>
    <w:link w:val="714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paragraph" w:styleId="716" w:customStyle="1">
    <w:name w:val="ConsPlusNormal"/>
    <w:basedOn w:val="692"/>
    <w:uiPriority w:val="99"/>
    <w:rPr>
      <w:rFonts w:ascii="Arial" w:hAnsi="Arial" w:cs="Arial" w:eastAsiaTheme="minorHAnsi"/>
      <w:sz w:val="20"/>
      <w:szCs w:val="20"/>
    </w:rPr>
  </w:style>
  <w:style w:type="paragraph" w:styleId="717">
    <w:name w:val="Body Text 2"/>
    <w:basedOn w:val="692"/>
    <w:link w:val="718"/>
    <w:uiPriority w:val="99"/>
    <w:semiHidden/>
    <w:unhideWhenUsed/>
    <w:pPr>
      <w:spacing w:after="120" w:line="480" w:lineRule="auto"/>
    </w:pPr>
  </w:style>
  <w:style w:type="character" w:styleId="718" w:customStyle="1">
    <w:name w:val="Основной текст 2 Знак"/>
    <w:basedOn w:val="693"/>
    <w:link w:val="717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9">
    <w:name w:val="endnote text"/>
    <w:basedOn w:val="692"/>
    <w:link w:val="720"/>
    <w:pPr>
      <w:contextualSpacing/>
      <w:ind w:firstLine="540"/>
      <w:jc w:val="both"/>
      <w:spacing w:before="60"/>
      <w:tabs>
        <w:tab w:val="left" w:pos="0" w:leader="none"/>
      </w:tabs>
    </w:pPr>
    <w:rPr>
      <w:rFonts w:ascii="Arial" w:hAnsi="Arial" w:eastAsia="Calibri" w:cs="Arial"/>
      <w:color w:val="000000"/>
      <w:sz w:val="20"/>
      <w:szCs w:val="28"/>
      <w:lang w:eastAsia="en-US"/>
    </w:rPr>
  </w:style>
  <w:style w:type="character" w:styleId="720" w:customStyle="1">
    <w:name w:val="Текст концевой сноски Знак"/>
    <w:basedOn w:val="693"/>
    <w:link w:val="719"/>
    <w:rPr>
      <w:rFonts w:ascii="Arial" w:hAnsi="Arial" w:eastAsia="Calibri" w:cs="Arial"/>
      <w:color w:val="000000"/>
      <w:sz w:val="20"/>
      <w:szCs w:val="28"/>
    </w:rPr>
  </w:style>
  <w:style w:type="character" w:styleId="721" w:customStyle="1">
    <w:name w:val="Font Style18"/>
    <w:uiPriority w:val="99"/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new.efgi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Liberation Sans"/>
        <a:cs typeface="Liberation Sans"/>
      </a:majorFont>
      <a:minorFont>
        <a:latin typeface="Arial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80980-FDB6-4414-A127-985C383BC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Кириллова Татьяна Евгеньевна</dc:creator>
  <cp:lastModifiedBy>rim</cp:lastModifiedBy>
  <cp:revision>5</cp:revision>
  <dcterms:created xsi:type="dcterms:W3CDTF">2026-07-07T08:56:00Z</dcterms:created>
  <dcterms:modified xsi:type="dcterms:W3CDTF">2026-07-30T13:07:48Z</dcterms:modified>
</cp:coreProperties>
</file>