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520" w:type="dxa"/>
        <w:tblLook w:val="04A0" w:firstRow="1" w:lastRow="0" w:firstColumn="1" w:lastColumn="0" w:noHBand="0" w:noVBand="1"/>
      </w:tblPr>
      <w:tblGrid>
        <w:gridCol w:w="2720"/>
        <w:gridCol w:w="1320"/>
        <w:gridCol w:w="1960"/>
        <w:gridCol w:w="3520"/>
      </w:tblGrid>
      <w:tr>
        <w:tblPrEx/>
        <w:trPr>
          <w:trHeight w:val="39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0" w:type="dxa"/>
            <w:vAlign w:val="bottom"/>
            <w:textDirection w:val="lrTb"/>
            <w:noWrap/>
          </w:tcPr>
          <w:p>
            <w:pPr>
              <w:ind w:firstLine="0"/>
              <w:jc w:val="left"/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20" w:type="dxa"/>
            <w:vAlign w:val="bottom"/>
            <w:textDirection w:val="lrTb"/>
            <w:noWrap/>
          </w:tcPr>
          <w:p>
            <w:pPr>
              <w:ind w:firstLine="0"/>
              <w:jc w:val="center"/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60" w:type="dxa"/>
            <w:vAlign w:val="bottom"/>
            <w:textDirection w:val="lrTb"/>
            <w:noWrap/>
          </w:tcPr>
          <w:p>
            <w:pPr>
              <w:ind w:firstLine="0"/>
              <w:jc w:val="center"/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0" w:type="dxa"/>
            <w:vAlign w:val="bottom"/>
            <w:textDirection w:val="lrTb"/>
            <w:noWrap w:val="false"/>
          </w:tcPr>
          <w:p>
            <w:pPr>
              <w:ind w:firstLine="0"/>
              <w:jc w:val="right"/>
              <w:spacing w:line="240" w:lineRule="auto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Приложение №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3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9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20" w:type="dxa"/>
            <w:vAlign w:val="bottom"/>
            <w:textDirection w:val="lrTb"/>
            <w:noWrap/>
          </w:tcPr>
          <w:p>
            <w:pPr>
              <w:ind w:firstLine="0"/>
              <w:jc w:val="right"/>
              <w:spacing w:line="240" w:lineRule="auto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к Заказу № </w:t>
            </w:r>
            <w:r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ru-RU"/>
              </w:rPr>
              <w:t xml:space="preserve">__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от </w:t>
            </w:r>
            <w:r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ru-RU"/>
              </w:rPr>
              <w:t xml:space="preserve">_____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г.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9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20" w:type="dxa"/>
            <w:vAlign w:val="bottom"/>
            <w:textDirection w:val="lrTb"/>
            <w:noWrap/>
          </w:tcPr>
          <w:p>
            <w:pPr>
              <w:ind w:firstLine="0"/>
              <w:jc w:val="right"/>
              <w:spacing w:line="240" w:lineRule="auto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к Договору №  </w:t>
            </w:r>
            <w:r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ru-RU"/>
              </w:rPr>
              <w:t xml:space="preserve">_________________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от</w:t>
            </w:r>
            <w:r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ru-RU"/>
              </w:rPr>
              <w:t xml:space="preserve">__.__.____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г.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r>
          </w:p>
        </w:tc>
      </w:tr>
    </w:tbl>
    <w:p>
      <w:pPr>
        <w:jc w:val="right"/>
        <w:spacing w:line="240" w:lineRule="auto"/>
        <w:tabs>
          <w:tab w:val="center" w:pos="5112" w:leader="none"/>
          <w:tab w:val="right" w:pos="10152" w:leader="none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</w:r>
      <w:r>
        <w:rPr>
          <w:rFonts w:ascii="Arial" w:hAnsi="Arial" w:cs="Arial"/>
          <w:b/>
          <w:sz w:val="22"/>
        </w:rPr>
      </w:r>
    </w:p>
    <w:p>
      <w:pPr>
        <w:jc w:val="center"/>
        <w:spacing w:line="240" w:lineRule="auto"/>
        <w:tabs>
          <w:tab w:val="center" w:pos="5112" w:leader="none"/>
          <w:tab w:val="right" w:pos="10152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firstLine="0"/>
        <w:jc w:val="center"/>
        <w:spacing w:line="240" w:lineRule="auto"/>
        <w:tabs>
          <w:tab w:val="center" w:pos="5112" w:leader="none"/>
          <w:tab w:val="right" w:pos="10152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ТЕХНИЧЕСКОЕ ЗАДАНИЕ</w:t>
      </w:r>
      <w:r>
        <w:rPr>
          <w:rFonts w:ascii="Arial" w:hAnsi="Arial" w:cs="Arial"/>
          <w:b/>
        </w:rPr>
      </w:r>
    </w:p>
    <w:p>
      <w:pPr>
        <w:ind w:firstLine="0"/>
        <w:jc w:val="center"/>
        <w:spacing w:line="240" w:lineRule="auto"/>
        <w:tabs>
          <w:tab w:val="center" w:pos="5112" w:leader="none"/>
          <w:tab w:val="right" w:pos="10152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на выполнение работ по теме:</w:t>
      </w:r>
      <w:r>
        <w:rPr>
          <w:rFonts w:ascii="Arial" w:hAnsi="Arial" w:cs="Arial"/>
        </w:rPr>
      </w:r>
    </w:p>
    <w:p>
      <w:pPr>
        <w:ind w:firstLine="0"/>
        <w:jc w:val="center"/>
        <w:spacing w:line="240" w:lineRule="auto"/>
        <w:tabs>
          <w:tab w:val="center" w:pos="5112" w:leader="none"/>
          <w:tab w:val="right" w:pos="10152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0"/>
        <w:jc w:val="center"/>
        <w:spacing w:line="240" w:lineRule="auto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</w:rPr>
        <w:t xml:space="preserve">Проектно-технический документ / Оперативный подсчет запасов УВС </w:t>
      </w:r>
      <w:r>
        <w:rPr>
          <w:rFonts w:ascii="Arial" w:hAnsi="Arial" w:cs="Arial"/>
          <w:b/>
        </w:rPr>
      </w:r>
    </w:p>
    <w:p>
      <w:pPr>
        <w:ind w:firstLine="0"/>
        <w:jc w:val="center"/>
        <w:spacing w:line="240" w:lineRule="auto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highlight w:val="yellow"/>
        </w:rPr>
        <w:t xml:space="preserve">____________________</w:t>
      </w:r>
      <w:r>
        <w:rPr>
          <w:rFonts w:ascii="Arial" w:hAnsi="Arial" w:eastAsia="Arial" w:cs="Arial"/>
          <w:b/>
        </w:rPr>
        <w:t xml:space="preserve"> месторождения  </w:t>
      </w:r>
      <w:r>
        <w:rPr>
          <w:rFonts w:ascii="Arial" w:hAnsi="Arial" w:cs="Arial"/>
          <w:b/>
        </w:rPr>
      </w:r>
      <w:r/>
    </w:p>
    <w:p>
      <w:pPr>
        <w:ind w:firstLine="0"/>
        <w:spacing w:line="240" w:lineRule="auto"/>
        <w:tabs>
          <w:tab w:val="left" w:pos="709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923"/>
        <w:contextualSpacing w:val="0"/>
        <w:ind w:left="709" w:firstLine="0"/>
        <w:jc w:val="left"/>
        <w:spacing w:line="240" w:lineRule="auto"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Заказчик работ</w:t>
      </w:r>
      <w:r>
        <w:rPr>
          <w:rFonts w:ascii="Arial" w:hAnsi="Arial" w:eastAsia="Arial" w:cs="Arial"/>
        </w:rPr>
        <w:t xml:space="preserve">: </w:t>
      </w:r>
      <w:r>
        <w:rPr>
          <w:rFonts w:ascii="Arial" w:hAnsi="Arial" w:eastAsia="Arial" w:cs="Arial"/>
        </w:rPr>
        <w:t xml:space="preserve">{Полное-Наименование-ДО-Заказчика} 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  <w:b/>
        </w:rPr>
      </w:r>
    </w:p>
    <w:p>
      <w:pPr>
        <w:pStyle w:val="923"/>
        <w:contextualSpacing w:val="0"/>
        <w:ind w:left="709" w:firstLine="0"/>
        <w:spacing w:line="240" w:lineRule="auto"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left="709" w:firstLine="0"/>
        <w:spacing w:line="240" w:lineRule="auto"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1. Цель работы:</w:t>
      </w:r>
      <w:r>
        <w:rPr>
          <w:rFonts w:ascii="Arial" w:hAnsi="Arial" w:cs="Arial"/>
          <w:b/>
        </w:rPr>
      </w:r>
    </w:p>
    <w:p>
      <w:pPr>
        <w:numPr>
          <w:ilvl w:val="1"/>
          <w:numId w:val="2"/>
        </w:numPr>
        <w:ind w:left="0" w:firstLine="720"/>
        <w:spacing w:line="240" w:lineRule="auto"/>
        <w:tabs>
          <w:tab w:val="left" w:pos="99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План реализа</w:t>
      </w:r>
      <w:r>
        <w:rPr>
          <w:rFonts w:ascii="Arial" w:hAnsi="Arial" w:eastAsia="Arial" w:cs="Arial"/>
        </w:rPr>
        <w:t xml:space="preserve">ции лицензионных обязательств и программы изучения и воспроизводства минерально-сырьевой базы, уточнение строения пластов группы Ач и Ю по результатам бурения скважин, актуализация запасов в разбуриваемых участках на </w:t>
      </w:r>
      <w:r>
        <w:rPr>
          <w:rFonts w:ascii="Arial" w:hAnsi="Arial" w:eastAsia="Arial" w:cs="Arial"/>
          <w:highlight w:val="yellow"/>
        </w:rPr>
        <w:t xml:space="preserve">__________</w:t>
      </w:r>
      <w:r>
        <w:rPr>
          <w:rFonts w:ascii="Arial" w:hAnsi="Arial" w:eastAsia="Arial" w:cs="Arial"/>
        </w:rPr>
        <w:t xml:space="preserve"> месторождении в поддержку ПТД.</w:t>
      </w:r>
      <w:r>
        <w:rPr>
          <w:rFonts w:ascii="Arial" w:hAnsi="Arial" w:cs="Arial"/>
        </w:rPr>
      </w:r>
    </w:p>
    <w:p>
      <w:pPr>
        <w:numPr>
          <w:ilvl w:val="1"/>
          <w:numId w:val="2"/>
        </w:numPr>
        <w:ind w:left="0" w:firstLine="720"/>
        <w:spacing w:line="240" w:lineRule="auto"/>
        <w:tabs>
          <w:tab w:val="left" w:pos="99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Подготовка и согласование оперативного изменения состояния запасов углеводородов по залежам продуктивных пластов </w:t>
      </w:r>
      <w:r>
        <w:rPr>
          <w:rFonts w:ascii="Arial" w:hAnsi="Arial" w:eastAsia="Arial" w:cs="Arial"/>
          <w:highlight w:val="yellow"/>
        </w:rPr>
        <w:t xml:space="preserve">__________</w:t>
      </w:r>
      <w:r>
        <w:rPr>
          <w:rFonts w:ascii="Arial" w:hAnsi="Arial" w:eastAsia="Arial" w:cs="Arial"/>
          <w:highlight w:val="none"/>
        </w:rPr>
        <w:t xml:space="preserve"> </w:t>
      </w:r>
      <w:r/>
      <w:r>
        <w:rPr>
          <w:rFonts w:ascii="Arial" w:hAnsi="Arial" w:eastAsia="Arial" w:cs="Arial"/>
        </w:rPr>
        <w:t xml:space="preserve">НГКМ по результатам бурения скважин с защитой в ФБУ «ГКЗ».</w:t>
      </w:r>
      <w:r>
        <w:rPr>
          <w:rFonts w:ascii="Arial" w:hAnsi="Arial" w:cs="Arial"/>
        </w:rPr>
      </w:r>
    </w:p>
    <w:p>
      <w:pPr>
        <w:ind w:left="2004" w:firstLine="0"/>
        <w:spacing w:line="240" w:lineRule="auto"/>
        <w:tabs>
          <w:tab w:val="left" w:pos="993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709"/>
        <w:spacing w:line="240" w:lineRule="auto"/>
        <w:rPr>
          <w:rFonts w:ascii="Arial" w:hAnsi="Arial" w:cs="Arial"/>
        </w:rPr>
      </w:pPr>
      <w:r>
        <w:rPr>
          <w:rFonts w:ascii="Arial" w:hAnsi="Arial" w:eastAsia="Arial" w:cs="Arial"/>
          <w:b/>
          <w:lang w:eastAsia="ru-RU"/>
        </w:rPr>
        <w:t xml:space="preserve">2. Периметр работ:</w:t>
      </w:r>
      <w:r>
        <w:rPr>
          <w:rFonts w:ascii="Arial" w:hAnsi="Arial" w:cs="Arial"/>
        </w:rPr>
      </w:r>
    </w:p>
    <w:p>
      <w:pPr>
        <w:spacing w:line="240" w:lineRule="auto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 {Полное-Наименование-ДО-Заказчика}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</w:r>
    </w:p>
    <w:p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lang w:eastAsia="ru-RU"/>
        </w:rPr>
        <w:t xml:space="preserve">Место выполнения работ: по месту нахождения Исполнителя, без выезда на месторождения (</w:t>
      </w:r>
      <w:r>
        <w:rPr>
          <w:rFonts w:ascii="Arial" w:hAnsi="Arial" w:cs="Arial"/>
          <w:lang w:eastAsia="ru-RU"/>
        </w:rPr>
        <w:t xml:space="preserve">{Город-Выполнения-Работ</w:t>
      </w:r>
      <w:r>
        <w:rPr>
          <w:rFonts w:ascii="Arial" w:hAnsi="Arial" w:cs="Arial"/>
          <w:lang w:eastAsia="ru-RU"/>
        </w:rPr>
        <w:t xml:space="preserve">}</w:t>
      </w:r>
      <w:r>
        <w:rPr>
          <w:rFonts w:ascii="Arial" w:hAnsi="Arial" w:cs="Arial"/>
          <w:lang w:eastAsia="ru-RU"/>
        </w:rPr>
        <w:t xml:space="preserve">)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ind w:left="57"/>
        <w:spacing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</w:r>
      <w:r>
        <w:rPr>
          <w:rFonts w:ascii="Arial" w:hAnsi="Arial" w:cs="Arial"/>
          <w:highlight w:val="yellow"/>
        </w:rPr>
      </w:r>
    </w:p>
    <w:p>
      <w:pPr>
        <w:ind w:firstLine="709"/>
        <w:spacing w:line="240" w:lineRule="auto"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eastAsia="ru-RU"/>
        </w:rPr>
        <w:t xml:space="preserve">3. Сроки выполнения работ:</w:t>
      </w:r>
      <w:r>
        <w:rPr>
          <w:rFonts w:ascii="Arial" w:hAnsi="Arial" w:cs="Arial"/>
          <w:b/>
        </w:rPr>
      </w:r>
    </w:p>
    <w:p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</w:rPr>
        <w:t xml:space="preserve">Начало работ</w:t>
      </w:r>
      <w:r>
        <w:rPr>
          <w:rFonts w:ascii="Arial" w:hAnsi="Arial" w:eastAsia="Arial" w:cs="Arial"/>
          <w:color w:val="000000" w:themeColor="text1"/>
        </w:rPr>
        <w:t xml:space="preserve"> – </w:t>
      </w:r>
      <w:r>
        <w:rPr>
          <w:rFonts w:ascii="Arial" w:hAnsi="Arial" w:eastAsia="Arial" w:cs="Arial"/>
          <w:color w:val="000000" w:themeColor="text1"/>
        </w:rPr>
        <w:t xml:space="preserve">с даты подписания Заказа</w:t>
      </w:r>
      <w:bookmarkStart w:id="0" w:name="_GoBack"/>
      <w:r/>
      <w:bookmarkEnd w:id="0"/>
      <w:r/>
      <w:r>
        <w:rPr>
          <w:rFonts w:ascii="Arial" w:hAnsi="Arial" w:cs="Arial"/>
          <w:color w:val="000000" w:themeColor="text1"/>
        </w:rPr>
      </w:r>
    </w:p>
    <w:p>
      <w:pPr>
        <w:spacing w:line="240" w:lineRule="auto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 w:themeColor="text1"/>
        </w:rPr>
        <w:t xml:space="preserve">Окончание работ</w:t>
      </w:r>
      <w:r>
        <w:rPr>
          <w:rFonts w:ascii="Arial" w:hAnsi="Arial" w:eastAsia="Arial" w:cs="Arial"/>
          <w:color w:val="000000" w:themeColor="text1"/>
        </w:rPr>
        <w:t xml:space="preserve"> – </w:t>
      </w:r>
      <w:r>
        <w:rPr>
          <w:rFonts w:ascii="Arial" w:hAnsi="Arial" w:eastAsia="Arial" w:cs="Arial"/>
          <w:color w:val="000000" w:themeColor="text1"/>
          <w:highlight w:val="yellow"/>
        </w:rPr>
        <w:t xml:space="preserve">__.__.____</w:t>
      </w:r>
      <w:r>
        <w:rPr>
          <w:rFonts w:ascii="Arial" w:hAnsi="Arial" w:eastAsia="Arial" w:cs="Arial"/>
          <w:color w:val="000000" w:themeColor="text1"/>
        </w:rPr>
        <w:t xml:space="preserve"> г.</w:t>
      </w:r>
      <w:r>
        <w:rPr>
          <w:rFonts w:ascii="Arial" w:hAnsi="Arial" w:cs="Arial"/>
        </w:rPr>
      </w:r>
    </w:p>
    <w:p>
      <w:pPr>
        <w:spacing w:line="240" w:lineRule="auto"/>
        <w:rPr>
          <w:rFonts w:ascii="Arial" w:hAnsi="Arial" w:cs="Arial"/>
        </w:rPr>
      </w:pPr>
      <w:r>
        <w:rPr>
          <w:rFonts w:ascii="Arial" w:hAnsi="Arial" w:eastAsia="Arial" w:cs="Arial"/>
          <w:lang w:eastAsia="ru-RU"/>
        </w:rPr>
        <w:t xml:space="preserve">Сроки выполнения этапов определяются календарным планом (Приложение №2).</w:t>
      </w:r>
      <w:r>
        <w:rPr>
          <w:rFonts w:ascii="Arial" w:hAnsi="Arial" w:cs="Arial"/>
        </w:rPr>
      </w:r>
    </w:p>
    <w:p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720" w:firstLine="0"/>
        <w:spacing w:line="240" w:lineRule="auto"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eastAsia="ru-RU"/>
        </w:rPr>
        <w:t xml:space="preserve">4. Содержание работ, особенности их выполнения и результаты: </w:t>
      </w:r>
      <w:r>
        <w:rPr>
          <w:rFonts w:ascii="Arial" w:hAnsi="Arial" w:cs="Arial"/>
          <w:b/>
        </w:rPr>
      </w:r>
    </w:p>
    <w:p>
      <w:pPr>
        <w:spacing w:line="240" w:lineRule="auto"/>
        <w:rPr>
          <w:rFonts w:ascii="Arial" w:hAnsi="Arial" w:cs="Arial"/>
          <w:i/>
          <w:color w:val="808080" w:themeColor="background1" w:themeShade="80"/>
        </w:rPr>
      </w:pPr>
      <w:r>
        <w:rPr>
          <w:rFonts w:ascii="Arial" w:hAnsi="Arial" w:eastAsia="Arial" w:cs="Arial"/>
          <w:lang w:eastAsia="ru-RU"/>
        </w:rPr>
        <w:t xml:space="preserve">Перечень работ и требований к ним представлены в Таблице №1.</w:t>
      </w:r>
      <w:r>
        <w:rPr>
          <w:rFonts w:ascii="Arial" w:hAnsi="Arial" w:eastAsia="Arial" w:cs="Arial"/>
          <w:i/>
          <w:color w:val="808080" w:themeColor="background1" w:themeShade="80"/>
          <w:lang w:eastAsia="ru-RU"/>
        </w:rPr>
        <w:t xml:space="preserve">  </w:t>
      </w:r>
      <w:r>
        <w:rPr>
          <w:rFonts w:ascii="Arial" w:hAnsi="Arial" w:cs="Arial"/>
          <w:i/>
          <w:color w:val="808080" w:themeColor="background1" w:themeShade="80"/>
        </w:rPr>
      </w:r>
    </w:p>
    <w:p>
      <w:pPr>
        <w:ind w:left="57"/>
        <w:jc w:val="right"/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i/>
          <w:color w:val="000000" w:themeColor="text1"/>
          <w:lang w:eastAsia="ru-RU"/>
        </w:rPr>
        <w:t xml:space="preserve">Таблица №1:</w:t>
      </w:r>
      <w:r>
        <w:rPr>
          <w:rFonts w:ascii="Arial" w:hAnsi="Arial" w:cs="Arial"/>
          <w:color w:val="000000" w:themeColor="text1"/>
        </w:rPr>
      </w:r>
    </w:p>
    <w:tbl>
      <w:tblPr>
        <w:tblW w:w="10030" w:type="dxa"/>
        <w:tblInd w:w="-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1738"/>
        <w:gridCol w:w="2514"/>
        <w:gridCol w:w="3651"/>
      </w:tblGrid>
      <w:tr>
        <w:tblPrEx/>
        <w:trPr>
          <w:trHeight w:val="1070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tabs>
                <w:tab w:val="left" w:pos="3402" w:leader="none"/>
              </w:tabs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Наименование этапов работы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tabs>
                <w:tab w:val="left" w:pos="3402" w:leader="none"/>
              </w:tabs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Требования к выполнению работ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tabs>
                <w:tab w:val="left" w:pos="3402" w:leader="none"/>
              </w:tabs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Ожидаемые результаты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1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tabs>
                <w:tab w:val="left" w:pos="3402" w:leader="none"/>
              </w:tabs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Описание работы *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1. Формирование базы данных. Обработка и интерпретация данных ГИС вновь пробуренных скважин. Анализ петрофизической модели. Анализ результатов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сейсмо-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разведочных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 работ. 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8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Учет всей актуальной информации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результаты интерпретации материалов ГИС в интервале продуктивных пластов;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геолого-геофизические планшеты по скважинам;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карты ОГ.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­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1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1) Сбор геолого-геофизической и промысловой информации для ОПЗ УВ: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оценка полноты и анализ качества переданной Заказчиком информации;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анализ данных лабораторных исследований флюидов;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анализ данных опробования, испытания и промысловых исследований скважин;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2) Обработка и интерпретация данных ГИС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пробуренных  скважин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Обработка и интерпретация данных ГИС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пробуренных  скважин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сопоставление результатов с данными анализа керна и результатами испытаний скважин;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сопоставление полученных результатов с результатами предыдущих обработок;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контроль качества;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создание планшетов ГИС. 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3) Анализ результатов сейсморазведочных работ: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Оценка качества 2D и 3D сейсморазведочных работ;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актуализация сейсмогеологической модели.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2. Актуализация двумерной и трехмерной геологической модели пластов.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Оперативный подсчет геологических запасов.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Оформление материалов оперативного изменения состояния запасов УВ.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8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Учет всей актуальной информации 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­- схемы обоснования ВНК / ГНК / ГВК по залежам;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трёхмерная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геологическая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модель продуктивных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пластов в ПО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br/>
              <w:t xml:space="preserve">T-Navigator / Petrel;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актуальная двумерная геологическая модель продуктивных пластов;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подсчетные планы по продуктивным пластам в формате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ipr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и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pdf</w:t>
            </w:r>
            <w:r>
              <w:rPr>
                <w:rFonts w:ascii="Arial" w:hAnsi="Arial" w:cs="Arial"/>
                <w:sz w:val="22"/>
                <w:szCs w:val="22"/>
              </w:rPr>
              <w:t xml:space="preserve">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таблицы подсчета НГЗ УВ по выделенным продуктивным объектам;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таблицы сопоставления запасов, полученные по ГМ 2Д и 3Д;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таблицы сопоставления вновь подсчитанных запасов с числящимися на государственном балансе в формате xls /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xls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x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отчёт по ОПЗ в электронном виде в формате doc / docx.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1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1) Построение трехмерных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геологических моделей резервуаров продуктивных пластов в программном комплексе по данным интерпретации ГИС и результатам интерпретации 2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D</w:t>
            </w:r>
            <w:r>
              <w:rPr>
                <w:rFonts w:ascii="Arial" w:hAnsi="Arial" w:cs="Arial"/>
                <w:sz w:val="22"/>
                <w:szCs w:val="22"/>
              </w:rPr>
              <w:t xml:space="preserve">/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3D-сейсморазведки;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2) Построение двумерных геологических моделей: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проведение детальной корреляции продуктивных отложений с целью более обоснованного выделения единичных объектов подсчета запасов;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 • обоснование ВНК / ГНК / ГВК по залежам, построение схем обоснования контактов;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построение структурных карт кровли и подошвы пород-коллекторов продуктивных пластов, карт эффективных и эффективных нефтегазонасыщенных толщин, коэффициентов открытой пористости и нефтегазонасыщенности пород-коллекторов;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передача двумерных моделей для апробации Заказчику.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оценка геологических запасов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углеводородов и сопоставление с результатами подсчета по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двумерным моделям.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3) Оперативный подсчет запасов УВ: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обоснование подсчетных параметров;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обоснование категорий запасов по каждому объекту пересчета;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подсчет начальных геологических запасов УВ по выделенным объектам подсчета;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сравнение вновь подсчитанных запасов с числящимися на государственном балансе.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4) Оформление отчета по ОПЗ УВ: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текст по ОПЗ;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графические, текстовые и табличные материалы, иллюстрирующие изменения состояния запасов, а именно: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подсчетные планы по всем объектам подсчета с нанесением границ ЛУ и контуров запасов, ранее учтенных в государственном балансе и вновь подсчитанных;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карты эффективных, эффективных нефте- и газонасыщенных толщин;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геологические разрезы, схемы корреляции;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геолого-геофизические характеристики разреза по скважинам (планшеты);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таблицы ГИС – результаты обработки геолого-геофизической информации с целью определения подсчетных параметров пласта;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сейсмические материалы, подтверждающие геологическую модель залежей;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таблицы начальных геологических и извлекаемых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запасов, подсчетных параметров;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таблицы учтенных и представленных подсчетных параметров и запасов по категориям;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таблицы испытаний и результата ввода скважин в эксплуатацию.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3) Внутренняя экспертиза НТЦ. Согласование отчета на НТС Заказчика.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3. </w:t>
            </w:r>
            <w:r>
              <w:rPr>
                <w:rFonts w:ascii="Arial" w:hAnsi="Arial" w:cs="Arial"/>
                <w:sz w:val="22"/>
                <w:szCs w:val="22"/>
              </w:rPr>
              <w:t xml:space="preserve">Согласование ОПЗ на НТС Заказчика (в т.ч. НТС дочернего общества ПАО «Газпром», ООО «Газпром ВНИИГАЗ» и Комиссии газовой промышленности по разработке месторождений и использованию недр) 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8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Учет всей актуальной информации по месторождению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отчет по ОПЗ в электронном виде в формате doc / docx;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сопроводительные документы в формате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pdf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;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- презентация с результатами работ.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1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­1) Подготовка необходимого пакета документов для регистрации отчета и проведения государственной экспертизы.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2) Передача материалов ОПЗ на государственную экспертизу в ФБУ «ГКЗ» и сопровождение ее  прохождения.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4. Подготовка пакета документов и передача отчета на экспертизу в ФБУ «ГКЗ». Защита отчета в ФБУ «ГКЗ». Устранение замечаний госэкспертизы. Оформление итогового отчета 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и  передача</w:t>
            </w: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 Заказчику, в фонды. Актуализация паспорта месторождения.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8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Передача итогового комплекта отчёта с сопроводительной документацией, электронная база проекта, проект подсчета запасов 2Д в ПО Isoline, </w:t>
            </w:r>
            <w:r/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геологическая модель 3Д продуктивных пластов в ПО T-Navigator / Petrel, протокол ГКЗ, паспорт месторождения, презентация.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1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­1) Участие в рассмотрении материалов ОПЗ на заседании ФБУ ГКЗ. 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2) Завершение работ с госорганами, подготовка Отчёта по ОПЗ по итогам рассмотрения в ГКЗ. 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3) Актуализация паспорта месторождения при необходимости.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4) Итоговый отчёт направляется на бумажном и электронном носителях: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в ФГБУ «Росгеолфонд» (1 экз.);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Территориальные фонды геологической информации (1   экз.);</w:t>
            </w:r>
            <w:r>
              <w:rPr>
                <w:rFonts w:ascii="Arial" w:hAnsi="Arial" w:cs="Arial"/>
                <w:sz w:val="22"/>
                <w:szCs w:val="22"/>
              </w:rPr>
            </w:r>
          </w:p>
          <w:p>
            <w:pPr>
              <w:ind w:firstLine="0"/>
              <w:jc w:val="left"/>
              <w:spacing w:line="240" w:lineRule="auto"/>
              <w:tabs>
                <w:tab w:val="left" w:pos="340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• Заказчику (1 экз.).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contextualSpacing/>
        <w:ind w:firstLine="709"/>
        <w:spacing w:line="240" w:lineRule="auto"/>
        <w:tabs>
          <w:tab w:val="left" w:pos="1276" w:leader="none"/>
        </w:tabs>
        <w:rPr>
          <w:rFonts w:ascii="Arial" w:hAnsi="Arial" w:cs="Arial"/>
        </w:rPr>
      </w:pPr>
      <w:r>
        <w:rPr>
          <w:rFonts w:ascii="Arial" w:hAnsi="Arial" w:cs="Arial"/>
          <w:b/>
          <w:lang w:eastAsia="ru-RU"/>
        </w:rPr>
        <w:t xml:space="preserve">Примечание: *</w:t>
      </w:r>
      <w:r>
        <w:rPr>
          <w:rFonts w:ascii="Arial" w:hAnsi="Arial" w:cs="Arial"/>
          <w:i/>
          <w:lang w:eastAsia="ru-RU"/>
        </w:rPr>
        <w:t xml:space="preserve"> </w:t>
      </w:r>
      <w:r>
        <w:rPr>
          <w:rFonts w:ascii="Arial" w:hAnsi="Arial" w:cs="Arial"/>
          <w:i/>
          <w:lang w:eastAsia="ru-RU"/>
        </w:rPr>
        <w:t xml:space="preserve">В</w:t>
      </w:r>
      <w:r>
        <w:rPr>
          <w:rFonts w:ascii="Arial" w:hAnsi="Arial" w:cs="Arial"/>
          <w:i/>
          <w:lang w:eastAsia="ru-RU"/>
        </w:rPr>
        <w:t xml:space="preserve"> случае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привлечения подрядных организаций (субисполнителей)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для выполнения работ, Исполнитель осуществляет сопровождение выполнения работ на всех этапах, оказывает методическую поддержку, подготовку исходных данных, выработку и согласование решений по проекту в интересах Заказчика (недропользователя).  </w:t>
      </w:r>
      <w:r>
        <w:rPr>
          <w:rFonts w:ascii="Arial" w:hAnsi="Arial" w:cs="Arial"/>
        </w:rPr>
      </w:r>
    </w:p>
    <w:p>
      <w:pPr>
        <w:pStyle w:val="923"/>
        <w:ind w:left="0" w:firstLine="709"/>
        <w:spacing w:line="240" w:lineRule="auto"/>
        <w:tabs>
          <w:tab w:val="left" w:pos="1276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firstLine="709"/>
        <w:spacing w:line="240" w:lineRule="auto"/>
        <w:tabs>
          <w:tab w:val="left" w:pos="1276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5. Условие выполнения работы:</w:t>
      </w:r>
      <w:r>
        <w:rPr>
          <w:rFonts w:ascii="Arial" w:hAnsi="Arial" w:cs="Arial"/>
          <w:b/>
        </w:rPr>
      </w:r>
    </w:p>
    <w:p>
      <w:pPr>
        <w:ind w:firstLine="709"/>
        <w:spacing w:line="240" w:lineRule="auto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Работы по данному Техническому заданию выполняются на основе следующей исходной информации от Заказчика: 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29"/>
        </w:numPr>
        <w:ind w:left="0" w:firstLine="709"/>
        <w:spacing w:line="240" w:lineRule="auto"/>
        <w:widowControl w:val="off"/>
        <w:tabs>
          <w:tab w:val="left" w:pos="284" w:leader="none"/>
          <w:tab w:val="left" w:pos="851" w:leader="none"/>
          <w:tab w:val="left" w:pos="170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Данные отчётов по подсчёту и пересчёту запасов УВ (ПЗ) и оперативных изменений запасов (ОПЗ);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29"/>
        </w:numPr>
        <w:ind w:left="0" w:firstLine="709"/>
        <w:spacing w:line="240" w:lineRule="auto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Приемка каждого выполненного этапа производится в соответствии с требованиями настоящего Технического задания в сроки, установленные Календарным планом (Приложение № 2);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29"/>
        </w:numPr>
        <w:ind w:left="0" w:firstLine="709"/>
        <w:spacing w:line="240" w:lineRule="auto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Для выполнения работ рекомендуется использ</w:t>
      </w:r>
      <w:r>
        <w:rPr>
          <w:rFonts w:ascii="Arial" w:hAnsi="Arial" w:eastAsia="Arial" w:cs="Arial"/>
        </w:rPr>
        <w:t xml:space="preserve">овать специализированное программное обеспечение Isoline и T-Navigator / Petrel – для геологических моделей 3Д, актуальное на момент выполнения работ версии. Возможность использования других видов ПО согласовывается с Заказчиком до начала выполнения работ.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23"/>
        </w:numPr>
        <w:ind w:left="0" w:firstLine="709"/>
        <w:spacing w:line="240" w:lineRule="auto"/>
        <w:tabs>
          <w:tab w:val="left" w:pos="992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 завершении каждого этапа работ Исполнитель представляет Заказчику Акт, подписанный Исполнителем в двух экземплярах, с приложением к нему необходимого количества документов и иных материалов, предусмотренных настоящим Техническим Заданием.</w:t>
      </w:r>
      <w:r>
        <w:rPr>
          <w:rFonts w:ascii="Arial" w:hAnsi="Arial" w:cs="Arial"/>
        </w:rPr>
      </w:r>
    </w:p>
    <w:p>
      <w:pPr>
        <w:pStyle w:val="923"/>
        <w:ind w:left="0" w:firstLine="709"/>
        <w:spacing w:line="240" w:lineRule="auto"/>
        <w:tabs>
          <w:tab w:val="left" w:pos="1276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>
      <w:pPr>
        <w:ind w:firstLine="709"/>
        <w:spacing w:line="240" w:lineRule="auto"/>
        <w:tabs>
          <w:tab w:val="left" w:pos="1276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6. Требования к документации:</w:t>
      </w:r>
      <w:r>
        <w:rPr>
          <w:rFonts w:ascii="Arial" w:hAnsi="Arial" w:cs="Arial"/>
          <w:b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7.1. Результатом работ являются информационные отчеты с описанием выполненных работ и полученных данных, перечисленных в п. 4, </w:t>
      </w:r>
      <w:r>
        <w:rPr>
          <w:rFonts w:ascii="Arial" w:hAnsi="Arial" w:eastAsia="Arial" w:cs="Arial"/>
        </w:rPr>
        <w:t xml:space="preserve">предоставляемые  Заказчику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cs="Arial"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7.2. Сроки выполнения работ приводятся в Приложении 2 к настоящему заказу «Календарный план». </w:t>
      </w:r>
      <w:r>
        <w:rPr>
          <w:rFonts w:ascii="Arial" w:hAnsi="Arial" w:cs="Arial"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 Требования к оформлению отчетных материалов.</w:t>
      </w:r>
      <w:r>
        <w:rPr>
          <w:rFonts w:ascii="Arial" w:hAnsi="Arial" w:cs="Arial"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7.3.1. </w:t>
      </w:r>
      <w:r>
        <w:rPr>
          <w:rFonts w:ascii="Arial" w:hAnsi="Arial" w:eastAsia="Arial" w:cs="Arial"/>
        </w:rPr>
        <w:tab/>
        <w:t xml:space="preserve">Текстовая часть отчета предоставляется как в редактируемом формате файлов (DOC/DOCX), так и в виде отсканированного образа всех страниц, или страниц с подписями и печатями (PDF). </w:t>
      </w:r>
      <w:r>
        <w:rPr>
          <w:rFonts w:ascii="Arial" w:hAnsi="Arial" w:cs="Arial"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7.3.2. Табличные приложения в сдаваемой цифровой версии должны быть представлены в редактируемой версии файла (XLS/XLSX). </w:t>
      </w:r>
      <w:r>
        <w:rPr>
          <w:rFonts w:ascii="Arial" w:hAnsi="Arial" w:cs="Arial"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7.3.3. Графические приложения должны быть представлены в векторном формате (PDF). </w:t>
      </w:r>
      <w:r>
        <w:rPr>
          <w:rFonts w:ascii="Arial" w:hAnsi="Arial" w:cs="Arial"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7.3.4. Сопроводи</w:t>
      </w:r>
      <w:r>
        <w:rPr>
          <w:rFonts w:ascii="Arial" w:hAnsi="Arial" w:eastAsia="Arial" w:cs="Arial"/>
        </w:rPr>
        <w:t xml:space="preserve">тельная документация, письма и акты, подтверждающие факт сдачи материалов в государственные фонды геологической информации, презентационные материалы – в форматах, обеспечивающих возможность чтения распространенным прикладным ПО (MS Office/ PDF/TIFF/ JPG).</w:t>
      </w:r>
      <w:r>
        <w:rPr>
          <w:rFonts w:ascii="Arial" w:hAnsi="Arial" w:cs="Arial"/>
        </w:rPr>
      </w:r>
    </w:p>
    <w:p>
      <w:pPr>
        <w:contextualSpacing/>
        <w:ind w:firstLine="709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7.3.5. Комплекты результирующих данных должны содержать: 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0"/>
        </w:numPr>
        <w:ind w:left="1134" w:firstLine="0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цифровую геологическую модель 2Д продуктивных пластов в ПО </w:t>
      </w:r>
      <w:r>
        <w:rPr>
          <w:rFonts w:ascii="Arial" w:hAnsi="Arial" w:eastAsia="Arial" w:cs="Arial"/>
          <w:lang w:val="en-US"/>
        </w:rPr>
        <w:t xml:space="preserve">Isoline</w:t>
      </w:r>
      <w:r>
        <w:rPr>
          <w:rFonts w:ascii="Arial" w:hAnsi="Arial" w:eastAsia="Arial" w:cs="Arial"/>
        </w:rPr>
        <w:t xml:space="preserve">, в т.ч. описание модели;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0"/>
        </w:numPr>
        <w:ind w:left="1134" w:firstLine="0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цифровую геологическую модель 3Д продуктивных пластов в ПО</w:t>
      </w:r>
      <w:r>
        <w:rPr>
          <w:rFonts w:ascii="Arial" w:hAnsi="Arial" w:eastAsia="Arial" w:cs="Arial"/>
        </w:rPr>
        <w:br/>
        <w:t xml:space="preserve">T-Navigator / Petrel, в т.ч. описание модели;</w:t>
      </w:r>
      <w:r>
        <w:rPr>
          <w:rFonts w:ascii="Arial" w:hAnsi="Arial" w:cs="Arial"/>
        </w:rPr>
      </w:r>
    </w:p>
    <w:p>
      <w:pPr>
        <w:pStyle w:val="923"/>
        <w:ind w:left="1134" w:firstLine="0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–</w:t>
      </w:r>
      <w:r>
        <w:rPr>
          <w:rFonts w:ascii="Arial" w:hAnsi="Arial" w:eastAsia="Arial" w:cs="Arial"/>
        </w:rPr>
        <w:tab/>
        <w:t xml:space="preserve">реестр скважин, участвовавших в проекте ПЗ/ОПЗ, с указанием номера скважины, уникального кода скважины (UWI) в формате XLS/XLSX;</w:t>
      </w:r>
      <w:r>
        <w:rPr>
          <w:rFonts w:ascii="Arial" w:hAnsi="Arial" w:cs="Arial"/>
        </w:rPr>
      </w:r>
    </w:p>
    <w:p>
      <w:pPr>
        <w:pStyle w:val="923"/>
        <w:ind w:left="1134" w:firstLine="0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–</w:t>
      </w:r>
      <w:r>
        <w:rPr>
          <w:rFonts w:ascii="Arial" w:hAnsi="Arial" w:eastAsia="Arial" w:cs="Arial"/>
        </w:rPr>
        <w:tab/>
        <w:t xml:space="preserve">реестр новых скважин с интерпретацией в формате XLS/XLSX;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0"/>
        </w:numPr>
        <w:ind w:left="1134" w:firstLine="0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интерпретация новых скважин в форматах LAS, XLS/XLSX;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0"/>
        </w:numPr>
        <w:ind w:left="1134" w:firstLine="0"/>
        <w:spacing w:line="240" w:lineRule="auto"/>
        <w:tabs>
          <w:tab w:val="left" w:pos="1559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электронная база проекта, получаемая в процессе подсчета запасов и предст</w:t>
      </w:r>
      <w:r>
        <w:rPr>
          <w:rFonts w:ascii="Arial" w:hAnsi="Arial" w:eastAsia="Arial" w:cs="Arial"/>
        </w:rPr>
        <w:t xml:space="preserve">авляющий собой полное описание полученных геологических результатов и поясняющее примененные методики подсчета запасов, в т.ч. линии и контура проекта (формат IRAP RMS, ASCII), файлы сеток, разломов и карт 2D проекта с шагом 50х50 (формат IRAP RMS, ASCII).</w:t>
      </w:r>
      <w:r>
        <w:rPr>
          <w:rFonts w:ascii="Arial" w:hAnsi="Arial" w:cs="Arial"/>
        </w:rPr>
      </w:r>
    </w:p>
    <w:p>
      <w:pPr>
        <w:pStyle w:val="943"/>
        <w:ind w:left="0" w:firstLine="709"/>
        <w:jc w:val="both"/>
        <w:spacing w:after="0" w:line="240" w:lineRule="auto"/>
        <w:rPr>
          <w:rFonts w:ascii="Arial" w:hAnsi="Arial" w:cs="Arial"/>
          <w:bCs/>
          <w:sz w:val="24"/>
          <w:szCs w:val="24"/>
          <w:highlight w:val="yellow"/>
        </w:rPr>
      </w:pPr>
      <w:r>
        <w:rPr>
          <w:rFonts w:ascii="Arial" w:hAnsi="Arial" w:cs="Arial"/>
          <w:bCs/>
          <w:sz w:val="24"/>
          <w:szCs w:val="24"/>
          <w:highlight w:val="yellow"/>
        </w:rPr>
      </w:r>
      <w:r>
        <w:rPr>
          <w:rFonts w:ascii="Arial" w:hAnsi="Arial" w:cs="Arial"/>
          <w:bCs/>
          <w:sz w:val="24"/>
          <w:szCs w:val="24"/>
          <w:highlight w:val="yellow"/>
        </w:rPr>
      </w:r>
    </w:p>
    <w:p>
      <w:pPr>
        <w:ind w:left="928" w:firstLine="0"/>
        <w:spacing w:line="240" w:lineRule="auto"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7. Требования к работе:</w:t>
      </w:r>
      <w:r>
        <w:rPr>
          <w:rFonts w:ascii="Arial" w:hAnsi="Arial" w:cs="Arial"/>
          <w:b/>
        </w:rPr>
      </w:r>
    </w:p>
    <w:p>
      <w:pPr>
        <w:ind w:firstLine="709"/>
        <w:spacing w:line="240" w:lineRule="auto"/>
        <w:tabs>
          <w:tab w:val="left" w:pos="113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Разработанная методика обработки и интерпретации материалов ГИС, а также полученные в итоге подсчётные параметры и собственно пересчет запасов УВ должны отвечать требованиям ФБУ «ГКЗ», включая: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Закон РФ от 21.02.1992 № 2395-1 «О недрах»;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Постановле</w:t>
      </w:r>
      <w:r>
        <w:rPr>
          <w:rFonts w:ascii="Arial" w:hAnsi="Arial" w:eastAsia="Arial" w:cs="Arial"/>
        </w:rPr>
        <w:t xml:space="preserve">ние правительства РФ от 01.03.2023 г. №355 «О государственной экспертизе запасов полезных ископаемых и подземных вод, геологической информации о предоставляемых в пользование участках недр, об определении размера и порядка взимания платы за ее проведение»;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«Классификация запасов и ресурсов нефти и горючих газов. Нормативно-методическая документация». – М: ЕСОЭН.2018, под ред. А.Н. Шабанова;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применению классификации запасов и ресурсов нефти и горючих газов», утв. Распоряжением МПР №3-р от 01.02.2016 г. и приказом МПР от 01.11.2013 №477;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подсчёту геологических запасов нефти и газа объёмным методом», под ред. Петерсилье В.И. и др., Москва-Тверь, 2003 г.;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подсчёту геологических запасов нефти и газа объёмным методом», Москва, 2025 г.;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Разъяснение по заполнению таблиц к заключению государственной экспертизы по подсчету запасов и оперативному изменению состояния запасов УВС», протокол ФАН от 08.11.2024 г. №03-17/8-пр;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Рекомендации по «Структуре и организации проведения государственной экспертизы оперативного изменения состояния запасов УВС» (Приложение 1 к приказу ФБУ «ГКЗ» №01-9/100-орг. от 02.02.2015 г.);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«Требования к составу и правилам оформления представляемых на государственную экспертизу материалов по подсчету запасов нефти и горючих газов», утвержденные приказом МПР № 564 от 28.12.2015 г.;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Приказ МПР от 29.02.2016 г. № 54 «Об утверждении требований к содержанию геологической информации о недрах и формы ее представления» (Зарегистрировано в Минюсте РФ 25.03.2016 № 41560);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«Рекомендации к методике построения геологических моделей при подсчете запасов углеводородного сырья», разработанные ФБУ «ГКЗ» и одобренные решением Министерства природных ресурсов и экологии Российской Федерации протокол № 6 от 10.02.2015 г.;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Приказ МПР №110/02 от 17.03.2025 г. Об утверждении «Правил разработки месторождения углеводородного сырья»;</w:t>
      </w:r>
      <w:r>
        <w:rPr>
          <w:rFonts w:ascii="Arial" w:hAnsi="Arial" w:cs="Arial"/>
        </w:rPr>
      </w:r>
    </w:p>
    <w:p>
      <w:pPr>
        <w:pStyle w:val="923"/>
        <w:numPr>
          <w:ilvl w:val="0"/>
          <w:numId w:val="31"/>
        </w:numPr>
        <w:ind w:left="0" w:firstLine="708"/>
        <w:spacing w:line="240" w:lineRule="auto"/>
        <w:tabs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Стандарт компании ПАО ГПН СК-01.01.04.01.03 «Планирование, разработка и утверждение материалов по подсчету запасов углеводородов».</w:t>
      </w:r>
      <w:r>
        <w:rPr>
          <w:rFonts w:ascii="Arial" w:hAnsi="Arial" w:cs="Arial"/>
        </w:rPr>
      </w:r>
    </w:p>
    <w:p>
      <w:pPr>
        <w:numPr>
          <w:ilvl w:val="0"/>
          <w:numId w:val="6"/>
        </w:numPr>
        <w:ind w:left="0" w:firstLine="708"/>
        <w:spacing w:line="240" w:lineRule="auto"/>
        <w:widowControl w:val="off"/>
        <w:tabs>
          <w:tab w:val="clear" w:pos="1068" w:leader="none"/>
          <w:tab w:val="left" w:pos="1134" w:leader="none"/>
          <w:tab w:val="left" w:pos="127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Система координат и параметры проекции, используемые для выполнения работ, передачи исходных и результирующих данных, определяются Заказчиком при передаче исходных данных Исполнителю.</w:t>
      </w:r>
      <w:r>
        <w:rPr>
          <w:rFonts w:ascii="Arial" w:hAnsi="Arial" w:cs="Arial"/>
        </w:rPr>
      </w:r>
    </w:p>
    <w:p>
      <w:pPr>
        <w:ind w:left="709"/>
        <w:jc w:val="left"/>
        <w:spacing w:line="240" w:lineRule="auto"/>
        <w:widowControl w:val="off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709"/>
        <w:jc w:val="left"/>
        <w:spacing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  <w:lang w:eastAsia="ru-RU"/>
        </w:rPr>
        <w:t xml:space="preserve">8. Контроль качества: </w:t>
      </w:r>
      <w:r>
        <w:rPr>
          <w:rFonts w:ascii="Arial" w:hAnsi="Arial" w:cs="Arial"/>
          <w:b/>
          <w:color w:val="000000"/>
        </w:rPr>
      </w:r>
    </w:p>
    <w:p>
      <w:pPr>
        <w:ind w:firstLine="709"/>
        <w:spacing w:line="240" w:lineRule="auto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Приемка каждого выполненного этапа осуществляется с оформлением акта сдачи-приемки выполненных работ. Перечень документации и иных материалов, подлежащих оформлению и сдаче на отдельных этапах выполнения работ, определяется настоящим Техническим Заданием.</w:t>
      </w:r>
      <w:r>
        <w:rPr>
          <w:rFonts w:ascii="Arial" w:hAnsi="Arial" w:cs="Arial"/>
        </w:rPr>
      </w:r>
    </w:p>
    <w:p>
      <w:pPr>
        <w:ind w:firstLine="709"/>
        <w:spacing w:line="240" w:lineRule="auto"/>
        <w:widowControl w:val="off"/>
        <w:tabs>
          <w:tab w:val="left" w:pos="1120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Разработанная методика обработки и интерпретации материалов ГИС, а также полученные в итоге подсчётные парам</w:t>
      </w:r>
      <w:bookmarkStart w:id="1" w:name="undefined"/>
      <w:r/>
      <w:bookmarkEnd w:id="1"/>
      <w:r>
        <w:rPr>
          <w:rFonts w:ascii="Arial" w:hAnsi="Arial" w:eastAsia="Arial" w:cs="Arial"/>
        </w:rPr>
        <w:t xml:space="preserve">етры должны отвечать требованиям ГКЗ, в том числе следующим документам:</w:t>
      </w:r>
      <w:r>
        <w:rPr>
          <w:rFonts w:ascii="Arial" w:hAnsi="Arial" w:cs="Arial"/>
        </w:rPr>
      </w:r>
    </w:p>
    <w:p>
      <w:pPr>
        <w:pStyle w:val="923"/>
        <w:numPr>
          <w:ilvl w:val="1"/>
          <w:numId w:val="33"/>
        </w:numPr>
        <w:ind w:left="0" w:firstLine="709"/>
        <w:spacing w:line="240" w:lineRule="auto"/>
        <w:tabs>
          <w:tab w:val="left" w:pos="1134" w:leader="none"/>
        </w:tabs>
        <w:rPr>
          <w:rFonts w:ascii="Arial" w:hAnsi="Arial" w:cs="Arial"/>
          <w:bCs/>
        </w:rPr>
      </w:pPr>
      <w:r>
        <w:rPr>
          <w:rFonts w:ascii="Arial" w:hAnsi="Arial" w:eastAsia="Arial" w:cs="Arial"/>
          <w:bCs/>
        </w:rPr>
        <w:t xml:space="preserve">ГОСТ Р 53579-2009 </w:t>
      </w:r>
      <w:r>
        <w:rPr>
          <w:rFonts w:ascii="Arial" w:hAnsi="Arial" w:eastAsia="Arial" w:cs="Arial"/>
        </w:rPr>
        <w:t xml:space="preserve">"</w:t>
      </w:r>
      <w:r>
        <w:rPr>
          <w:rFonts w:ascii="Arial" w:hAnsi="Arial" w:eastAsia="Arial" w:cs="Arial"/>
          <w:bCs/>
        </w:rPr>
        <w:t xml:space="preserve">Система </w:t>
      </w:r>
      <w:r>
        <w:rPr>
          <w:rFonts w:ascii="Arial" w:hAnsi="Arial" w:eastAsia="Arial" w:cs="Arial"/>
        </w:rPr>
        <w:t xml:space="preserve">стандартов</w:t>
      </w:r>
      <w:r>
        <w:rPr>
          <w:rFonts w:ascii="Arial" w:hAnsi="Arial" w:eastAsia="Arial" w:cs="Arial"/>
          <w:bCs/>
        </w:rPr>
        <w:t xml:space="preserve"> в области геологического изучения недр (СОГИН). Отчёт о </w:t>
      </w:r>
      <w:r>
        <w:rPr>
          <w:rFonts w:ascii="Arial" w:hAnsi="Arial" w:eastAsia="Arial" w:cs="Arial"/>
        </w:rPr>
        <w:t xml:space="preserve">геологическом</w:t>
      </w:r>
      <w:r>
        <w:rPr>
          <w:rFonts w:ascii="Arial" w:hAnsi="Arial" w:eastAsia="Arial" w:cs="Arial"/>
          <w:bCs/>
        </w:rPr>
        <w:t xml:space="preserve"> изучении недр. Общие требования к содержанию и оформлению";</w:t>
      </w:r>
      <w:r>
        <w:rPr>
          <w:rFonts w:ascii="Arial" w:hAnsi="Arial" w:cs="Arial"/>
          <w:bCs/>
        </w:rPr>
      </w:r>
    </w:p>
    <w:p>
      <w:pPr>
        <w:pStyle w:val="923"/>
        <w:numPr>
          <w:ilvl w:val="1"/>
          <w:numId w:val="33"/>
        </w:numPr>
        <w:ind w:left="0" w:firstLine="709"/>
        <w:spacing w:line="240" w:lineRule="auto"/>
        <w:tabs>
          <w:tab w:val="left" w:pos="1134" w:leader="none"/>
        </w:tabs>
        <w:rPr>
          <w:rFonts w:ascii="Arial" w:hAnsi="Arial" w:cs="Arial"/>
          <w:bCs/>
        </w:rPr>
      </w:pPr>
      <w:r>
        <w:rPr>
          <w:rFonts w:ascii="Arial" w:hAnsi="Arial" w:eastAsia="Arial" w:cs="Arial"/>
          <w:bCs/>
        </w:rPr>
        <w:t xml:space="preserve">Классификация запасов и ресурсов нефти и горючих газов. Нормативно-методическая документация. -М: ЕСОЭН, 2016, под ред. А.Н. Шабанова;</w:t>
      </w:r>
      <w:r>
        <w:rPr>
          <w:rFonts w:ascii="Arial" w:hAnsi="Arial" w:cs="Arial"/>
          <w:bCs/>
        </w:rPr>
      </w:r>
    </w:p>
    <w:p>
      <w:pPr>
        <w:ind w:firstLine="709"/>
        <w:spacing w:line="240" w:lineRule="auto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МД М-01.01.10.03-01 ПАО «Газпром нефть» «Требования к форматам данных подсчета запасов УВС (ПЗ и ОПЗ)».</w:t>
      </w:r>
      <w:r>
        <w:rPr>
          <w:rFonts w:ascii="Arial" w:hAnsi="Arial" w:cs="Arial"/>
        </w:rPr>
      </w:r>
    </w:p>
    <w:p>
      <w:pPr>
        <w:ind w:firstLine="709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709"/>
        <w:jc w:val="left"/>
        <w:spacing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  <w:lang w:eastAsia="ru-RU"/>
        </w:rPr>
        <w:t xml:space="preserve">9. Условия привлечения субподрядчиков:</w:t>
      </w:r>
      <w:r>
        <w:rPr>
          <w:rFonts w:ascii="Arial" w:hAnsi="Arial" w:cs="Arial"/>
          <w:b/>
          <w:color w:val="000000"/>
        </w:rPr>
      </w:r>
    </w:p>
    <w:p>
      <w:pPr>
        <w:ind w:firstLine="709"/>
        <w:spacing w:line="240" w:lineRule="auto"/>
        <w:rPr>
          <w:rFonts w:ascii="Arial" w:hAnsi="Arial" w:eastAsia="Arial" w:cs="Arial"/>
        </w:rPr>
      </w:pPr>
      <w:r>
        <w:rPr>
          <w:rFonts w:ascii="Arial" w:hAnsi="Arial" w:cs="Arial"/>
          <w:lang w:eastAsia="ru-RU"/>
        </w:rPr>
        <w:t xml:space="preserve">По согласованию с Заказчиком Исполнитель вправе привлекать Субисполнителей к выполнению работ. </w:t>
      </w:r>
      <w:r>
        <w:rPr>
          <w:rFonts w:ascii="Arial" w:hAnsi="Arial" w:eastAsia="Arial" w:cs="Arial"/>
        </w:rPr>
        <w:t xml:space="preserve">Исполнитель несет ответственность за исполнение или ненадлежащее исполнение обязательств этими третьими лицами как за свои собственные действия.</w:t>
      </w:r>
      <w:r>
        <w:rPr>
          <w:rFonts w:ascii="Arial" w:hAnsi="Arial" w:eastAsia="Arial" w:cs="Arial"/>
        </w:rPr>
      </w:r>
    </w:p>
    <w:p>
      <w:pPr>
        <w:ind w:firstLine="709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709"/>
        <w:jc w:val="left"/>
        <w:spacing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  <w:lang w:eastAsia="ru-RU"/>
        </w:rPr>
        <w:t xml:space="preserve">10. Иные условия выполнения работ:</w:t>
      </w:r>
      <w:r>
        <w:rPr>
          <w:rFonts w:ascii="Arial" w:hAnsi="Arial" w:cs="Arial"/>
          <w:b/>
          <w:color w:val="000000"/>
        </w:rPr>
      </w:r>
    </w:p>
    <w:p>
      <w:pPr>
        <w:ind w:firstLine="709"/>
        <w:spacing w:line="240" w:lineRule="auto"/>
        <w:widowControl w:val="off"/>
        <w:rPr>
          <w:rFonts w:ascii="Arial" w:hAnsi="Arial" w:cs="Arial"/>
        </w:rPr>
      </w:pPr>
      <w:r>
        <w:rPr>
          <w:rFonts w:ascii="Arial" w:hAnsi="Arial" w:cs="Arial"/>
          <w:lang w:eastAsia="ru-RU"/>
        </w:rPr>
        <w:t xml:space="preserve">Иные условия выполнения работ по данному Техническому заданию отсутствуют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ind w:left="709" w:firstLine="360"/>
        <w:spacing w:line="240" w:lineRule="auto"/>
        <w:widowControl w:val="off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709" w:firstLine="360"/>
        <w:spacing w:line="240" w:lineRule="auto"/>
        <w:widowControl w:val="off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44"/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 xml:space="preserve">ПОДПИСИ СТОРОН:</w:t>
      </w:r>
      <w:r>
        <w:rPr>
          <w:rFonts w:ascii="Arial" w:hAnsi="Arial" w:cs="Arial"/>
          <w:iCs/>
        </w:rPr>
      </w:r>
      <w:r>
        <w:rPr>
          <w:rFonts w:ascii="Arial" w:hAnsi="Arial" w:cs="Arial"/>
          <w:iCs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4890"/>
        <w:gridCol w:w="5033"/>
      </w:tblGrid>
      <w:tr>
        <w:tblPrEx/>
        <w:trPr>
          <w:cantSplit/>
          <w:trHeight w:val="1247"/>
        </w:trPr>
        <w:tc>
          <w:tcPr>
            <w:tcW w:w="4890" w:type="dxa"/>
            <w:textDirection w:val="lrTb"/>
            <w:noWrap w:val="false"/>
          </w:tcPr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  <w:bCs/>
              </w:rPr>
              <w:suppressLineNumbers w:val="0"/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  <w:bCs/>
              </w:rPr>
              <w:suppressLineNumbers w:val="0"/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  <w:bCs/>
              </w:rPr>
              <w:suppressLineNumbers w:val="0"/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</w:rPr>
              <w:suppressLineNumbers w:val="0"/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5033" w:type="dxa"/>
            <w:textDirection w:val="lrTb"/>
            <w:noWrap w:val="false"/>
          </w:tcPr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</w:rPr>
              <w:suppressLineNumbers w:val="0"/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  <w:bCs/>
              </w:rPr>
              <w:suppressLineNumbers w:val="0"/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  <w:bCs/>
              </w:rPr>
              <w:suppressLineNumbers w:val="0"/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Cs/>
              </w:rPr>
              <w:suppressLineNumbers w:val="0"/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44"/>
              <w:ind w:firstLine="0"/>
              <w:keepNext/>
              <w:spacing w:line="276" w:lineRule="auto"/>
              <w:rPr>
                <w:rFonts w:ascii="Arial" w:hAnsi="Arial" w:cs="Arial"/>
                <w:b/>
              </w:rPr>
              <w:suppressLineNumbers w:val="0"/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ind w:firstLine="0"/>
        <w:spacing w:line="240" w:lineRule="auto"/>
        <w:rPr>
          <w:rFonts w:ascii="Arial" w:hAnsi="Arial" w:cs="Arial"/>
          <w:highlight w:val="yellow"/>
          <w:lang w:eastAsia="ru-RU"/>
        </w:rPr>
      </w:pPr>
      <w:r>
        <w:rPr>
          <w:rFonts w:ascii="Arial" w:hAnsi="Arial" w:cs="Arial"/>
          <w:highlight w:val="yellow"/>
          <w:lang w:eastAsia="ru-RU"/>
        </w:rPr>
      </w:r>
      <w:r>
        <w:rPr>
          <w:rFonts w:ascii="Arial" w:hAnsi="Arial" w:cs="Arial"/>
          <w:highlight w:val="yellow"/>
          <w:lang w:eastAsia="ru-RU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134" w:header="708" w:footer="708" w:gutter="0"/>
      <w:pgNumType w:start="1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SimSun">
    <w:panose1 w:val="02010600030101010101"/>
  </w:font>
  <w:font w:name="Tahoma">
    <w:panose1 w:val="020B0604030504040204"/>
  </w:font>
  <w:font w:name="Pragmatica">
    <w:panose1 w:val="02000603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Wingdings">
    <w:panose1 w:val="05000000000000000000"/>
  </w:font>
  <w:font w:name="Liberation Sans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737899677"/>
      <w:docPartObj>
        <w:docPartGallery w:val="Page Numbers (Bottom of Page)"/>
        <w:docPartUnique w:val="true"/>
      </w:docPartObj>
      <w:rPr/>
    </w:sdtPr>
    <w:sdtContent>
      <w:p>
        <w:pPr>
          <w:pStyle w:val="93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7</w:t>
        </w:r>
        <w:r>
          <w:fldChar w:fldCharType="end"/>
        </w:r>
        <w:r/>
      </w:p>
    </w:sdtContent>
  </w:sdt>
  <w:p>
    <w:pPr>
      <w:pStyle w:val="93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1153" w:hanging="58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">
    <w:multiLevelType w:val="hybridMultilevel"/>
    <w:styleLink w:val="942"/>
    <w:lvl w:ilvl="0">
      <w:start w:val="1"/>
      <w:numFmt w:val="decimal"/>
      <w:pStyle w:val="942"/>
      <w:isLgl w:val="false"/>
      <w:suff w:val="tab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700" w:hanging="1080"/>
      </w:pPr>
      <w:rPr>
        <w:rFonts w:hint="default" w:ascii="Symbol" w:hAnsi="Symbol"/>
        <w:color w:val="auto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  <w:tabs>
          <w:tab w:val="num" w:pos="1068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  <w:tabs>
          <w:tab w:val="num" w:pos="1788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  <w:tabs>
          <w:tab w:val="num" w:pos="2508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  <w:tabs>
          <w:tab w:val="num" w:pos="3228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  <w:tabs>
          <w:tab w:val="num" w:pos="3948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  <w:tabs>
          <w:tab w:val="num" w:pos="4668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  <w:tabs>
          <w:tab w:val="num" w:pos="5388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  <w:tabs>
          <w:tab w:val="num" w:pos="6108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  <w:tabs>
          <w:tab w:val="num" w:pos="6828" w:leader="none"/>
        </w:tabs>
      </w:pPr>
      <w:rPr>
        <w:rFonts w:hint="default" w:ascii="Wingdings" w:hAnsi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  <w:rPr>
        <w:rFonts w:ascii="Arial" w:hAnsi="Arial" w:eastAsia="Times New Roman" w:cs="Aria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288" w:hanging="720"/>
      </w:pPr>
      <w:rPr>
        <w:rFonts w:hint="default"/>
      </w:rPr>
    </w:lvl>
    <w:lvl w:ilvl="2">
      <w:start w:val="6"/>
      <w:numFmt w:val="decimal"/>
      <w:isLgl/>
      <w:suff w:val="tab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"/>
      <w:lvlJc w:val="left"/>
      <w:pPr>
        <w:ind w:left="1429" w:hanging="36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"/>
      <w:lvlJc w:val="left"/>
      <w:pPr>
        <w:ind w:left="1789" w:hanging="360"/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1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"/>
      <w:lvlJc w:val="left"/>
      <w:pPr>
        <w:ind w:left="2509" w:hanging="360"/>
      </w:pPr>
      <w:rPr>
        <w:rFonts w:hint="default" w:ascii="Symbol" w:hAnsi="Symbol"/>
      </w:rPr>
    </w:lvl>
    <w:lvl w:ilvl="5">
      <w:start w:val="1"/>
      <w:numFmt w:val="bullet"/>
      <w:isLgl w:val="false"/>
      <w:suff w:val="tab"/>
      <w:lvlText w:val=""/>
      <w:lvlJc w:val="left"/>
      <w:pPr>
        <w:ind w:left="28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8">
      <w:start w:val="1"/>
      <w:numFmt w:val="bullet"/>
      <w:isLgl w:val="false"/>
      <w:suff w:val="tab"/>
      <w:lvlText w:val=""/>
      <w:lvlJc w:val="left"/>
      <w:pPr>
        <w:ind w:left="3949" w:hanging="360"/>
      </w:pPr>
      <w:rPr>
        <w:rFonts w:hint="default" w:ascii="Symbol" w:hAnsi="Symbol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eastAsia="Times New Roman"/>
        <w:color w:val="3c3c3c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 w:eastAsia="Times New Roman"/>
        <w:color w:val="3c3c3c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2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353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207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9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1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3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5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7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9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13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 w:eastAsia="Times New Roman"/>
        <w:color w:val="3c3c3c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3"/>
      <w:numFmt w:val="bullet"/>
      <w:pStyle w:val="946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951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multiLevelType w:val="hybridMultilevel"/>
    <w:numStyleLink w:val="942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styleLink w:val="941"/>
    <w:lvl w:ilvl="0">
      <w:start w:val="1"/>
      <w:numFmt w:val="decimal"/>
      <w:pStyle w:val="941"/>
      <w:isLgl w:val="false"/>
      <w:suff w:val="tab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700" w:hanging="1080"/>
      </w:pPr>
      <w:rPr>
        <w:rFonts w:hint="default" w:ascii="Symbol" w:hAnsi="Symbol"/>
        <w:color w:val="auto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004" w:hanging="58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30" w:hanging="720"/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004" w:hanging="58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30" w:hanging="720"/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80" w:hanging="2160"/>
      </w:pPr>
      <w:rPr>
        <w:rFonts w:hint="default"/>
      </w:rPr>
    </w:lvl>
  </w:abstractNum>
  <w:num w:numId="1">
    <w:abstractNumId w:val="1"/>
  </w:num>
  <w:num w:numId="2">
    <w:abstractNumId w:val="31"/>
  </w:num>
  <w:num w:numId="3">
    <w:abstractNumId w:val="28"/>
  </w:num>
  <w:num w:numId="4">
    <w:abstractNumId w:val="2"/>
  </w:num>
  <w:num w:numId="5">
    <w:abstractNumId w:val="27"/>
  </w:num>
  <w:num w:numId="6">
    <w:abstractNumId w:val="4"/>
  </w:num>
  <w:num w:numId="7">
    <w:abstractNumId w:val="0"/>
  </w:num>
  <w:num w:numId="8">
    <w:abstractNumId w:val="8"/>
  </w:num>
  <w:num w:numId="9">
    <w:abstractNumId w:val="22"/>
  </w:num>
  <w:num w:numId="10">
    <w:abstractNumId w:val="11"/>
  </w:num>
  <w:num w:numId="11">
    <w:abstractNumId w:val="26"/>
  </w:num>
  <w:num w:numId="12">
    <w:abstractNumId w:val="7"/>
  </w:num>
  <w:num w:numId="13">
    <w:abstractNumId w:val="20"/>
  </w:num>
  <w:num w:numId="14">
    <w:abstractNumId w:val="5"/>
  </w:num>
  <w:num w:numId="15">
    <w:abstractNumId w:val="19"/>
  </w:num>
  <w:num w:numId="16">
    <w:abstractNumId w:val="9"/>
  </w:num>
  <w:num w:numId="17">
    <w:abstractNumId w:val="6"/>
  </w:num>
  <w:num w:numId="18">
    <w:abstractNumId w:val="13"/>
  </w:num>
  <w:num w:numId="19">
    <w:abstractNumId w:val="15"/>
  </w:num>
  <w:num w:numId="20">
    <w:abstractNumId w:val="21"/>
  </w:num>
  <w:num w:numId="21">
    <w:abstractNumId w:val="30"/>
  </w:num>
  <w:num w:numId="22">
    <w:abstractNumId w:val="17"/>
  </w:num>
  <w:num w:numId="23">
    <w:abstractNumId w:val="14"/>
  </w:num>
  <w:num w:numId="24">
    <w:abstractNumId w:val="23"/>
  </w:num>
  <w:num w:numId="25">
    <w:abstractNumId w:val="29"/>
  </w:num>
  <w:num w:numId="26">
    <w:abstractNumId w:val="24"/>
  </w:num>
  <w:num w:numId="27">
    <w:abstractNumId w:val="18"/>
  </w:num>
  <w:num w:numId="28">
    <w:abstractNumId w:val="16"/>
  </w:num>
  <w:num w:numId="29">
    <w:abstractNumId w:val="10"/>
  </w:num>
  <w:num w:numId="30">
    <w:abstractNumId w:val="25"/>
  </w:num>
  <w:num w:numId="31">
    <w:abstractNumId w:val="3"/>
  </w:num>
  <w:num w:numId="32">
    <w:abstractNumId w:val="32"/>
  </w:num>
  <w:num w:numId="33">
    <w:abstractNumId w:val="1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54"/>
    <w:link w:val="74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54"/>
    <w:link w:val="74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54"/>
    <w:link w:val="74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754"/>
    <w:link w:val="74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54"/>
    <w:link w:val="74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54"/>
    <w:link w:val="75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54"/>
    <w:link w:val="75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54"/>
    <w:link w:val="75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54"/>
    <w:link w:val="75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54"/>
    <w:link w:val="767"/>
    <w:uiPriority w:val="10"/>
    <w:rPr>
      <w:sz w:val="48"/>
      <w:szCs w:val="48"/>
    </w:rPr>
  </w:style>
  <w:style w:type="character" w:styleId="38">
    <w:name w:val="Subtitle Char"/>
    <w:basedOn w:val="754"/>
    <w:link w:val="769"/>
    <w:uiPriority w:val="11"/>
    <w:rPr>
      <w:sz w:val="24"/>
      <w:szCs w:val="24"/>
    </w:rPr>
  </w:style>
  <w:style w:type="character" w:styleId="40">
    <w:name w:val="Quote Char"/>
    <w:link w:val="771"/>
    <w:uiPriority w:val="29"/>
    <w:rPr>
      <w:i/>
    </w:rPr>
  </w:style>
  <w:style w:type="character" w:styleId="42">
    <w:name w:val="Intense Quote Char"/>
    <w:link w:val="773"/>
    <w:uiPriority w:val="30"/>
    <w:rPr>
      <w:i/>
    </w:rPr>
  </w:style>
  <w:style w:type="character" w:styleId="177">
    <w:name w:val="Footnote Text Char"/>
    <w:link w:val="905"/>
    <w:uiPriority w:val="99"/>
    <w:rPr>
      <w:sz w:val="18"/>
    </w:rPr>
  </w:style>
  <w:style w:type="character" w:styleId="180">
    <w:name w:val="Endnote Text Char"/>
    <w:link w:val="908"/>
    <w:uiPriority w:val="99"/>
    <w:rPr>
      <w:sz w:val="20"/>
    </w:rPr>
  </w:style>
  <w:style w:type="paragraph" w:styleId="744" w:default="1">
    <w:name w:val="Normal"/>
    <w:qFormat/>
    <w:pPr>
      <w:ind w:firstLine="720"/>
      <w:jc w:val="both"/>
      <w:spacing w:after="0"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745">
    <w:name w:val="Heading 1"/>
    <w:basedOn w:val="744"/>
    <w:next w:val="744"/>
    <w:link w:val="7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46">
    <w:name w:val="Heading 2"/>
    <w:basedOn w:val="744"/>
    <w:next w:val="744"/>
    <w:link w:val="75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47">
    <w:name w:val="Heading 3"/>
    <w:basedOn w:val="744"/>
    <w:next w:val="744"/>
    <w:link w:val="7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48">
    <w:name w:val="Heading 4"/>
    <w:basedOn w:val="744"/>
    <w:next w:val="744"/>
    <w:link w:val="7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49">
    <w:name w:val="Heading 5"/>
    <w:basedOn w:val="744"/>
    <w:next w:val="744"/>
    <w:link w:val="7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50">
    <w:name w:val="Heading 6"/>
    <w:basedOn w:val="744"/>
    <w:next w:val="744"/>
    <w:link w:val="7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51">
    <w:name w:val="Heading 7"/>
    <w:basedOn w:val="744"/>
    <w:next w:val="744"/>
    <w:link w:val="7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52">
    <w:name w:val="Heading 8"/>
    <w:basedOn w:val="744"/>
    <w:next w:val="744"/>
    <w:link w:val="76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53">
    <w:name w:val="Heading 9"/>
    <w:basedOn w:val="744"/>
    <w:next w:val="744"/>
    <w:link w:val="7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4" w:default="1">
    <w:name w:val="Default Paragraph Font"/>
    <w:uiPriority w:val="1"/>
    <w:semiHidden/>
    <w:unhideWhenUsed/>
  </w:style>
  <w:style w:type="table" w:styleId="7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6" w:default="1">
    <w:name w:val="No List"/>
    <w:uiPriority w:val="99"/>
    <w:semiHidden/>
    <w:unhideWhenUsed/>
  </w:style>
  <w:style w:type="character" w:styleId="757" w:customStyle="1">
    <w:name w:val="Заголовок 1 Знак"/>
    <w:basedOn w:val="754"/>
    <w:link w:val="745"/>
    <w:uiPriority w:val="9"/>
    <w:rPr>
      <w:rFonts w:ascii="Arial" w:hAnsi="Arial" w:eastAsia="Arial" w:cs="Arial"/>
      <w:sz w:val="40"/>
      <w:szCs w:val="40"/>
    </w:rPr>
  </w:style>
  <w:style w:type="character" w:styleId="758" w:customStyle="1">
    <w:name w:val="Заголовок 2 Знак"/>
    <w:basedOn w:val="754"/>
    <w:link w:val="746"/>
    <w:uiPriority w:val="9"/>
    <w:rPr>
      <w:rFonts w:ascii="Arial" w:hAnsi="Arial" w:eastAsia="Arial" w:cs="Arial"/>
      <w:sz w:val="34"/>
    </w:rPr>
  </w:style>
  <w:style w:type="character" w:styleId="759" w:customStyle="1">
    <w:name w:val="Заголовок 3 Знак"/>
    <w:basedOn w:val="754"/>
    <w:link w:val="747"/>
    <w:uiPriority w:val="9"/>
    <w:rPr>
      <w:rFonts w:ascii="Arial" w:hAnsi="Arial" w:eastAsia="Arial" w:cs="Arial"/>
      <w:sz w:val="30"/>
      <w:szCs w:val="30"/>
    </w:rPr>
  </w:style>
  <w:style w:type="character" w:styleId="760" w:customStyle="1">
    <w:name w:val="Заголовок 4 Знак"/>
    <w:basedOn w:val="754"/>
    <w:link w:val="748"/>
    <w:uiPriority w:val="9"/>
    <w:rPr>
      <w:rFonts w:ascii="Arial" w:hAnsi="Arial" w:eastAsia="Arial" w:cs="Arial"/>
      <w:b/>
      <w:bCs/>
      <w:sz w:val="26"/>
      <w:szCs w:val="26"/>
    </w:rPr>
  </w:style>
  <w:style w:type="character" w:styleId="761" w:customStyle="1">
    <w:name w:val="Заголовок 5 Знак"/>
    <w:basedOn w:val="754"/>
    <w:link w:val="749"/>
    <w:uiPriority w:val="9"/>
    <w:rPr>
      <w:rFonts w:ascii="Arial" w:hAnsi="Arial" w:eastAsia="Arial" w:cs="Arial"/>
      <w:b/>
      <w:bCs/>
      <w:sz w:val="24"/>
      <w:szCs w:val="24"/>
    </w:rPr>
  </w:style>
  <w:style w:type="character" w:styleId="762" w:customStyle="1">
    <w:name w:val="Заголовок 6 Знак"/>
    <w:basedOn w:val="754"/>
    <w:link w:val="750"/>
    <w:uiPriority w:val="9"/>
    <w:rPr>
      <w:rFonts w:ascii="Arial" w:hAnsi="Arial" w:eastAsia="Arial" w:cs="Arial"/>
      <w:b/>
      <w:bCs/>
      <w:sz w:val="22"/>
      <w:szCs w:val="22"/>
    </w:rPr>
  </w:style>
  <w:style w:type="character" w:styleId="763" w:customStyle="1">
    <w:name w:val="Заголовок 7 Знак"/>
    <w:basedOn w:val="754"/>
    <w:link w:val="7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4" w:customStyle="1">
    <w:name w:val="Заголовок 8 Знак"/>
    <w:basedOn w:val="754"/>
    <w:link w:val="752"/>
    <w:uiPriority w:val="9"/>
    <w:rPr>
      <w:rFonts w:ascii="Arial" w:hAnsi="Arial" w:eastAsia="Arial" w:cs="Arial"/>
      <w:i/>
      <w:iCs/>
      <w:sz w:val="22"/>
      <w:szCs w:val="22"/>
    </w:rPr>
  </w:style>
  <w:style w:type="character" w:styleId="765" w:customStyle="1">
    <w:name w:val="Заголовок 9 Знак"/>
    <w:basedOn w:val="754"/>
    <w:link w:val="753"/>
    <w:uiPriority w:val="9"/>
    <w:rPr>
      <w:rFonts w:ascii="Arial" w:hAnsi="Arial" w:eastAsia="Arial" w:cs="Arial"/>
      <w:i/>
      <w:iCs/>
      <w:sz w:val="21"/>
      <w:szCs w:val="21"/>
    </w:rPr>
  </w:style>
  <w:style w:type="paragraph" w:styleId="766">
    <w:name w:val="No Spacing"/>
    <w:uiPriority w:val="1"/>
    <w:qFormat/>
    <w:pPr>
      <w:spacing w:after="0" w:line="240" w:lineRule="auto"/>
    </w:pPr>
  </w:style>
  <w:style w:type="paragraph" w:styleId="767">
    <w:name w:val="Title"/>
    <w:basedOn w:val="744"/>
    <w:next w:val="744"/>
    <w:link w:val="76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8" w:customStyle="1">
    <w:name w:val="Заголовок Знак"/>
    <w:basedOn w:val="754"/>
    <w:link w:val="767"/>
    <w:uiPriority w:val="10"/>
    <w:rPr>
      <w:sz w:val="48"/>
      <w:szCs w:val="48"/>
    </w:rPr>
  </w:style>
  <w:style w:type="paragraph" w:styleId="769">
    <w:name w:val="Subtitle"/>
    <w:basedOn w:val="744"/>
    <w:next w:val="744"/>
    <w:link w:val="770"/>
    <w:uiPriority w:val="11"/>
    <w:qFormat/>
    <w:pPr>
      <w:spacing w:before="200" w:after="200"/>
    </w:pPr>
  </w:style>
  <w:style w:type="character" w:styleId="770" w:customStyle="1">
    <w:name w:val="Подзаголовок Знак"/>
    <w:basedOn w:val="754"/>
    <w:link w:val="769"/>
    <w:uiPriority w:val="11"/>
    <w:rPr>
      <w:sz w:val="24"/>
      <w:szCs w:val="24"/>
    </w:rPr>
  </w:style>
  <w:style w:type="paragraph" w:styleId="771">
    <w:name w:val="Quote"/>
    <w:basedOn w:val="744"/>
    <w:next w:val="744"/>
    <w:link w:val="772"/>
    <w:uiPriority w:val="29"/>
    <w:qFormat/>
    <w:pPr>
      <w:ind w:left="720" w:right="720"/>
    </w:pPr>
    <w:rPr>
      <w:i/>
    </w:rPr>
  </w:style>
  <w:style w:type="character" w:styleId="772" w:customStyle="1">
    <w:name w:val="Цитата 2 Знак"/>
    <w:link w:val="771"/>
    <w:uiPriority w:val="29"/>
    <w:rPr>
      <w:i/>
    </w:rPr>
  </w:style>
  <w:style w:type="paragraph" w:styleId="773">
    <w:name w:val="Intense Quote"/>
    <w:basedOn w:val="744"/>
    <w:next w:val="744"/>
    <w:link w:val="77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4" w:customStyle="1">
    <w:name w:val="Выделенная цитата Знак"/>
    <w:link w:val="773"/>
    <w:uiPriority w:val="30"/>
    <w:rPr>
      <w:i/>
    </w:rPr>
  </w:style>
  <w:style w:type="character" w:styleId="775" w:customStyle="1">
    <w:name w:val="Header Char"/>
    <w:basedOn w:val="754"/>
    <w:uiPriority w:val="99"/>
  </w:style>
  <w:style w:type="character" w:styleId="776" w:customStyle="1">
    <w:name w:val="Footer Char"/>
    <w:basedOn w:val="754"/>
    <w:uiPriority w:val="99"/>
  </w:style>
  <w:style w:type="paragraph" w:styleId="777">
    <w:name w:val="Caption"/>
    <w:basedOn w:val="744"/>
    <w:next w:val="74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8" w:customStyle="1">
    <w:name w:val="Caption Char"/>
    <w:uiPriority w:val="99"/>
  </w:style>
  <w:style w:type="table" w:styleId="779" w:customStyle="1">
    <w:name w:val="Table Grid Light"/>
    <w:basedOn w:val="75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0">
    <w:name w:val="Plain Table 1"/>
    <w:basedOn w:val="75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1">
    <w:name w:val="Plain Table 2"/>
    <w:basedOn w:val="75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2">
    <w:name w:val="Plain Table 3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3">
    <w:name w:val="Plain Table 4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Plain Table 5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5">
    <w:name w:val="Grid Table 1 Light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Grid Table 1 Light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Grid Table 1 Light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Grid Table 1 Light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1 Light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2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2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2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3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3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3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4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7" w:customStyle="1">
    <w:name w:val="Grid Table 4 - Accent 1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08" w:customStyle="1">
    <w:name w:val="Grid Table 4 - Accent 2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9" w:customStyle="1">
    <w:name w:val="Grid Table 4 - Accent 3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10" w:customStyle="1">
    <w:name w:val="Grid Table 4 - Accent 4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11" w:customStyle="1">
    <w:name w:val="Grid Table 4 - Accent 5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12" w:customStyle="1">
    <w:name w:val="Grid Table 4 - Accent 6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13">
    <w:name w:val="Grid Table 5 Dark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4" w:customStyle="1">
    <w:name w:val="Grid Table 5 Dark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15" w:customStyle="1">
    <w:name w:val="Grid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16" w:customStyle="1">
    <w:name w:val="Grid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20">
    <w:name w:val="Grid Table 6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1" w:customStyle="1">
    <w:name w:val="Grid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22" w:customStyle="1">
    <w:name w:val="Grid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23" w:customStyle="1">
    <w:name w:val="Grid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24" w:customStyle="1">
    <w:name w:val="Grid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5" w:customStyle="1">
    <w:name w:val="Grid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6" w:customStyle="1">
    <w:name w:val="Grid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7">
    <w:name w:val="Grid Table 7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1 Light - Accent 1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1 Light - Accent 2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1 Light - Accent 3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4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5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6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2" w:customStyle="1">
    <w:name w:val="List Table 2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43" w:customStyle="1">
    <w:name w:val="List Table 2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44" w:customStyle="1">
    <w:name w:val="List Table 2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48">
    <w:name w:val="List Table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3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3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3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4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4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List Table 4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5 Dark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3" w:customStyle="1">
    <w:name w:val="List Table 5 Dark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4" w:customStyle="1">
    <w:name w:val="List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5" w:customStyle="1">
    <w:name w:val="List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6" w:customStyle="1">
    <w:name w:val="List Table 5 Dark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7" w:customStyle="1">
    <w:name w:val="List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8" w:customStyle="1">
    <w:name w:val="List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9">
    <w:name w:val="List Table 6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0" w:customStyle="1">
    <w:name w:val="List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71" w:customStyle="1">
    <w:name w:val="List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List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73" w:customStyle="1">
    <w:name w:val="List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List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75" w:customStyle="1">
    <w:name w:val="List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76">
    <w:name w:val="List Table 7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ned - Accent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4" w:customStyle="1">
    <w:name w:val="Lined - Accent 1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5" w:customStyle="1">
    <w:name w:val="Lined - Accent 2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6" w:customStyle="1">
    <w:name w:val="Lined - Accent 3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7" w:customStyle="1">
    <w:name w:val="Lined - Accent 4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8" w:customStyle="1">
    <w:name w:val="Lined - Accent 5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9" w:customStyle="1">
    <w:name w:val="Lined - Accent 6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0" w:customStyle="1">
    <w:name w:val="Bordered &amp; Lined - Accent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1" w:customStyle="1">
    <w:name w:val="Bordered &amp; Lined - Accent 1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2" w:customStyle="1">
    <w:name w:val="Bordered &amp; Lined - Accent 2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3" w:customStyle="1">
    <w:name w:val="Bordered &amp; Lined - Accent 3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4" w:customStyle="1">
    <w:name w:val="Bordered &amp; Lined - Accent 4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5" w:customStyle="1">
    <w:name w:val="Bordered &amp; Lined - Accent 5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6" w:customStyle="1">
    <w:name w:val="Bordered &amp; Lined - Accent 6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7" w:customStyle="1">
    <w:name w:val="Bordered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8" w:customStyle="1">
    <w:name w:val="Bordered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9" w:customStyle="1">
    <w:name w:val="Bordered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0" w:customStyle="1">
    <w:name w:val="Bordered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1" w:customStyle="1">
    <w:name w:val="Bordered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2" w:customStyle="1">
    <w:name w:val="Bordered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3" w:customStyle="1">
    <w:name w:val="Bordered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04">
    <w:name w:val="Hyperlink"/>
    <w:uiPriority w:val="99"/>
    <w:unhideWhenUsed/>
    <w:rPr>
      <w:color w:val="0000ff" w:themeColor="hyperlink"/>
      <w:u w:val="single"/>
    </w:rPr>
  </w:style>
  <w:style w:type="paragraph" w:styleId="905">
    <w:name w:val="footnote text"/>
    <w:basedOn w:val="744"/>
    <w:link w:val="906"/>
    <w:uiPriority w:val="99"/>
    <w:semiHidden/>
    <w:unhideWhenUsed/>
    <w:pPr>
      <w:spacing w:after="40" w:line="240" w:lineRule="auto"/>
    </w:pPr>
    <w:rPr>
      <w:sz w:val="18"/>
    </w:rPr>
  </w:style>
  <w:style w:type="character" w:styleId="906" w:customStyle="1">
    <w:name w:val="Текст сноски Знак"/>
    <w:link w:val="905"/>
    <w:uiPriority w:val="99"/>
    <w:rPr>
      <w:sz w:val="18"/>
    </w:rPr>
  </w:style>
  <w:style w:type="character" w:styleId="907">
    <w:name w:val="footnote reference"/>
    <w:basedOn w:val="754"/>
    <w:uiPriority w:val="99"/>
    <w:unhideWhenUsed/>
    <w:rPr>
      <w:vertAlign w:val="superscript"/>
    </w:rPr>
  </w:style>
  <w:style w:type="paragraph" w:styleId="908">
    <w:name w:val="endnote text"/>
    <w:basedOn w:val="744"/>
    <w:link w:val="909"/>
    <w:uiPriority w:val="99"/>
    <w:semiHidden/>
    <w:unhideWhenUsed/>
    <w:pPr>
      <w:spacing w:line="240" w:lineRule="auto"/>
    </w:pPr>
    <w:rPr>
      <w:sz w:val="20"/>
    </w:rPr>
  </w:style>
  <w:style w:type="character" w:styleId="909" w:customStyle="1">
    <w:name w:val="Текст концевой сноски Знак"/>
    <w:link w:val="908"/>
    <w:uiPriority w:val="99"/>
    <w:rPr>
      <w:sz w:val="20"/>
    </w:rPr>
  </w:style>
  <w:style w:type="character" w:styleId="910">
    <w:name w:val="endnote reference"/>
    <w:basedOn w:val="754"/>
    <w:uiPriority w:val="99"/>
    <w:semiHidden/>
    <w:unhideWhenUsed/>
    <w:rPr>
      <w:vertAlign w:val="superscript"/>
    </w:rPr>
  </w:style>
  <w:style w:type="paragraph" w:styleId="911">
    <w:name w:val="toc 1"/>
    <w:basedOn w:val="744"/>
    <w:next w:val="744"/>
    <w:uiPriority w:val="39"/>
    <w:unhideWhenUsed/>
    <w:pPr>
      <w:ind w:firstLine="0"/>
      <w:spacing w:after="57"/>
    </w:pPr>
  </w:style>
  <w:style w:type="paragraph" w:styleId="912">
    <w:name w:val="toc 2"/>
    <w:basedOn w:val="744"/>
    <w:next w:val="744"/>
    <w:uiPriority w:val="39"/>
    <w:unhideWhenUsed/>
    <w:pPr>
      <w:ind w:left="283" w:firstLine="0"/>
      <w:spacing w:after="57"/>
    </w:pPr>
  </w:style>
  <w:style w:type="paragraph" w:styleId="913">
    <w:name w:val="toc 3"/>
    <w:basedOn w:val="744"/>
    <w:next w:val="744"/>
    <w:uiPriority w:val="39"/>
    <w:unhideWhenUsed/>
    <w:pPr>
      <w:ind w:left="567" w:firstLine="0"/>
      <w:spacing w:after="57"/>
    </w:pPr>
  </w:style>
  <w:style w:type="paragraph" w:styleId="914">
    <w:name w:val="toc 4"/>
    <w:basedOn w:val="744"/>
    <w:next w:val="744"/>
    <w:uiPriority w:val="39"/>
    <w:unhideWhenUsed/>
    <w:pPr>
      <w:ind w:left="850" w:firstLine="0"/>
      <w:spacing w:after="57"/>
    </w:pPr>
  </w:style>
  <w:style w:type="paragraph" w:styleId="915">
    <w:name w:val="toc 5"/>
    <w:basedOn w:val="744"/>
    <w:next w:val="744"/>
    <w:uiPriority w:val="39"/>
    <w:unhideWhenUsed/>
    <w:pPr>
      <w:ind w:left="1134" w:firstLine="0"/>
      <w:spacing w:after="57"/>
    </w:pPr>
  </w:style>
  <w:style w:type="paragraph" w:styleId="916">
    <w:name w:val="toc 6"/>
    <w:basedOn w:val="744"/>
    <w:next w:val="744"/>
    <w:uiPriority w:val="39"/>
    <w:unhideWhenUsed/>
    <w:pPr>
      <w:ind w:left="1417" w:firstLine="0"/>
      <w:spacing w:after="57"/>
    </w:pPr>
  </w:style>
  <w:style w:type="paragraph" w:styleId="917">
    <w:name w:val="toc 7"/>
    <w:basedOn w:val="744"/>
    <w:next w:val="744"/>
    <w:uiPriority w:val="39"/>
    <w:unhideWhenUsed/>
    <w:pPr>
      <w:ind w:left="1701" w:firstLine="0"/>
      <w:spacing w:after="57"/>
    </w:pPr>
  </w:style>
  <w:style w:type="paragraph" w:styleId="918">
    <w:name w:val="toc 8"/>
    <w:basedOn w:val="744"/>
    <w:next w:val="744"/>
    <w:uiPriority w:val="39"/>
    <w:unhideWhenUsed/>
    <w:pPr>
      <w:ind w:left="1984" w:firstLine="0"/>
      <w:spacing w:after="57"/>
    </w:pPr>
  </w:style>
  <w:style w:type="paragraph" w:styleId="919">
    <w:name w:val="toc 9"/>
    <w:basedOn w:val="744"/>
    <w:next w:val="744"/>
    <w:uiPriority w:val="39"/>
    <w:unhideWhenUsed/>
    <w:pPr>
      <w:ind w:left="2268" w:firstLine="0"/>
      <w:spacing w:after="57"/>
    </w:pPr>
  </w:style>
  <w:style w:type="paragraph" w:styleId="920">
    <w:name w:val="TOC Heading"/>
    <w:uiPriority w:val="39"/>
    <w:unhideWhenUsed/>
  </w:style>
  <w:style w:type="paragraph" w:styleId="921">
    <w:name w:val="table of figures"/>
    <w:basedOn w:val="744"/>
    <w:next w:val="744"/>
    <w:uiPriority w:val="99"/>
    <w:unhideWhenUsed/>
  </w:style>
  <w:style w:type="paragraph" w:styleId="922" w:customStyle="1">
    <w:name w:val="Абзац списка1"/>
    <w:basedOn w:val="744"/>
    <w:pPr>
      <w:contextualSpacing/>
      <w:ind w:left="720" w:firstLine="0"/>
      <w:jc w:val="left"/>
      <w:spacing w:after="200" w:line="276" w:lineRule="auto"/>
    </w:pPr>
    <w:rPr>
      <w:rFonts w:ascii="Calibri" w:hAnsi="Calibri"/>
      <w:sz w:val="22"/>
      <w:szCs w:val="22"/>
    </w:rPr>
  </w:style>
  <w:style w:type="paragraph" w:styleId="923">
    <w:name w:val="List Paragraph"/>
    <w:basedOn w:val="744"/>
    <w:link w:val="945"/>
    <w:uiPriority w:val="34"/>
    <w:qFormat/>
    <w:pPr>
      <w:contextualSpacing/>
      <w:ind w:left="720"/>
    </w:pPr>
  </w:style>
  <w:style w:type="paragraph" w:styleId="924">
    <w:name w:val="Balloon Text"/>
    <w:basedOn w:val="744"/>
    <w:link w:val="925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925" w:customStyle="1">
    <w:name w:val="Текст выноски Знак"/>
    <w:basedOn w:val="754"/>
    <w:link w:val="924"/>
    <w:uiPriority w:val="99"/>
    <w:semiHidden/>
    <w:rPr>
      <w:rFonts w:ascii="Tahoma" w:hAnsi="Tahoma" w:eastAsia="Times New Roman" w:cs="Tahoma"/>
      <w:sz w:val="16"/>
      <w:szCs w:val="16"/>
    </w:rPr>
  </w:style>
  <w:style w:type="character" w:styleId="926">
    <w:name w:val="annotation reference"/>
    <w:basedOn w:val="754"/>
    <w:uiPriority w:val="99"/>
    <w:semiHidden/>
    <w:unhideWhenUsed/>
    <w:rPr>
      <w:sz w:val="16"/>
      <w:szCs w:val="16"/>
    </w:rPr>
  </w:style>
  <w:style w:type="paragraph" w:styleId="927">
    <w:name w:val="annotation text"/>
    <w:basedOn w:val="744"/>
    <w:link w:val="92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28" w:customStyle="1">
    <w:name w:val="Текст примечания Знак"/>
    <w:basedOn w:val="754"/>
    <w:link w:val="927"/>
    <w:uiPriority w:val="99"/>
    <w:semiHidden/>
    <w:rPr>
      <w:rFonts w:ascii="Times New Roman" w:hAnsi="Times New Roman" w:eastAsia="Times New Roman" w:cs="Times New Roman"/>
      <w:sz w:val="20"/>
      <w:szCs w:val="20"/>
    </w:rPr>
  </w:style>
  <w:style w:type="paragraph" w:styleId="929">
    <w:name w:val="annotation subject"/>
    <w:basedOn w:val="927"/>
    <w:next w:val="927"/>
    <w:link w:val="930"/>
    <w:uiPriority w:val="99"/>
    <w:semiHidden/>
    <w:unhideWhenUsed/>
    <w:rPr>
      <w:b/>
      <w:bCs/>
    </w:rPr>
  </w:style>
  <w:style w:type="character" w:styleId="930" w:customStyle="1">
    <w:name w:val="Тема примечания Знак"/>
    <w:basedOn w:val="928"/>
    <w:link w:val="929"/>
    <w:uiPriority w:val="99"/>
    <w:semiHidden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931">
    <w:name w:val="Table Grid"/>
    <w:basedOn w:val="75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2" w:customStyle="1">
    <w:name w:val="Обычный1"/>
    <w:uiPriority w:val="99"/>
    <w:pPr>
      <w:ind w:left="567" w:hanging="567"/>
      <w:jc w:val="both"/>
      <w:spacing w:before="60" w:after="60" w:line="240" w:lineRule="auto"/>
      <w:widowControl w:val="off"/>
    </w:pPr>
    <w:rPr>
      <w:rFonts w:ascii="Pragmatica" w:hAnsi="Pragmatica" w:eastAsia="Times New Roman" w:cs="Pragmatica"/>
      <w:sz w:val="20"/>
      <w:szCs w:val="20"/>
      <w:lang w:val="en-GB" w:eastAsia="ru-RU"/>
    </w:rPr>
  </w:style>
  <w:style w:type="paragraph" w:styleId="933" w:customStyle="1">
    <w:name w:val="Ур2"/>
    <w:basedOn w:val="744"/>
    <w:pPr>
      <w:ind w:firstLine="0"/>
      <w:spacing w:line="240" w:lineRule="auto"/>
    </w:pPr>
    <w:rPr>
      <w:rFonts w:ascii="Arial" w:hAnsi="Arial" w:eastAsia="SimSun" w:cs="Arial"/>
      <w:b/>
      <w:bCs/>
      <w:lang w:eastAsia="zh-CN"/>
    </w:rPr>
  </w:style>
  <w:style w:type="paragraph" w:styleId="934">
    <w:name w:val="Header"/>
    <w:basedOn w:val="744"/>
    <w:link w:val="935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35" w:customStyle="1">
    <w:name w:val="Верхний колонтитул Знак"/>
    <w:basedOn w:val="754"/>
    <w:link w:val="934"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936">
    <w:name w:val="Footer"/>
    <w:basedOn w:val="744"/>
    <w:link w:val="937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37" w:customStyle="1">
    <w:name w:val="Нижний колонтитул Знак"/>
    <w:basedOn w:val="754"/>
    <w:link w:val="936"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938">
    <w:name w:val="Revision"/>
    <w:hidden/>
    <w:uiPriority w:val="99"/>
    <w:semiHidden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939" w:customStyle="1">
    <w:name w:val="Сетка таблицы2"/>
    <w:basedOn w:val="755"/>
    <w:next w:val="93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40" w:customStyle="1">
    <w:name w:val="Сетка таблицы1"/>
    <w:basedOn w:val="755"/>
    <w:next w:val="93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941" w:customStyle="1">
    <w:name w:val="Стиль1"/>
    <w:uiPriority w:val="99"/>
    <w:pPr>
      <w:numPr>
        <w:ilvl w:val="0"/>
        <w:numId w:val="3"/>
      </w:numPr>
    </w:pPr>
  </w:style>
  <w:style w:type="numbering" w:styleId="942" w:customStyle="1">
    <w:name w:val="Стиль2"/>
    <w:uiPriority w:val="99"/>
    <w:pPr>
      <w:numPr>
        <w:ilvl w:val="0"/>
        <w:numId w:val="4"/>
      </w:numPr>
    </w:pPr>
  </w:style>
  <w:style w:type="paragraph" w:styleId="943">
    <w:name w:val="Body Text Indent"/>
    <w:basedOn w:val="744"/>
    <w:link w:val="944"/>
    <w:uiPriority w:val="99"/>
    <w:unhideWhenUsed/>
    <w:pPr>
      <w:ind w:left="283" w:firstLine="0"/>
      <w:jc w:val="left"/>
      <w:spacing w:after="120" w:line="276" w:lineRule="auto"/>
    </w:pPr>
    <w:rPr>
      <w:rFonts w:ascii="Calibri" w:hAnsi="Calibri" w:eastAsia="Calibri"/>
      <w:sz w:val="22"/>
      <w:szCs w:val="22"/>
    </w:rPr>
  </w:style>
  <w:style w:type="character" w:styleId="944" w:customStyle="1">
    <w:name w:val="Основной текст с отступом Знак"/>
    <w:basedOn w:val="754"/>
    <w:link w:val="943"/>
    <w:uiPriority w:val="99"/>
    <w:rPr>
      <w:rFonts w:ascii="Calibri" w:hAnsi="Calibri" w:eastAsia="Calibri" w:cs="Times New Roman"/>
    </w:rPr>
  </w:style>
  <w:style w:type="character" w:styleId="945" w:customStyle="1">
    <w:name w:val="Абзац списка Знак"/>
    <w:link w:val="923"/>
    <w:uiPriority w:val="34"/>
    <w:rPr>
      <w:rFonts w:ascii="Times New Roman" w:hAnsi="Times New Roman" w:eastAsia="Times New Roman" w:cs="Times New Roman"/>
      <w:sz w:val="24"/>
      <w:szCs w:val="24"/>
    </w:rPr>
  </w:style>
  <w:style w:type="paragraph" w:styleId="946" w:customStyle="1">
    <w:name w:val="s07 Список - -"/>
    <w:basedOn w:val="744"/>
    <w:uiPriority w:val="99"/>
    <w:pPr>
      <w:numPr>
        <w:ilvl w:val="0"/>
        <w:numId w:val="24"/>
      </w:numPr>
      <w:keepNext/>
      <w:spacing w:before="80" w:line="240" w:lineRule="auto"/>
      <w:widowControl w:val="off"/>
      <w:tabs>
        <w:tab w:val="left" w:pos="1134" w:leader="none"/>
      </w:tabs>
      <w:outlineLvl w:val="2"/>
    </w:pPr>
    <w:rPr>
      <w:rFonts w:ascii="Arial" w:hAnsi="Arial"/>
      <w:bCs/>
      <w:color w:val="000000"/>
      <w:sz w:val="22"/>
      <w:szCs w:val="28"/>
      <w:lang w:eastAsia="ru-RU"/>
    </w:rPr>
  </w:style>
  <w:style w:type="paragraph" w:styleId="947" w:customStyle="1">
    <w:name w:val="ТЗ пункт 22"/>
    <w:basedOn w:val="744"/>
    <w:link w:val="948"/>
    <w:qFormat/>
    <w:pPr>
      <w:ind w:firstLine="0"/>
      <w:spacing w:before="120" w:after="120" w:line="240" w:lineRule="auto"/>
    </w:pPr>
    <w:rPr>
      <w:rFonts w:ascii="Arial" w:hAnsi="Arial" w:cs="Arial"/>
      <w:lang w:eastAsia="ru-RU"/>
    </w:rPr>
  </w:style>
  <w:style w:type="character" w:styleId="948" w:customStyle="1">
    <w:name w:val="ТЗ пункт 22 Знак"/>
    <w:basedOn w:val="754"/>
    <w:link w:val="947"/>
    <w:rPr>
      <w:rFonts w:ascii="Arial" w:hAnsi="Arial" w:eastAsia="Times New Roman" w:cs="Arial"/>
      <w:sz w:val="24"/>
      <w:szCs w:val="24"/>
      <w:lang w:eastAsia="ru-RU"/>
    </w:rPr>
  </w:style>
  <w:style w:type="paragraph" w:styleId="949" w:customStyle="1">
    <w:name w:val="ТЗ список"/>
    <w:basedOn w:val="744"/>
    <w:qFormat/>
    <w:pPr>
      <w:ind w:firstLine="0"/>
      <w:spacing w:before="120" w:after="120" w:line="240" w:lineRule="auto"/>
    </w:pPr>
    <w:rPr>
      <w:rFonts w:ascii="Arial" w:hAnsi="Arial" w:cs="Arial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3B79B-7181-4165-928B-6A13CBCC0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NTCuser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Иванов Михаил Сергеевич</dc:creator>
  <cp:lastModifiedBy>rim</cp:lastModifiedBy>
  <cp:revision>27</cp:revision>
  <dcterms:created xsi:type="dcterms:W3CDTF">2024-07-09T16:41:00Z</dcterms:created>
  <dcterms:modified xsi:type="dcterms:W3CDTF">2026-07-30T13:03:11Z</dcterms:modified>
</cp:coreProperties>
</file>