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Приложение 1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 </w:t>
      </w:r>
      <w:r>
        <w:rPr>
          <w:rFonts w:cstheme="minorHAnsi"/>
          <w:sz w:val="24"/>
          <w:szCs w:val="24"/>
        </w:rPr>
        <w:t xml:space="preserve">З</w:t>
      </w:r>
      <w:r>
        <w:rPr>
          <w:rFonts w:cstheme="minorHAnsi"/>
          <w:sz w:val="24"/>
          <w:szCs w:val="24"/>
        </w:rPr>
        <w:t xml:space="preserve">аказу</w:t>
      </w:r>
      <w:r>
        <w:rPr>
          <w:rFonts w:cstheme="minorHAnsi"/>
          <w:sz w:val="24"/>
          <w:szCs w:val="24"/>
        </w:rPr>
        <w:t xml:space="preserve"> на выполнение работ / оказание услуг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№</w:t>
      </w:r>
      <w:r>
        <w:rPr>
          <w:rFonts w:cstheme="minorHAnsi"/>
          <w:sz w:val="24"/>
          <w:szCs w:val="24"/>
        </w:rPr>
        <w:t xml:space="preserve">_______</w:t>
      </w:r>
      <w:r>
        <w:rPr>
          <w:rFonts w:cstheme="minorHAnsi"/>
          <w:sz w:val="24"/>
          <w:szCs w:val="24"/>
        </w:rPr>
        <w:t xml:space="preserve">__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 «____» ________ 20__</w:t>
      </w:r>
      <w:r>
        <w:rPr>
          <w:rFonts w:cstheme="minorHAnsi"/>
          <w:sz w:val="24"/>
          <w:szCs w:val="24"/>
        </w:rPr>
        <w:t xml:space="preserve"> г.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Приложение 2.1 </w:t>
      </w:r>
      <w:r>
        <w:rPr>
          <w:rFonts w:cstheme="minorHAnsi"/>
          <w:sz w:val="24"/>
          <w:szCs w:val="24"/>
        </w:rPr>
        <w:t xml:space="preserve">к</w:t>
      </w:r>
      <w:r>
        <w:rPr>
          <w:rFonts w:cstheme="minorHAnsi"/>
          <w:sz w:val="24"/>
          <w:szCs w:val="24"/>
        </w:rPr>
        <w:t xml:space="preserve"> договору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№</w:t>
      </w:r>
      <w:r>
        <w:rPr>
          <w:rFonts w:cstheme="minorHAnsi"/>
          <w:sz w:val="24"/>
          <w:szCs w:val="24"/>
        </w:rPr>
        <w:t xml:space="preserve">_______</w:t>
      </w:r>
      <w:r>
        <w:rPr>
          <w:rFonts w:cstheme="minorHAnsi"/>
          <w:sz w:val="24"/>
          <w:szCs w:val="24"/>
        </w:rPr>
        <w:t xml:space="preserve">__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 «____» ________ 20__</w:t>
      </w:r>
      <w:r>
        <w:rPr>
          <w:rFonts w:cstheme="minorHAnsi"/>
          <w:sz w:val="24"/>
          <w:szCs w:val="24"/>
        </w:rPr>
        <w:t xml:space="preserve"> г.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983"/>
        <w:jc w:val="center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Образец (форма)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983"/>
        <w:jc w:val="center"/>
        <w:spacing w:before="0" w:after="12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t xml:space="preserve">Техническое задание</w:t>
      </w: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pStyle w:val="983"/>
        <w:jc w:val="center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t xml:space="preserve">на </w:t>
      </w:r>
      <w:r>
        <w:rPr>
          <w:rFonts w:asciiTheme="minorHAnsi" w:hAnsiTheme="minorHAnsi" w:cstheme="minorHAnsi"/>
          <w:bCs w:val="0"/>
          <w:sz w:val="24"/>
          <w:szCs w:val="24"/>
        </w:rPr>
        <w:t xml:space="preserve">«</w:t>
      </w:r>
      <w:r>
        <w:rPr>
          <w:rFonts w:asciiTheme="minorHAnsi" w:hAnsiTheme="minorHAnsi" w:cstheme="minorHAnsi"/>
          <w:b w:val="0"/>
          <w:bCs w:val="0"/>
          <w:i/>
          <w:sz w:val="24"/>
          <w:szCs w:val="24"/>
        </w:rPr>
        <w:t xml:space="preserve">указать предмет работ</w:t>
      </w:r>
      <w:r>
        <w:rPr>
          <w:rFonts w:asciiTheme="minorHAnsi" w:hAnsiTheme="minorHAnsi" w:cstheme="minorHAnsi"/>
          <w:bCs w:val="0"/>
          <w:sz w:val="24"/>
          <w:szCs w:val="24"/>
        </w:rPr>
        <w:t xml:space="preserve">»</w:t>
      </w:r>
      <w:bookmarkStart w:id="0" w:name="_Toc274219822"/>
      <w:r/>
      <w:bookmarkStart w:id="1" w:name="_Toc275361026"/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jc w:val="center"/>
        <w:rPr>
          <w:i/>
          <w:lang w:eastAsia="ru-RU"/>
        </w:rPr>
      </w:pPr>
      <w:r>
        <w:rPr>
          <w:i/>
          <w:highlight w:val="lightGray"/>
          <w:lang w:eastAsia="ru-RU"/>
        </w:rPr>
        <w:t xml:space="preserve">&lt;по мере описания и детализации продуктов НТЦ, форма ТЗ будет определяться для каждого продукта, или группы продуктов&gt;</w:t>
      </w:r>
      <w:bookmarkEnd w:id="0"/>
      <w:r/>
      <w:bookmarkEnd w:id="1"/>
      <w:r>
        <w:rPr>
          <w:i/>
          <w:lang w:eastAsia="ru-RU"/>
        </w:rPr>
      </w:r>
      <w:r>
        <w:rPr>
          <w:i/>
          <w:lang w:eastAsia="ru-RU"/>
        </w:rPr>
      </w:r>
    </w:p>
    <w:p>
      <w:pPr>
        <w:pStyle w:val="983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83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Заказчик: </w:t>
      </w:r>
      <w:r>
        <w:rPr>
          <w:b w:val="0"/>
          <w:i/>
          <w:sz w:val="24"/>
          <w:szCs w:val="24"/>
        </w:rPr>
        <w:t xml:space="preserve">указать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2" w:name="_Toc274219824"/>
      <w:r/>
      <w:bookmarkStart w:id="3" w:name="_Toc275361027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Цел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 и задачи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bookmarkEnd w:id="2"/>
      <w:r/>
      <w:bookmarkEnd w:id="3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 / 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Цель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–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указать цель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/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Задача –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указать решаемые задачи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firstLine="709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b/>
          <w:lang w:eastAsia="ru-RU"/>
        </w:rPr>
      </w:r>
      <w:commentRangeStart w:id="0"/>
      <w:r>
        <w:rPr>
          <w:rFonts w:ascii="Arial" w:hAnsi="Arial" w:cs="Arial"/>
          <w:b/>
          <w:lang w:eastAsia="ru-RU"/>
        </w:rPr>
        <w:t xml:space="preserve">2. Принятые сокращения:</w:t>
      </w:r>
      <w:r>
        <w:rPr>
          <w:rFonts w:ascii="Arial" w:hAnsi="Arial" w:cs="Arial"/>
          <w:lang w:eastAsia="ru-RU"/>
        </w:rPr>
      </w:r>
      <w:commentRangeEnd w:id="0"/>
      <w:r>
        <w:commentReference w:id="0"/>
      </w:r>
      <w:r/>
      <w:r>
        <w:rPr>
          <w:rFonts w:ascii="Arial" w:hAnsi="Arial" w:cs="Arial"/>
          <w:lang w:eastAsia="ru-RU"/>
        </w:rPr>
      </w:r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ГБЗ –  Государственный баланс запасов полезных ископаемых</w:t>
      </w:r>
      <w:r/>
      <w:r/>
    </w:p>
    <w:p>
      <w:pPr>
        <w:ind w:left="57" w:firstLine="652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ГИС – геофизические исследования скважин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ГКЗ (ФБУ «ГКЗ») – Федеральное бюджетное учреждение «Государственная комиссия по запасам полезных ископаемых»</w:t>
      </w:r>
      <w:r/>
      <w:r/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ГМ – геологическая модель</w:t>
      </w:r>
      <w:r/>
      <w:r/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ГТС – геолого-технический совет</w:t>
      </w:r>
      <w:r/>
      <w:r/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КП – календарный план</w:t>
      </w:r>
      <w:r/>
      <w:r/>
    </w:p>
    <w:p>
      <w:pPr>
        <w:ind w:left="57" w:firstLine="652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МПР – Министерство природных ресурсов и экологии Российской Федерации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57" w:firstLine="652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</w:rPr>
        <w:t xml:space="preserve">НГКМ</w:t>
      </w:r>
      <w:r>
        <w:rPr>
          <w:rFonts w:ascii="Arial" w:hAnsi="Arial" w:cs="Arial"/>
          <w:lang w:eastAsia="ru-RU"/>
        </w:rPr>
        <w:t xml:space="preserve"> – нефтегазоконденсатное месторождение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57" w:firstLine="652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НТС – научно-технический совет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ОПЗ – оперативный пересчёт запасов УВС</w:t>
      </w:r>
      <w:r/>
      <w:r/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ПО – программное обеспечение</w:t>
      </w:r>
      <w:r/>
      <w:r/>
    </w:p>
    <w:p>
      <w:pPr>
        <w:ind w:left="57" w:firstLine="652"/>
        <w:spacing w:line="240" w:lineRule="auto"/>
      </w:pPr>
      <w:r>
        <w:rPr>
          <w:rFonts w:ascii="Arial" w:hAnsi="Arial" w:cs="Arial"/>
          <w:lang w:eastAsia="ru-RU"/>
        </w:rPr>
        <w:t xml:space="preserve">ТЗ – техническое задание</w:t>
      </w:r>
      <w:r/>
      <w:r/>
    </w:p>
    <w:p>
      <w:pPr>
        <w:ind w:left="57" w:firstLine="652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УВС – углеводородное сырьё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Периметр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 / 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Указывается периметр работ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/ услуг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(для кого выполняются 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/ услуги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), если приемлемо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Указывается место выполнения работ / оказания услуг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pP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Сроки выполнения работ / оказания 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Указываются общие сроки выполнения работ / оказания услуг.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Даётся ссылка на календарный план выполнения работ / оказания услуг (если есть)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Содержание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 /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, особенности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их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выполнения и результаты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Указывается перечень работ / услуг в соответстви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 с приложением №1 к Договору «</w:t>
      </w:r>
      <w:r>
        <w:rPr>
          <w:rFonts w:cs="Arial"/>
          <w:sz w:val="24"/>
        </w:rPr>
        <w:t xml:space="preserve">Перечень </w:t>
      </w:r>
      <w:r>
        <w:rPr>
          <w:rFonts w:cs="Arial"/>
          <w:sz w:val="24"/>
        </w:rPr>
        <w:t xml:space="preserve">работ /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» с требованиями к работам / услугам и детализацией ожидаемых результатов (Таблица №1)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№1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: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99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746"/>
        <w:gridCol w:w="2134"/>
        <w:gridCol w:w="2123"/>
        <w:gridCol w:w="3915"/>
      </w:tblGrid>
      <w:tr>
        <w:tblPrEx/>
        <w:trPr>
          <w:trHeight w:val="10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4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Наименование </w:t>
            </w:r>
            <w:r>
              <w:rPr>
                <w:rFonts w:cs="Arial"/>
                <w:b/>
                <w:sz w:val="20"/>
                <w:szCs w:val="20"/>
              </w:rPr>
              <w:t xml:space="preserve">работы / услуги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Требования к выполнению работ /</w:t>
            </w:r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 xml:space="preserve">оказанию услуг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Ожидаемые результаты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1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Описание работы / услуги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46" w:type="dxa"/>
            <w:textDirection w:val="lrTb"/>
            <w:noWrap w:val="false"/>
          </w:tcPr>
          <w:p>
            <w:pPr>
              <w:jc w:val="both"/>
              <w:rPr>
                <w:rFonts w:cs="Arial"/>
                <w:i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&lt;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указать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&gt;</w:t>
            </w:r>
            <w:r>
              <w:rPr>
                <w:rFonts w:cs="Arial"/>
                <w:i/>
                <w:color w:val="808080" w:themeColor="background1" w:themeShade="80"/>
                <w:sz w:val="20"/>
                <w:szCs w:val="20"/>
                <w:lang w:val="en-US"/>
              </w:rPr>
            </w:r>
            <w:r>
              <w:rPr>
                <w:rFonts w:cs="Arial"/>
                <w:i/>
                <w:color w:val="808080" w:themeColor="background1" w:themeShade="8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34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Указываются основные требования к выполнения работ / оказанию услуг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3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Указывается итоговый ожидаемый результат (например – согласованный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представителя Заказчика документ в формате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  <w:t xml:space="preserve">PDF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)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15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казывается предмет выполнения работ, его технико-экономические характеристики, особенности выполнения работ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 / услуг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,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укрупнённый состав и объём выполняемых работ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 / услуг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, этапы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</w:tr>
    </w:tbl>
    <w:p>
      <w:pPr>
        <w:contextualSpacing/>
        <w:shd w:val="clear" w:color="auto" w:fill="ffffff"/>
        <w:widowControl w:val="off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</w:r>
      <w:r>
        <w:rPr>
          <w:rFonts w:cs="Arial"/>
          <w:b/>
          <w:sz w:val="20"/>
          <w:szCs w:val="20"/>
        </w:rPr>
      </w:r>
      <w:r>
        <w:rPr>
          <w:rFonts w:cs="Arial"/>
          <w:b/>
          <w:sz w:val="20"/>
          <w:szCs w:val="20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Условие выполнения работы / оказания услуги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казывается документация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на основании которой выполняю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тся 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/ услуги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 Условия и сроки выдачи такой документации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Исполнителю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Определяе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тся условия приёма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выполненной работы /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оказанной услуги или отказа от неё.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Требования к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документации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Указывается порядок сдачи и приёмки работ /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 Указанный раздел (по мере необходимости) содержит перечень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требования, объём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технических 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отч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ё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тных документов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(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ехническая 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тчётная документация)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предоставляемых Исполнителем в ходе оказания услуг / выполнения работ, а также указывает треб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ование к формату предоставления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2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: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11002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552"/>
        <w:gridCol w:w="2268"/>
        <w:gridCol w:w="2410"/>
        <w:gridCol w:w="3772"/>
      </w:tblGrid>
      <w:tr>
        <w:tblPrEx/>
        <w:trPr>
          <w:trHeight w:val="4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Наименование документа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Формат предоставления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Периодичность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7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Требования к содержанию материалов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</w:tr>
      <w:tr>
        <w:tblPrEx/>
        <w:trPr>
          <w:trHeight w:val="677"/>
        </w:trPr>
        <w:tc>
          <w:tcPr>
            <w:tcW w:w="255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&lt;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реестр рабочего времени Исполнителя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&gt;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В формате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  <w:t xml:space="preserve">excel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Еженедельно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.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377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Пофамильный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 список сотрудников с указанием сколько времени потратил на каждую конкретную задачу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</w:tr>
      <w:tr>
        <w:tblPrEx/>
        <w:trPr>
          <w:trHeight w:val="936"/>
        </w:trPr>
        <w:tc>
          <w:tcPr>
            <w:tcW w:w="255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&lt;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наименование документа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&gt;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Формат предоставления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Период предоставления документа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377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Что должно содержаться в документе (в т.ч. может быть ссылка на форму документа)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</w:tr>
    </w:tbl>
    <w:p>
      <w:pPr>
        <w:contextualSpacing/>
        <w:spacing w:before="120" w:after="120"/>
        <w:widowControl w:val="off"/>
        <w:tabs>
          <w:tab w:val="left" w:pos="6804" w:leader="none"/>
        </w:tabs>
        <w:rPr>
          <w:rFonts w:cs="Arial"/>
          <w:color w:val="666666" w:themeColor="text2" w:themeTint="99"/>
          <w:sz w:val="20"/>
          <w:szCs w:val="20"/>
        </w:rPr>
      </w:pPr>
      <w:r>
        <w:rPr>
          <w:rFonts w:cs="Arial"/>
          <w:color w:val="666666" w:themeColor="text2" w:themeTint="99"/>
          <w:sz w:val="20"/>
          <w:szCs w:val="20"/>
        </w:rPr>
      </w:r>
      <w:r>
        <w:rPr>
          <w:rFonts w:cs="Arial"/>
          <w:color w:val="666666" w:themeColor="text2" w:themeTint="99"/>
          <w:sz w:val="20"/>
          <w:szCs w:val="20"/>
        </w:rPr>
      </w:r>
      <w:r>
        <w:rPr>
          <w:rFonts w:cs="Arial"/>
          <w:color w:val="666666" w:themeColor="text2" w:themeTint="99"/>
          <w:sz w:val="20"/>
          <w:szCs w:val="20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Контроль качества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Указываются методы управления качеством Исполнителя со стороны заказчика, в том числе прописывается механизм эскалации возникающих вопросов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Условия привлечения субподрядчиков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тся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возможность привлечения субподрядчиков к выполнению 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максимальный объём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оказания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/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силами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сторонних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суб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подрядчиков, требования к привлечению подрядчиков в том числе: требования к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суб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подрядчикам, методы согласования приглашаемых субподрядчиков с Заказчиком, отчётность о вовлечении субподрядчиков, требования к управлению качеством субподрядчиков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прочее.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11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Иные условия выполнения работ / оказания услуг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Указываются основные и/или особые требования затрагивающие вопросы координации, контроля управления выполняемыми работами / оказываемыми услугами, требования к качеству и безопасности выполнения работ, охране окружающей среды, специальные условия,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прочее.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tbl>
      <w:tblPr>
        <w:tblW w:w="964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5"/>
        <w:gridCol w:w="4380"/>
      </w:tblGrid>
      <w:tr>
        <w:tblPrEx/>
        <w:trPr>
          <w:cantSplit/>
          <w:trHeight w:val="1247"/>
        </w:trPr>
        <w:tc>
          <w:tcPr>
            <w:tcW w:w="5265" w:type="dxa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</w:p>
          <w:p>
            <w:pPr>
              <w:keepNext/>
              <w:spacing w:after="0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 xml:space="preserve">ЗАКАЗЧИК</w:t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____________________ /</w:t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</w:tc>
        <w:tc>
          <w:tcPr>
            <w:tcW w:w="4380" w:type="dxa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___________________ /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</w:p>
        </w:tc>
      </w:tr>
    </w:tbl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shd w:val="nil" w:color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br w:type="page" w:clear="all"/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Приложение 1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 </w:t>
      </w:r>
      <w:r>
        <w:rPr>
          <w:rFonts w:cstheme="minorHAnsi"/>
          <w:sz w:val="24"/>
          <w:szCs w:val="24"/>
        </w:rPr>
        <w:t xml:space="preserve">З</w:t>
      </w:r>
      <w:r>
        <w:rPr>
          <w:rFonts w:cstheme="minorHAnsi"/>
          <w:sz w:val="24"/>
          <w:szCs w:val="24"/>
        </w:rPr>
        <w:t xml:space="preserve">аказу</w:t>
      </w:r>
      <w:r>
        <w:rPr>
          <w:rFonts w:cstheme="minorHAnsi"/>
          <w:sz w:val="24"/>
          <w:szCs w:val="24"/>
        </w:rPr>
        <w:t xml:space="preserve"> на </w:t>
      </w:r>
      <w:commentRangeStart w:id="1"/>
      <w:r>
        <w:rPr>
          <w:rFonts w:cstheme="minorHAnsi"/>
          <w:sz w:val="24"/>
          <w:szCs w:val="24"/>
        </w:rPr>
        <w:t xml:space="preserve">выполнение работ</w:t>
      </w:r>
      <w:commentRangeEnd w:id="1"/>
      <w:r>
        <w:commentReference w:id="1"/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№</w:t>
      </w:r>
      <w:r>
        <w:rPr>
          <w:rFonts w:cstheme="minorHAnsi"/>
          <w:sz w:val="24"/>
          <w:szCs w:val="24"/>
        </w:rPr>
        <w:t xml:space="preserve">_______</w:t>
      </w:r>
      <w:r>
        <w:rPr>
          <w:rFonts w:cstheme="minorHAnsi"/>
          <w:sz w:val="24"/>
          <w:szCs w:val="24"/>
        </w:rPr>
        <w:t xml:space="preserve">__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 «____» ________ 20__</w:t>
      </w:r>
      <w:r>
        <w:rPr>
          <w:rFonts w:cstheme="minorHAnsi"/>
          <w:sz w:val="24"/>
          <w:szCs w:val="24"/>
        </w:rPr>
        <w:t xml:space="preserve"> г.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Приложение 2.1 </w:t>
      </w:r>
      <w:r>
        <w:rPr>
          <w:rFonts w:cstheme="minorHAnsi"/>
          <w:sz w:val="24"/>
          <w:szCs w:val="24"/>
        </w:rPr>
        <w:t xml:space="preserve">к</w:t>
      </w:r>
      <w:r>
        <w:rPr>
          <w:rFonts w:cstheme="minorHAnsi"/>
          <w:sz w:val="24"/>
          <w:szCs w:val="24"/>
        </w:rPr>
        <w:t xml:space="preserve"> договору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№</w:t>
      </w:r>
      <w:r>
        <w:rPr>
          <w:rFonts w:cstheme="minorHAnsi"/>
          <w:sz w:val="24"/>
          <w:szCs w:val="24"/>
        </w:rPr>
        <w:t xml:space="preserve">_______</w:t>
      </w:r>
      <w:r>
        <w:rPr>
          <w:rFonts w:cstheme="minorHAnsi"/>
          <w:sz w:val="24"/>
          <w:szCs w:val="24"/>
        </w:rPr>
        <w:t xml:space="preserve">__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 «____» ________ 20__</w:t>
      </w:r>
      <w:r>
        <w:rPr>
          <w:rFonts w:cstheme="minorHAnsi"/>
          <w:sz w:val="24"/>
          <w:szCs w:val="24"/>
        </w:rPr>
        <w:t xml:space="preserve"> г.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983"/>
        <w:jc w:val="center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983"/>
        <w:jc w:val="center"/>
        <w:spacing w:before="0" w:after="0" w:afterAutospacing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t xml:space="preserve">Техническое задание</w:t>
      </w: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pStyle w:val="983"/>
        <w:jc w:val="center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на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выполнение работ по теме:</w:t>
      </w: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jc w:val="center"/>
        <w:spacing w:after="0" w:afterAutospacing="0"/>
        <w:rPr>
          <w:b/>
          <w:bCs w:val="0"/>
          <w:i w:val="0"/>
          <w:highlight w:val="none"/>
          <w:lang w:eastAsia="ru-RU"/>
        </w:rPr>
      </w:pPr>
      <w:r>
        <w:rPr>
          <w:b/>
          <w:bCs/>
          <w:i w:val="0"/>
          <w:iCs w:val="0"/>
          <w:highlight w:val="none"/>
          <w:lang w:eastAsia="ru-RU"/>
        </w:rPr>
      </w:r>
      <w:r>
        <w:rPr>
          <w:b/>
          <w:bCs w:val="0"/>
          <w:i w:val="0"/>
          <w:highlight w:val="none"/>
          <w:lang w:eastAsia="ru-RU"/>
        </w:rPr>
      </w:r>
      <w:r>
        <w:rPr>
          <w:b/>
          <w:bCs w:val="0"/>
          <w:i w:val="0"/>
          <w:highlight w:val="none"/>
          <w:lang w:eastAsia="ru-RU"/>
        </w:rPr>
      </w:r>
    </w:p>
    <w:p>
      <w:pPr>
        <w:jc w:val="center"/>
        <w:spacing w:after="0" w:afterAutospacing="0"/>
        <w:rPr>
          <w:b/>
          <w:bCs/>
          <w:i w:val="0"/>
          <w:highlight w:val="none"/>
          <w:lang w:eastAsia="ru-RU"/>
        </w:rPr>
      </w:pPr>
      <w:r>
        <w:rPr>
          <w:b/>
          <w:bCs/>
          <w:i w:val="0"/>
          <w:iCs w:val="0"/>
          <w:highlight w:val="none"/>
          <w:lang w:eastAsia="ru-RU"/>
        </w:rPr>
      </w:r>
      <w:r>
        <w:rPr>
          <w:b/>
          <w:bCs/>
          <w:i w:val="0"/>
          <w:iCs w:val="0"/>
          <w:highlight w:val="none"/>
          <w:lang w:eastAsia="ru-RU"/>
        </w:rPr>
      </w:r>
      <w:commentRangeStart w:id="2"/>
      <w:r>
        <w:rPr>
          <w:b/>
          <w:bCs/>
          <w:i w:val="0"/>
          <w:iCs w:val="0"/>
          <w:highlight w:val="none"/>
          <w:lang w:eastAsia="ru-RU"/>
        </w:rPr>
        <w:t xml:space="preserve">Пересчет запасов Нового нефтяного месторождения ЯНАО</w:t>
      </w:r>
      <w:commentRangeEnd w:id="2"/>
      <w:r>
        <w:commentReference w:id="2"/>
      </w:r>
      <w:r>
        <w:rPr>
          <w:b/>
          <w:bCs/>
          <w:i w:val="0"/>
          <w:highlight w:val="none"/>
          <w:lang w:eastAsia="ru-RU"/>
        </w:rPr>
      </w:r>
      <w:r>
        <w:rPr>
          <w:b/>
          <w:bCs/>
          <w:i w:val="0"/>
          <w:highlight w:val="none"/>
          <w:lang w:eastAsia="ru-RU"/>
        </w:rPr>
      </w:r>
    </w:p>
    <w:p>
      <w:pPr>
        <w:jc w:val="center"/>
        <w:keepNext/>
        <w:rPr>
          <w:rFonts w:ascii="Arial" w:hAnsi="Arial" w:cs="Arial"/>
        </w:rPr>
        <w:outlineLvl w:val="2"/>
      </w:pPr>
      <w:r>
        <w:rPr>
          <w:rFonts w:ascii="Arial" w:hAnsi="Arial" w:eastAsia="Arial" w:cs="Arial"/>
        </w:rPr>
      </w:r>
      <w:commentRangeStart w:id="3"/>
      <w:r>
        <w:rPr>
          <w:rFonts w:ascii="Arial" w:hAnsi="Arial" w:eastAsia="Arial" w:cs="Arial"/>
        </w:rPr>
        <w:t xml:space="preserve">(Проектно-технический документ)</w:t>
      </w:r>
      <w:r>
        <w:rPr>
          <w:rFonts w:ascii="Arial" w:hAnsi="Arial" w:cs="Arial"/>
        </w:rPr>
      </w:r>
      <w:commentRangeEnd w:id="3"/>
      <w:r>
        <w:commentReference w:id="3"/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3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83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Заказчик: </w:t>
      </w:r>
      <w:r>
        <w:rPr>
          <w:b w:val="0"/>
          <w:i/>
          <w:sz w:val="24"/>
          <w:szCs w:val="24"/>
        </w:rPr>
        <w:t xml:space="preserve">указать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58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Цел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 и задачи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 / 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ind w:left="0" w:right="0" w:firstLine="42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Цель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–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актуализация запасов в разбуриваемых участках в соответствии с планом эксплуатационного бурения на месторождениях АО «Газпромнефть-ННГ», с последующей их защитой в ФБУ «ГКЗ» и постановкой на Государственный баланс полезных ископаемых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left="0" w:right="0" w:firstLine="42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highlight w:val="none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Задачи:</w:t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</w:p>
    <w:p>
      <w:pPr>
        <w:pStyle w:val="995"/>
        <w:numPr>
          <w:ilvl w:val="1"/>
          <w:numId w:val="59"/>
        </w:numPr>
        <w:ind w:left="0" w:right="0" w:firstLine="425"/>
        <w:jc w:val="both"/>
        <w:spacing w:after="120" w:line="240" w:lineRule="auto"/>
        <w:tabs>
          <w:tab w:val="left" w:pos="992" w:leader="none"/>
        </w:tabs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Уточнение двумерных геологических моделей продуктивных пластов месторождения с учетом новой геологической информации.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numPr>
          <w:ilvl w:val="1"/>
          <w:numId w:val="59"/>
        </w:numPr>
        <w:ind w:left="0" w:right="0" w:firstLine="425"/>
        <w:jc w:val="both"/>
        <w:spacing w:after="120" w:line="240" w:lineRule="auto"/>
        <w:tabs>
          <w:tab w:val="left" w:pos="992" w:leader="none"/>
        </w:tabs>
        <w:rPr>
          <w:rFonts w:ascii="Arial" w:hAnsi="Arial" w:eastAsia="Times New Roman" w:cs="Arial"/>
          <w:color w:val="8a8a8a" w:themeColor="text1" w:themeTint="99"/>
          <w:sz w:val="24"/>
          <w:szCs w:val="24"/>
          <w:highlight w:val="none"/>
        </w:rPr>
      </w:pPr>
      <w:r>
        <w:rPr>
          <w:rFonts w:ascii="Arial" w:hAnsi="Arial" w:eastAsia="Times New Roman" w:cs="Arial"/>
          <w:color w:val="8a8a8a" w:themeColor="text1" w:themeTint="99"/>
          <w:sz w:val="24"/>
          <w:szCs w:val="24"/>
          <w:highlight w:val="none"/>
          <w:lang w:eastAsia="ru-RU"/>
        </w:rPr>
        <w:t xml:space="preserve">Сопровождение личного кабинета 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highlight w:val="none"/>
          <w:lang w:eastAsia="ru-RU"/>
        </w:rPr>
        <w:t xml:space="preserve">в рамках прохождения экспертизы ФБУ «ГКЗ».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highlight w:val="none"/>
        </w:rPr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highlight w:val="none"/>
        </w:rPr>
      </w:r>
    </w:p>
    <w:p>
      <w:pPr>
        <w:pStyle w:val="995"/>
        <w:numPr>
          <w:ilvl w:val="1"/>
          <w:numId w:val="59"/>
        </w:numPr>
        <w:ind w:left="0" w:right="0" w:firstLine="425"/>
        <w:jc w:val="both"/>
        <w:spacing w:after="120" w:line="240" w:lineRule="auto"/>
        <w:tabs>
          <w:tab w:val="left" w:pos="992" w:leader="none"/>
        </w:tabs>
        <w:rPr>
          <w:rFonts w:ascii="Arial" w:hAnsi="Arial" w:eastAsia="Times New Roman" w:cs="Arial"/>
          <w:color w:val="8a8a8a" w:themeColor="text1" w:themeTint="99"/>
          <w:sz w:val="24"/>
          <w:szCs w:val="24"/>
        </w:rPr>
      </w:pPr>
      <w:r>
        <w:rPr>
          <w:rFonts w:ascii="Arial" w:hAnsi="Arial" w:eastAsia="Times New Roman" w:cs="Arial"/>
          <w:color w:val="8a8a8a" w:themeColor="text1" w:themeTint="99"/>
          <w:sz w:val="24"/>
          <w:szCs w:val="24"/>
          <w:highlight w:val="none"/>
          <w:lang w:eastAsia="ru-RU"/>
        </w:rPr>
        <w:t xml:space="preserve">Оценка приростов запасов УВС по результатам ЗБС.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</w:rPr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</w:rPr>
      </w:r>
    </w:p>
    <w:p>
      <w:pPr>
        <w:pStyle w:val="995"/>
        <w:numPr>
          <w:ilvl w:val="1"/>
          <w:numId w:val="59"/>
        </w:numPr>
        <w:ind w:left="0" w:right="0" w:firstLine="425"/>
        <w:jc w:val="both"/>
        <w:spacing w:after="120" w:line="240" w:lineRule="auto"/>
        <w:tabs>
          <w:tab w:val="left" w:pos="992" w:leader="none"/>
        </w:tabs>
        <w:rPr>
          <w:rFonts w:ascii="Arial" w:hAnsi="Arial" w:eastAsia="Times New Roman" w:cs="Arial"/>
          <w:color w:val="8a8a8a" w:themeColor="text1" w:themeTint="99"/>
          <w:sz w:val="24"/>
          <w:szCs w:val="24"/>
        </w:rPr>
      </w:pP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  <w:t xml:space="preserve">Актуализация программы восполнения РБ,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  <w:t xml:space="preserve">прогноз прироста 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  <w:t xml:space="preserve">УВС 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  <w:t xml:space="preserve">в соответствии с планом эксплуатационного бурения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</w:rPr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color w:val="8a8a8a" w:themeColor="text1" w:themeTint="99"/>
          <w:sz w:val="24"/>
          <w:szCs w:val="24"/>
        </w:rPr>
      </w:pPr>
      <w:r>
        <w:rPr>
          <w:rFonts w:ascii="Arial" w:hAnsi="Arial" w:eastAsia="Times New Roman" w:cs="Arial"/>
          <w:color w:val="8a8a8a" w:themeColor="text1" w:themeTint="99"/>
          <w:sz w:val="24"/>
          <w:szCs w:val="24"/>
          <w:lang w:eastAsia="ru-RU"/>
        </w:rPr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</w:rPr>
      </w:r>
      <w:r>
        <w:rPr>
          <w:rFonts w:ascii="Arial" w:hAnsi="Arial" w:eastAsia="Times New Roman" w:cs="Arial"/>
          <w:color w:val="8a8a8a" w:themeColor="text1" w:themeTint="99"/>
          <w:sz w:val="24"/>
          <w:szCs w:val="24"/>
        </w:rPr>
      </w:r>
    </w:p>
    <w:p>
      <w:pPr>
        <w:pStyle w:val="995"/>
        <w:numPr>
          <w:ilvl w:val="0"/>
          <w:numId w:val="58"/>
        </w:numPr>
        <w:ind w:left="720" w:right="0" w:hanging="29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Периметр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 / 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left="0" w:right="0" w:firstLine="425"/>
        <w:jc w:val="both"/>
        <w:spacing w:after="0" w:afterAutospacing="0" w:line="240" w:lineRule="auto"/>
        <w:tabs>
          <w:tab w:val="left" w:pos="992" w:leader="none"/>
        </w:tabs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Месторождения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АО «Газпромнефть-ННГ»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ind w:left="0" w:right="0" w:firstLine="425"/>
        <w:jc w:val="both"/>
        <w:spacing w:after="0" w:afterAutospacing="0" w:line="240" w:lineRule="auto"/>
        <w:tabs>
          <w:tab w:val="left" w:pos="992" w:leader="none"/>
        </w:tabs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Место выполнения работ: по месту нахождения Исполнителя, без выезда на месторождения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(г. Тюмень, г. Санкт-Петербург)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pP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</w:p>
    <w:p>
      <w:pPr>
        <w:pStyle w:val="995"/>
        <w:numPr>
          <w:ilvl w:val="0"/>
          <w:numId w:val="58"/>
        </w:numPr>
        <w:ind w:left="720" w:right="0" w:hanging="2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Сроки выполнения работ / оказания 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ind w:left="0" w:right="0" w:firstLine="425"/>
        <w:jc w:val="both"/>
        <w:spacing w:after="0" w:afterAutospacing="0" w:line="240" w:lineRule="auto"/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Сроки выполнения этапов определяются календарным планом (Приложение №2).</w:t>
      </w:r>
      <w:r/>
    </w:p>
    <w:p>
      <w:pPr>
        <w:ind w:left="0" w:right="0" w:firstLine="425"/>
        <w:jc w:val="both"/>
        <w:spacing w:after="0" w:afterAutospacing="0" w:line="240" w:lineRule="auto"/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Начало – 12.01.2026 г.</w:t>
      </w:r>
      <w:r/>
    </w:p>
    <w:p>
      <w:pPr>
        <w:ind w:left="0" w:right="0" w:firstLine="425"/>
        <w:jc w:val="both"/>
        <w:spacing w:after="0" w:afterAutospacing="0" w:line="240" w:lineRule="auto"/>
        <w:rPr>
          <w:rFonts w:ascii="Arial" w:hAnsi="Arial" w:eastAsia="Times New Roman" w:cs="Arial"/>
          <w:sz w:val="24"/>
          <w:szCs w:val="24"/>
          <w:highlight w:val="none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Окончание – 25.12.2026 г.</w:t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</w:p>
    <w:p>
      <w:pPr>
        <w:ind w:left="0" w:right="0" w:firstLine="425"/>
        <w:jc w:val="both"/>
        <w:spacing w:after="0" w:afterAutospacing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left="0" w:right="0" w:firstLine="425"/>
        <w:jc w:val="both"/>
        <w:spacing w:after="0" w:afterAutospacing="0" w:line="240" w:lineRule="auto"/>
        <w:rPr>
          <w:rFonts w:ascii="Arial" w:hAnsi="Arial" w:eastAsia="Times New Roman" w:cs="Arial"/>
          <w:sz w:val="24"/>
          <w:szCs w:val="24"/>
          <w:highlight w:val="none"/>
          <w:lang w:eastAsia="ru-RU"/>
        </w:rPr>
      </w:pP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  <w:t xml:space="preserve">Ключевые показатели </w:t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</w:p>
    <w:p>
      <w:pPr>
        <w:ind w:left="0" w:right="0" w:firstLine="425"/>
        <w:jc w:val="both"/>
        <w:spacing w:after="0" w:afterAutospacing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tbl>
      <w:tblPr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980"/>
        <w:gridCol w:w="8051"/>
      </w:tblGrid>
      <w:tr>
        <w:tblPrEx/>
        <w:trPr>
          <w:trHeight w:val="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№ этапа 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eastAsia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Показатели</w:t>
            </w:r>
            <w:r>
              <w:rPr>
                <w:rFonts w:ascii="Arial" w:hAnsi="Arial" w:eastAsia="Arial" w:cs="Arial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/>
                <w:sz w:val="24"/>
                <w:szCs w:val="24"/>
                <w:lang w:val="en-US"/>
              </w:rPr>
            </w:r>
            <w:r>
              <w:rPr>
                <w:rFonts w:ascii="Arial" w:hAnsi="Arial" w:eastAsia="Arial" w:cs="Arial"/>
                <w:b/>
                <w:sz w:val="24"/>
                <w:szCs w:val="24"/>
                <w:lang w:val="en-US"/>
              </w:rPr>
            </w:r>
          </w:p>
        </w:tc>
      </w:tr>
      <w:tr>
        <w:tblPrEx/>
        <w:trPr>
          <w:trHeight w:val="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eastAsia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Этапы 1, 2</w:t>
            </w:r>
            <w:r>
              <w:rPr>
                <w:rFonts w:ascii="Arial" w:hAnsi="Arial" w:eastAsia="Arial" w:cs="Arial"/>
                <w:color w:val="808080" w:themeColor="background1" w:themeShade="8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808080" w:themeColor="background1" w:themeShade="8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51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1. Актуализация проектных решений и реализация лицензионных обязательств с соблюдением требований "Правил разработки месторождений УВС" (приказ МПР от 17.03.2025 №110/02) в срок до 25.12.2026 г.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2. Актуализация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категорийности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 запасов месторождения в соответствии с «Классификацией запасов и ресурсов нефти и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горючих газов» (приказ МПР от 01.11.2013 г. №477) в срок до 25.12.2026 г.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3. Прохождение полного цикла НТС Компании (НТС ДО, НТС ОРД) с согласованием протокола по принятым проектным решениям, в срок до 01.10.2026 г.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4. Прохождение экспертизы и согласования проектного документа в ГКЗ и ЦКР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Роснедр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 по УВС с оформлением экспертного заключения и протоколов ГКЗ и ЦКР 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Роснедр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  <w:t xml:space="preserve"> по УВС, в срок до 25.12.2026 г.</w:t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4"/>
                <w:szCs w:val="24"/>
                <w:lang w:eastAsia="ru-RU"/>
              </w:rPr>
            </w:r>
          </w:p>
        </w:tc>
      </w:tr>
    </w:tbl>
    <w:p>
      <w:pPr>
        <w:ind w:left="0" w:right="0" w:firstLine="425"/>
        <w:jc w:val="both"/>
        <w:spacing w:after="0" w:afterAutospacing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numPr>
          <w:ilvl w:val="0"/>
          <w:numId w:val="58"/>
        </w:numPr>
        <w:ind w:left="720" w:right="0" w:hanging="2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commentRangeStart w:id="4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Содержание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</w:t>
      </w:r>
      <w:commentRangeEnd w:id="4"/>
      <w:r>
        <w:commentReference w:id="4"/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/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услуг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, особенности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их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выполнения и результаты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Указывается перечень работ / услуг в соответстви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 с приложением №1 к Договору «</w:t>
      </w:r>
      <w:r>
        <w:rPr>
          <w:rFonts w:cs="Arial"/>
          <w:sz w:val="24"/>
        </w:rPr>
        <w:t xml:space="preserve">Перечень </w:t>
      </w:r>
      <w:r>
        <w:rPr>
          <w:rFonts w:cs="Arial"/>
          <w:sz w:val="24"/>
        </w:rPr>
        <w:t xml:space="preserve">работ /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» с требованиями к работам / услугам и детализацией ожидаемых результатов (Таблица №1)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№1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: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99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746"/>
        <w:gridCol w:w="2134"/>
        <w:gridCol w:w="2123"/>
        <w:gridCol w:w="3915"/>
      </w:tblGrid>
      <w:tr>
        <w:tblPrEx/>
        <w:trPr>
          <w:trHeight w:val="10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Наименование </w:t>
            </w:r>
            <w:r>
              <w:rPr>
                <w:rFonts w:cs="Arial"/>
                <w:b/>
                <w:sz w:val="20"/>
                <w:szCs w:val="20"/>
              </w:rPr>
              <w:t xml:space="preserve">работы / услуги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Требования к выполнению работ /</w:t>
            </w:r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 xml:space="preserve">оказанию услуг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Ожидаемые результаты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Описание работы / услуги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6" w:type="dxa"/>
            <w:textDirection w:val="lrTb"/>
            <w:noWrap w:val="false"/>
          </w:tcPr>
          <w:p>
            <w:pPr>
              <w:jc w:val="both"/>
              <w:rPr>
                <w:rFonts w:cs="Arial"/>
                <w:i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&lt;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указать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&gt;</w:t>
            </w:r>
            <w:r>
              <w:rPr>
                <w:rFonts w:cs="Arial"/>
                <w:i/>
                <w:color w:val="808080" w:themeColor="background1" w:themeShade="80"/>
                <w:sz w:val="20"/>
                <w:szCs w:val="20"/>
                <w:lang w:val="en-US"/>
              </w:rPr>
            </w:r>
            <w:r>
              <w:rPr>
                <w:rFonts w:cs="Arial"/>
                <w:i/>
                <w:color w:val="808080" w:themeColor="background1" w:themeShade="8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4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Указываются основные требования к выполнения работ / оказанию услуг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3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Указывается итоговый ожидаемый результат (например – согласованный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представителя Заказчика документ в формате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  <w:t xml:space="preserve">PDF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)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5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казывается предмет выполнения работ, его технико-экономические характеристики, особенности выполнения работ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 / услуг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,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укрупнённый состав и объём выполняемых работ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 / услуг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, этапы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6" w:type="dxa"/>
            <w:vMerge w:val="restart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Передача итоговых материалов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4" w:type="dxa"/>
            <w:vMerge w:val="restart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Полный комплект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3" w:type="dxa"/>
            <w:vMerge w:val="restart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И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тоговый комплект отчёта: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сопроводительная документация (для ГКЗ),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ЦБД, 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проект 2Д в ПО Isoline, 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проект 3Д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 в ПО T-Navigator / Petrel, 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протокол ГКЗ, 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паспорт месторождения, 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электронная таблица запасов (к ЭЗ),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995"/>
              <w:numPr>
                <w:ilvl w:val="0"/>
                <w:numId w:val="60"/>
              </w:numPr>
              <w:ind w:left="0" w:right="0" w:firstLine="0"/>
              <w:jc w:val="both"/>
              <w:spacing w:after="0" w:afterAutospacing="0" w:line="240" w:lineRule="auto"/>
              <w:tabs>
                <w:tab w:val="left" w:pos="283" w:leader="none"/>
              </w:tabs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презентация.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5" w:type="dxa"/>
            <w:vMerge w:val="restart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Итоговый отчёт направляется Исполнителем на бумажном и/или электронном носителях: 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pacing w:after="0" w:afterAutospacing="0" w:line="240" w:lineRule="auto"/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в</w:t>
            </w:r>
            <w:commentRangeStart w:id="5"/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 ФГБУ «Росгеолфонд» (1 экз.), в Территориальные фонды геологической информации (1 экз.),</w:t>
            </w:r>
            <w:commentRangeEnd w:id="5"/>
            <w:r>
              <w:commentReference w:id="5"/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  <w:t xml:space="preserve">  Заказчику (1 экз.) – по запросу. </w:t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</w:r>
          </w:p>
          <w:p>
            <w:pPr>
              <w:jc w:val="both"/>
              <w:spacing w:after="0" w:afterAutospacing="0" w:line="240" w:lineRule="auto"/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jc w:val="both"/>
              <w:spacing w:after="0" w:afterAutospacing="0" w:line="240" w:lineRule="auto"/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none"/>
                <w:lang w:eastAsia="ru-RU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eastAsia="Times New Roman" w:cs="Arial"/>
                <w:bCs/>
                <w:i/>
                <w:color w:val="3c3c3c" w:themeColor="text1"/>
                <w:sz w:val="20"/>
                <w:szCs w:val="20"/>
                <w:highlight w:val="none"/>
              </w:rPr>
            </w:r>
          </w:p>
        </w:tc>
      </w:tr>
    </w:tbl>
    <w:p>
      <w:pPr>
        <w:contextualSpacing/>
        <w:jc w:val="both"/>
        <w:shd w:val="clear" w:color="auto" w:fill="ffffff"/>
        <w:widowControl w:val="off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</w:r>
      <w:r>
        <w:rPr>
          <w:rFonts w:ascii="Arial" w:hAnsi="Arial" w:cs="Arial"/>
        </w:rPr>
        <w:t xml:space="preserve">Примечание </w:t>
      </w:r>
      <w:r>
        <w:rPr>
          <w:rFonts w:ascii="Arial" w:hAnsi="Arial" w:cs="Arial"/>
          <w:highlight w:val="yellow"/>
        </w:rPr>
        <w:t xml:space="preserve">для ГПН-Ангара:</w:t>
      </w:r>
      <w:r>
        <w:rPr>
          <w:rFonts w:ascii="Arial" w:hAnsi="Arial" w:cs="Arial"/>
        </w:rPr>
        <w:t xml:space="preserve"> * – </w:t>
      </w:r>
      <w:r>
        <w:rPr>
          <w:rFonts w:ascii="Arial" w:hAnsi="Arial" w:cs="Arial"/>
        </w:rPr>
        <w:t xml:space="preserve">Исполнитель осуществляет сопровождение выполнения работ </w:t>
      </w:r>
      <w:r>
        <w:rPr>
          <w:rFonts w:ascii="Arial" w:hAnsi="Arial" w:cs="Arial"/>
        </w:rPr>
        <w:t xml:space="preserve">Субисполнителей</w:t>
      </w:r>
      <w:r>
        <w:rPr>
          <w:rFonts w:ascii="Arial" w:hAnsi="Arial" w:cs="Arial"/>
        </w:rPr>
        <w:t xml:space="preserve"> на всех этапах, оказывает методическую поддержку, подготовку исходных данных, выработку и согласование решений по проекту в интересах Заказчика (недропользователя).</w:t>
      </w:r>
      <w:r>
        <w:rPr>
          <w:rFonts w:cs="Arial"/>
          <w:b/>
          <w:sz w:val="20"/>
          <w:szCs w:val="20"/>
        </w:rPr>
        <w:t xml:space="preserve"> Важно указать, что Субподряд точно будет и предоставить РС субподряда (см. Вакунайское ОПЗ 2025)</w:t>
      </w:r>
      <w:r>
        <w:rPr>
          <w:rFonts w:cs="Arial"/>
          <w:b/>
          <w:sz w:val="20"/>
          <w:szCs w:val="20"/>
        </w:rPr>
      </w:r>
      <w:r>
        <w:rPr>
          <w:rFonts w:cs="Arial"/>
          <w:b/>
          <w:sz w:val="20"/>
          <w:szCs w:val="20"/>
        </w:rPr>
      </w:r>
    </w:p>
    <w:p>
      <w:pPr>
        <w:pStyle w:val="995"/>
        <w:numPr>
          <w:ilvl w:val="0"/>
          <w:numId w:val="58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Условие выполнения работы / оказания услуги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казывается документация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на основании которой выполняю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тся 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/ услуги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 Условия и сроки выдачи такой документации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Исполнителю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Определяе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тся условия приёма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выполненной работы /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оказанной услуги или отказа от неё.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58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Требования к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документации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Указывается порядок сдачи и приёмки работ /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 Указанный раздел (по мере необходимости) содержит перечень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требования, объём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технических 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отч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ё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тных документов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(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ехническая 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тчётная документация)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предоставляемых Исполнителем в ходе оказания услуг / выполнения работ, а также указывает треб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ование к формату предоставления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2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: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11002" w:type="dxa"/>
        <w:tblInd w:w="-7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552"/>
        <w:gridCol w:w="2268"/>
        <w:gridCol w:w="2410"/>
        <w:gridCol w:w="3772"/>
      </w:tblGrid>
      <w:tr>
        <w:tblPrEx/>
        <w:trPr>
          <w:trHeight w:val="4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Наименование документа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Формат предоставления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Периодичность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Требования к содержанию материалов</w:t>
            </w:r>
            <w:r>
              <w:rPr>
                <w:rFonts w:cs="Arial"/>
                <w:b/>
                <w:sz w:val="20"/>
                <w:szCs w:val="20"/>
              </w:rPr>
            </w:r>
            <w:r>
              <w:rPr>
                <w:rFonts w:cs="Arial"/>
                <w:b/>
                <w:sz w:val="20"/>
                <w:szCs w:val="20"/>
              </w:rPr>
            </w:r>
          </w:p>
        </w:tc>
      </w:tr>
      <w:tr>
        <w:tblPrEx/>
        <w:trPr>
          <w:trHeight w:val="677"/>
        </w:trPr>
        <w:tc>
          <w:tcPr>
            <w:tcW w:w="255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&lt;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реестр рабочего времени Исполнителя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&gt;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В формате 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  <w:t xml:space="preserve">excel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val="en-GB"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Еженедельно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.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377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Пофамильный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 список сотрудников с указанием сколько времени потратил на каждую конкретную задачу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</w:tr>
      <w:tr>
        <w:tblPrEx/>
        <w:trPr>
          <w:trHeight w:val="936"/>
        </w:trPr>
        <w:tc>
          <w:tcPr>
            <w:tcW w:w="255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&lt;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наименование документа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&gt;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Формат предоставления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Период предоставления документа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  <w:tc>
          <w:tcPr>
            <w:tcW w:w="3772" w:type="dxa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  <w:t xml:space="preserve">Что должно содержаться в документе (в т.ч. может быть ссылка на форму документа)</w:t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  <w:r>
              <w:rPr>
                <w:rFonts w:eastAsia="Times New Roman" w:cs="Arial"/>
                <w:i/>
                <w:color w:val="3c3c3c" w:themeColor="text1"/>
                <w:sz w:val="20"/>
                <w:szCs w:val="20"/>
                <w:highlight w:val="lightGray"/>
                <w:lang w:eastAsia="ru-RU"/>
              </w:rPr>
            </w:r>
          </w:p>
        </w:tc>
      </w:tr>
    </w:tbl>
    <w:p>
      <w:pPr>
        <w:contextualSpacing/>
        <w:spacing w:before="120" w:after="120"/>
        <w:widowControl w:val="off"/>
        <w:tabs>
          <w:tab w:val="left" w:pos="6804" w:leader="none"/>
        </w:tabs>
        <w:rPr>
          <w:rFonts w:cs="Arial"/>
          <w:color w:val="666666" w:themeColor="text2" w:themeTint="99"/>
          <w:sz w:val="20"/>
          <w:szCs w:val="20"/>
        </w:rPr>
      </w:pPr>
      <w:r>
        <w:rPr>
          <w:rFonts w:cs="Arial"/>
          <w:color w:val="666666" w:themeColor="text2" w:themeTint="99"/>
          <w:sz w:val="20"/>
          <w:szCs w:val="20"/>
        </w:rPr>
      </w:r>
      <w:r>
        <w:rPr>
          <w:rFonts w:cs="Arial"/>
          <w:color w:val="666666" w:themeColor="text2" w:themeTint="99"/>
          <w:sz w:val="20"/>
          <w:szCs w:val="20"/>
        </w:rPr>
      </w:r>
      <w:r>
        <w:rPr>
          <w:rFonts w:cs="Arial"/>
          <w:color w:val="666666" w:themeColor="text2" w:themeTint="99"/>
          <w:sz w:val="20"/>
          <w:szCs w:val="20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58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Контроль качества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highlight w:val="none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Указываются методы управления качеством Исполнителя со стороны заказчика, в том числе прописывается механизм эскалации возникающих вопросов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firstLine="709"/>
        <w:jc w:val="bot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Разработанная методика обработки и интерпретации материалов ГИС, а также полученные в итоге </w:t>
      </w:r>
      <w:r>
        <w:rPr>
          <w:rFonts w:ascii="Arial" w:hAnsi="Arial" w:cs="Arial"/>
          <w:sz w:val="24"/>
          <w:szCs w:val="24"/>
        </w:rPr>
        <w:t xml:space="preserve">подсчётные</w:t>
      </w:r>
      <w:r>
        <w:rPr>
          <w:rFonts w:ascii="Arial" w:hAnsi="Arial" w:cs="Arial"/>
          <w:sz w:val="24"/>
          <w:szCs w:val="24"/>
        </w:rPr>
        <w:t xml:space="preserve"> параметры и собственно пересчет запасов УВ должны отвечать требованиям ФБУ «ГКЗ», включая: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Закон РФ от 21.02.1992 № 2395-1 «О недрах»;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Постановле</w:t>
      </w:r>
      <w:r>
        <w:rPr>
          <w:rFonts w:ascii="Arial" w:hAnsi="Arial" w:cs="Arial"/>
          <w:sz w:val="24"/>
          <w:szCs w:val="24"/>
        </w:rPr>
        <w:t xml:space="preserve">ние правительства РФ от 01.03.2023 г. №335 «О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«Классификация запасов и ресурсов нефти и горючих газов. Нормативно-методическая документация». – М: ЕСОЭН.2018, под ред. А.Н. Шабанова;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«Методические рекомендации по применению классификации запасов и ресурсов нефти и горючих газов», утв. Распоряжением МПР №3-р от 01.02.2016 г.;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Приказ МПР </w:t>
      </w:r>
      <w:r>
        <w:rPr>
          <w:rFonts w:ascii="Arial" w:hAnsi="Arial" w:cs="Arial"/>
          <w:sz w:val="24"/>
          <w:szCs w:val="24"/>
        </w:rPr>
        <w:t xml:space="preserve">от 01.11.2013 №477</w:t>
      </w:r>
      <w:r>
        <w:rPr>
          <w:rFonts w:ascii="Arial" w:hAnsi="Arial" w:cs="Arial"/>
          <w:sz w:val="24"/>
          <w:szCs w:val="24"/>
          <w:highlight w:val="none"/>
        </w:rPr>
        <w:t xml:space="preserve"> Классификация запасов и ресурсов нефти и горючих газов;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«Методические рекомендации по подсчёту геологических запасов нефти и газа объёмным методом», под ред. </w:t>
      </w:r>
      <w:r>
        <w:rPr>
          <w:rFonts w:ascii="Arial" w:hAnsi="Arial" w:cs="Arial"/>
          <w:sz w:val="24"/>
          <w:szCs w:val="24"/>
        </w:rPr>
        <w:t xml:space="preserve">Петерсилье</w:t>
      </w:r>
      <w:r>
        <w:rPr>
          <w:rFonts w:ascii="Arial" w:hAnsi="Arial" w:cs="Arial"/>
          <w:sz w:val="24"/>
          <w:szCs w:val="24"/>
        </w:rPr>
        <w:t xml:space="preserve"> В.И. и др., Москва-Тверь, 2003 г.;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«Методические рекомендации по подсчёту геологических запасов нефти и газа объёмным методом», Москва, 2025 г.;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Разъяснение по заполнению таблиц к заключению государственной экспертизы по подсчету запасов и оперативному изменению состояния запасов УВС», протокол ФАН от 08.11.2024 г. №03-17/8-пр;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Рекомендации по «Структуре и организации проведения государственной экспертизы оперативного изменения состояния запасов УВС» (Приложение 1 к приказу ФБУ «ГКЗ» №01-9/100-орг. от 02.02.2015 г.);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«Требования к составу и правилам оформления представляемых на государственную экспертизу материалов по подсчету запасов нефти и горючих газов», утвержденные приказом МПР № 564 от 28.12.2015 г.;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Приказ МПР от 23.08.2022 г. № 549 «Об утверждении требований к содержанию геологической информации о недрах и формы ее представления»;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«Рекомендации к методике построения геологических моделей при подсчете запасов углеводородного сырья», разработанные ФБУ «ГКЗ» и одобренные решением Министерства природных ресурсов и экологии Российской Федерации протокол № 6 от 10.02.2015 г.;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Приказ МПР №110/02, Роснедр №02 от 17.03.2025 г. Об утверждении «Правил разработки месторождения углеводородного сырья»;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95"/>
        <w:numPr>
          <w:ilvl w:val="0"/>
          <w:numId w:val="61"/>
        </w:numPr>
        <w:ind w:left="0" w:firstLine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Стандарт компании ПАО ГПН СК-01.01.04.01.03 «Планирование, разработка и утверждение материалов по подсчету запасов углеводородов».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95"/>
        <w:numPr>
          <w:ilvl w:val="0"/>
          <w:numId w:val="58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Условия привлечения субподрядчиков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highlight w:val="none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тся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возможность привлечения субподрядчиков к выполнению 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максимальный объём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оказания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/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силами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сторонних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суб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подрядчиков, требования к привлечению подрядчиков в том числе: требования к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суб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подрядчикам, методы согласования приглашаемых субподрядчиков с Заказчиком, отчётность о вовлечении субподрядчиков, требования к управлению качеством субподрядчиков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прочее.</w:t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none"/>
          <w:lang w:eastAsia="ru-RU"/>
        </w:rPr>
      </w:r>
    </w:p>
    <w:p>
      <w:pPr>
        <w:ind w:firstLine="567"/>
        <w:jc w:val="both"/>
        <w:spacing w:after="0" w:afterAutospacing="0" w:line="240" w:lineRule="auto"/>
        <w:tabs>
          <w:tab w:val="left" w:pos="854" w:leader="none"/>
        </w:tabs>
        <w:rPr>
          <w:rFonts w:ascii="Arial" w:hAnsi="Arial" w:eastAsia="Arial" w:cs="Arial"/>
          <w:bCs/>
          <w:color w:val="3c3c3c" w:themeColor="text1"/>
          <w:sz w:val="22"/>
          <w:szCs w:val="22"/>
          <w:highlight w:val="none"/>
        </w:rPr>
      </w:pPr>
      <w:r>
        <w:rPr>
          <w:rFonts w:ascii="Arial" w:hAnsi="Arial" w:eastAsia="Times New Roman" w:cs="Arial"/>
          <w:color w:val="3c3c3c" w:themeColor="text1"/>
          <w:sz w:val="22"/>
          <w:szCs w:val="22"/>
          <w:highlight w:val="yellow"/>
          <w:u w:val="single"/>
          <w:lang w:eastAsia="ru-RU"/>
        </w:rPr>
        <w:t xml:space="preserve">Формулировка для ГПН-Хантос: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  <w:u w:val="single"/>
          <w:lang w:eastAsia="ru-RU"/>
        </w:rPr>
        <w:t xml:space="preserve"> </w:t>
      </w:r>
      <w:r>
        <w:rPr>
          <w:rFonts w:ascii="Arial" w:hAnsi="Arial" w:eastAsia="Arial" w:cs="Arial"/>
          <w:bCs/>
          <w:color w:val="3c3c3c" w:themeColor="text1"/>
          <w:sz w:val="22"/>
          <w:szCs w:val="22"/>
          <w:highlight w:val="none"/>
        </w:rPr>
        <w:t xml:space="preserve">Возможность и условия привлечения Исполнителем субподрядных организаций к выполнению работ (оказанию услуг) по Заказу определяется Сторонами в соответствии с положениями статьи 15 ТРД и установленным в Группе компаний «Газпром нефть» порядком привлечения с</w:t>
      </w:r>
      <w:r>
        <w:rPr>
          <w:rFonts w:ascii="Arial" w:hAnsi="Arial" w:eastAsia="Arial" w:cs="Arial"/>
          <w:bCs/>
          <w:color w:val="3c3c3c" w:themeColor="text1"/>
          <w:sz w:val="22"/>
          <w:szCs w:val="22"/>
          <w:highlight w:val="none"/>
        </w:rPr>
        <w:t xml:space="preserve">убподрядных организаций. </w:t>
      </w:r>
      <w:r>
        <w:rPr>
          <w:rFonts w:ascii="Arial" w:hAnsi="Arial" w:eastAsia="Arial" w:cs="Arial"/>
          <w:bCs/>
          <w:color w:val="3c3c3c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Cs/>
          <w:color w:val="3c3c3c" w:themeColor="text1"/>
          <w:sz w:val="22"/>
          <w:szCs w:val="22"/>
          <w:highlight w:val="none"/>
        </w:rPr>
      </w:r>
    </w:p>
    <w:p>
      <w:pPr>
        <w:jc w:val="both"/>
        <w:spacing w:after="0" w:afterAutospacing="0" w:line="240" w:lineRule="auto"/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Cs/>
          <w:color w:val="3c3c3c" w:themeColor="text1"/>
          <w:sz w:val="22"/>
          <w:szCs w:val="22"/>
          <w:highlight w:val="none"/>
        </w:rPr>
        <w:t xml:space="preserve">При привлечении Исполнителем субподрядных организаций (в случае наличия возможности согласно установленному порядку), передаваемый субподрядчику/ам объем работ (услуг) не должен превышать 70% от общей стоимости Наряд-заказа.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</w:r>
    </w:p>
    <w:p>
      <w:pPr>
        <w:ind w:left="0" w:right="0" w:firstLine="567"/>
        <w:jc w:val="both"/>
        <w:spacing w:after="0" w:afterAutospacing="0" w:line="240" w:lineRule="auto"/>
        <w:rPr>
          <w:rFonts w:ascii="Arial" w:hAnsi="Arial" w:eastAsia="Times New Roman" w:cs="Arial"/>
          <w:b/>
          <w:bCs/>
          <w:color w:val="3c3c3c" w:themeColor="text1"/>
          <w:sz w:val="22"/>
          <w:szCs w:val="22"/>
        </w:rPr>
      </w:pP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  <w:u w:val="single"/>
          <w:lang w:eastAsia="ru-RU"/>
        </w:rPr>
        <w:t xml:space="preserve">Д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yellow"/>
          <w:u w:val="single"/>
          <w:lang w:eastAsia="ru-RU"/>
        </w:rPr>
        <w:t xml:space="preserve">ля СМНГ: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  <w:t xml:space="preserve">СМНГ ведет производственную программу без указания субподряда (НОЦ+внешний СубПО) в связи с их требованиями предоставления </w:t>
      </w:r>
      <w:r>
        <w:rPr>
          <w:rFonts w:ascii="Arial" w:hAnsi="Arial" w:eastAsia="Times New Roman" w:cs="Arial"/>
          <w:b/>
          <w:bCs/>
          <w:color w:val="3c3c3c" w:themeColor="text1"/>
          <w:sz w:val="22"/>
          <w:szCs w:val="22"/>
          <w:highlight w:val="none"/>
        </w:rPr>
        <w:t xml:space="preserve">расчета по субподряду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  <w:t xml:space="preserve">, </w:t>
      </w:r>
      <w:r>
        <w:rPr>
          <w:rFonts w:ascii="Arial" w:hAnsi="Arial" w:eastAsia="Times New Roman" w:cs="Arial"/>
          <w:b/>
          <w:bCs/>
          <w:color w:val="3c3c3c" w:themeColor="text1"/>
          <w:sz w:val="22"/>
          <w:szCs w:val="22"/>
          <w:highlight w:val="none"/>
        </w:rPr>
        <w:t xml:space="preserve">что крайне не удобно и никому не нужно</w:t>
      </w:r>
      <w:r>
        <w:rPr>
          <w:rFonts w:ascii="Arial" w:hAnsi="Arial" w:eastAsia="Times New Roman" w:cs="Arial"/>
          <w:b/>
          <w:bCs/>
          <w:color w:val="3c3c3c" w:themeColor="text1"/>
          <w:sz w:val="22"/>
          <w:szCs w:val="22"/>
        </w:rPr>
      </w:r>
      <w:r>
        <w:rPr>
          <w:rFonts w:ascii="Arial" w:hAnsi="Arial" w:eastAsia="Times New Roman" w:cs="Arial"/>
          <w:b/>
          <w:bCs/>
          <w:color w:val="3c3c3c" w:themeColor="text1"/>
          <w:sz w:val="22"/>
          <w:szCs w:val="22"/>
        </w:rPr>
      </w:r>
    </w:p>
    <w:p>
      <w:pPr>
        <w:pStyle w:val="995"/>
        <w:ind w:left="0" w:right="0" w:firstLine="567"/>
        <w:jc w:val="both"/>
        <w:spacing w:after="120" w:line="240" w:lineRule="auto"/>
        <w:rPr>
          <w:rFonts w:ascii="Arial" w:hAnsi="Arial" w:eastAsia="Times New Roman" w:cs="Arial"/>
          <w:b/>
          <w:bCs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  <w:u w:val="single"/>
          <w:lang w:eastAsia="ru-RU"/>
        </w:rPr>
        <w:t xml:space="preserve">Д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yellow"/>
          <w:u w:val="single"/>
          <w:lang w:eastAsia="ru-RU"/>
        </w:rPr>
        <w:t xml:space="preserve">ля ГПН-Ангара: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  <w:t xml:space="preserve">П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  <w:t xml:space="preserve">орядок привлечения Субподрядчиков регламентируется типовыми разделами договора ПАО «Газпром нефть» (ТРД), опубликованного на внутреннем портале ПАО «Газпром нефть» в разделе «База знаний / Документы / Типовые разделы договора для внутригрупповых сделок. Ис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  <w:t xml:space="preserve">полнитель несет ответственность за исполнение или ненадлежащее исполнение обязательств этими третьими лицами как за свои собственные действия.</w:t>
      </w:r>
      <w:r>
        <w:rPr>
          <w:rFonts w:ascii="Arial" w:hAnsi="Arial" w:eastAsia="Times New Roman" w:cs="Arial"/>
          <w:color w:val="3c3c3c" w:themeColor="text1"/>
          <w:sz w:val="22"/>
          <w:szCs w:val="22"/>
          <w:highlight w:val="none"/>
        </w:rPr>
        <w:t xml:space="preserve"> </w:t>
      </w:r>
      <w:r>
        <w:rPr>
          <w:rFonts w:ascii="Arial" w:hAnsi="Arial" w:eastAsia="Times New Roman" w:cs="Arial"/>
          <w:b/>
          <w:bCs/>
          <w:color w:val="3c3c3c" w:themeColor="text1"/>
          <w:sz w:val="22"/>
          <w:szCs w:val="22"/>
          <w:highlight w:val="none"/>
        </w:rPr>
        <w:t xml:space="preserve">Предоставлять РС субподряда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bCs/>
          <w:sz w:val="24"/>
          <w:szCs w:val="24"/>
          <w:lang w:eastAsia="ru-RU"/>
        </w:rPr>
      </w:r>
    </w:p>
    <w:p>
      <w:pPr>
        <w:pStyle w:val="995"/>
        <w:jc w:val="both"/>
        <w:spacing w:after="120" w:line="240" w:lineRule="auto"/>
        <w:rPr>
          <w:rFonts w:ascii="Arial" w:hAnsi="Arial" w:eastAsia="Times New Roman" w:cs="Arial"/>
          <w:b/>
          <w:bCs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bCs/>
          <w:sz w:val="24"/>
          <w:szCs w:val="24"/>
          <w:lang w:eastAsia="ru-RU"/>
        </w:rPr>
      </w:r>
    </w:p>
    <w:p>
      <w:pPr>
        <w:pStyle w:val="995"/>
        <w:numPr>
          <w:ilvl w:val="0"/>
          <w:numId w:val="58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Иные условия выполнения работ / оказания услуг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Указываются основные и/или особые требования затрагивающие вопросы координации, контроля управления выполняемыми работами / оказываемыми услугами, требования к качеству и безопасности выполнения работ, охране окружающей среды, специальные условия,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прочее.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tbl>
      <w:tblPr>
        <w:tblW w:w="964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5"/>
        <w:gridCol w:w="4380"/>
      </w:tblGrid>
      <w:tr>
        <w:tblPrEx/>
        <w:trPr>
          <w:cantSplit/>
          <w:trHeight w:val="1247"/>
        </w:trPr>
        <w:tc>
          <w:tcPr>
            <w:tcW w:w="5265" w:type="dxa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</w:p>
          <w:p>
            <w:pPr>
              <w:keepNext/>
              <w:spacing w:after="0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 xml:space="preserve">ЗАКАЗЧИК</w:t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____________________ /</w:t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</w:tc>
        <w:tc>
          <w:tcPr>
            <w:tcW w:w="4380" w:type="dxa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Arial" w:hAnsi="Arial" w:cs="Arial"/>
                <w:b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  <w:r>
              <w:rPr>
                <w:rFonts w:ascii="Arial" w:hAnsi="Arial" w:cs="Arial"/>
                <w:b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  <w:r>
              <w:rPr>
                <w:rFonts w:ascii="Arial" w:hAnsi="Arial" w:cs="Arial"/>
                <w:sz w:val="23"/>
                <w:szCs w:val="23"/>
              </w:rPr>
            </w:r>
          </w:p>
          <w:p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___________________ /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</w:r>
          </w:p>
        </w:tc>
      </w:tr>
    </w:tbl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276" w:header="709" w:footer="709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kondrashova.vs" w:date="2026-03-05T11:33:41Z" w:initials="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Для некоторых недропользователей</w:t>
      </w:r>
    </w:p>
  </w:comment>
  <w:comment w:id="5" w:author="kondrashova.vs" w:date="2025-12-09T15:03:17Z" w:initials="k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уточнить у недропользователя, будут ли сами грузить в ЕФГИ и направлять в фонды, готовы ли сделать доверенность на субподрядчика</w:t>
      </w:r>
    </w:p>
  </w:comment>
  <w:comment w:id="4" w:author="kondrashova.vs" w:date="2025-11-26T11:50:38Z" w:initials="k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сн-мнг, Хантос в ЕФГИ сами грузят</w:t>
      </w:r>
    </w:p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ГПН-Ямал, ННГ - доверенность у авторов</w:t>
      </w:r>
    </w:p>
  </w:comment>
  <w:comment w:id="3" w:author="kondrashova.vs" w:date="2025-11-26T11:21:10Z" w:initials="k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Все работы под статусом ПТД (даже не в поддержку ТСР)</w:t>
      </w:r>
    </w:p>
  </w:comment>
  <w:comment w:id="2" w:author="kondrashova.vs" w:date="2025-11-26T11:20:41Z" w:initials="k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программе, в ТЗ / КП / РС единое название.</w:t>
      </w:r>
    </w:p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1. ОПЗ (с / без ПТД)</w:t>
      </w:r>
    </w:p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2. ТРИЗ (Налоговые льготы)</w:t>
      </w:r>
    </w:p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3. ПЗ в поддержку ПТД</w:t>
      </w:r>
    </w:p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4. Экспертизы</w:t>
      </w:r>
    </w:p>
  </w:comment>
  <w:comment w:id="1" w:author="kondrashova.vs" w:date="2025-11-26T11:16:09Z" w:initials="k"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Цент выполняет РАБОТЫ, услуги не предоставляем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4" w15:done="0"/>
  <w15:commentEx w15:paraId="00000005" w15:done="0"/>
  <w15:commentEx w15:paraId="0000000A" w15:done="0"/>
  <w15:commentEx w15:paraId="000000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5012022" w16cex:dateUtc="2026-03-05T06:33:41Z"/>
  <w16cex:commentExtensible w16cex:durableId="5E4DC16B" w16cex:dateUtc="2025-12-09T10:03:17Z"/>
  <w16cex:commentExtensible w16cex:durableId="6BCC9A08" w16cex:dateUtc="2025-11-26T06:50:38Z"/>
  <w16cex:commentExtensible w16cex:durableId="7E7E0582" w16cex:dateUtc="2025-11-26T06:21:10Z"/>
  <w16cex:commentExtensible w16cex:durableId="4E2FBFA4" w16cex:dateUtc="2025-11-26T06:20:41Z"/>
  <w16cex:commentExtensible w16cex:durableId="715C976A" w16cex:dateUtc="2025-11-26T06:16:0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5012022"/>
  <w16cid:commentId w16cid:paraId="00000002" w16cid:durableId="5E4DC16B"/>
  <w16cid:commentId w16cid:paraId="00000004" w16cid:durableId="6BCC9A08"/>
  <w16cid:commentId w16cid:paraId="00000005" w16cid:durableId="7E7E0582"/>
  <w16cid:commentId w16cid:paraId="0000000A" w16cid:durableId="4E2FBFA4"/>
  <w16cid:commentId w16cid:paraId="0000000B" w16cid:durableId="715C976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07944994"/>
      <w:docPartObj>
        <w:docPartGallery w:val="Page Numbers (Bottom of Page)"/>
        <w:docPartUnique w:val="true"/>
      </w:docPartObj>
      <w:rPr/>
    </w:sdtPr>
    <w:sdtContent>
      <w:p>
        <w:pPr>
          <w:pStyle w:val="101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01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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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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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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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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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150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  <w:tabs>
          <w:tab w:val="num" w:pos="720" w:leader="none"/>
        </w:tabs>
      </w:pPr>
      <w:rPr>
        <w:rFonts w:hint="default" w:ascii="Calibri" w:hAnsi="Calibri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8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firstLine="340"/>
        <w:tabs>
          <w:tab w:val="num" w:pos="68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"/>
      <w:lvlJc w:val="left"/>
      <w:pPr>
        <w:ind w:left="-160" w:firstLine="340"/>
        <w:tabs>
          <w:tab w:val="num" w:pos="634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"/>
      <w:lvlJc w:val="left"/>
      <w:pPr>
        <w:ind w:firstLine="340"/>
        <w:tabs>
          <w:tab w:val="num" w:pos="2705" w:leader="none"/>
        </w:tabs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"/>
      <w:lvlJc w:val="left"/>
      <w:pPr>
        <w:ind w:firstLine="340"/>
        <w:tabs>
          <w:tab w:val="num" w:pos="1420" w:leader="none"/>
        </w:tabs>
      </w:pPr>
      <w:rPr>
        <w:rFonts w:hint="default" w:cs="Times New Roman"/>
      </w:rPr>
    </w:lvl>
    <w:lvl w:ilvl="4">
      <w:start w:val="1"/>
      <w:numFmt w:val="russianLower"/>
      <w:isLgl w:val="false"/>
      <w:suff w:val="space"/>
      <w:lvlText w:val="%5)"/>
      <w:lvlJc w:val="left"/>
      <w:pPr>
        <w:ind w:firstLine="340"/>
      </w:pPr>
      <w:rPr>
        <w:rFonts w:hint="default" w:cs="Times New Roman"/>
      </w:rPr>
    </w:lvl>
    <w:lvl w:ilvl="5">
      <w:start w:val="1"/>
      <w:numFmt w:val="decimal"/>
      <w:isLgl w:val="false"/>
      <w:suff w:val="space"/>
      <w:lvlText w:val="%6)"/>
      <w:lvlJc w:val="left"/>
      <w:pPr>
        <w:ind w:left="680"/>
      </w:pPr>
      <w:rPr>
        <w:rFonts w:hint="default" w:cs="Times New Roman"/>
      </w:rPr>
    </w:lvl>
    <w:lvl w:ilvl="6">
      <w:start w:val="1"/>
      <w:numFmt w:val="decimalZero"/>
      <w:isLgl w:val="false"/>
      <w:suff w:val="tab"/>
      <w:lvlText w:val="%7"/>
      <w:lvlJc w:val="left"/>
      <w:pPr>
        <w:ind w:left="340" w:hanging="340"/>
        <w:tabs>
          <w:tab w:val="num" w:pos="340" w:leader="none"/>
        </w:tabs>
      </w:pPr>
      <w:rPr>
        <w:rFonts w:hint="default" w:cs="Times New Roman"/>
      </w:rPr>
    </w:lvl>
    <w:lvl w:ilvl="7">
      <w:start w:val="1"/>
      <w:numFmt w:val="decimalZero"/>
      <w:isLgl w:val="false"/>
      <w:suff w:val="space"/>
      <w:lvlText w:val="%8."/>
      <w:lvlJc w:val="left"/>
      <w:pPr>
        <w:ind w:left="567" w:hanging="340"/>
      </w:pPr>
      <w:rPr>
        <w:rFonts w:hint="default" w:cs="Times New Roman"/>
      </w:rPr>
    </w:lvl>
    <w:lvl w:ilvl="8">
      <w:start w:val="1"/>
      <w:numFmt w:val="decimalZero"/>
      <w:isLgl w:val="false"/>
      <w:suff w:val="space"/>
      <w:lvlText w:val="%7.%9"/>
      <w:lvlJc w:val="left"/>
      <w:pPr>
        <w:ind w:left="567"/>
      </w:pPr>
      <w:rPr>
        <w:rFonts w:hint="default" w:cs="Times New Roman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107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79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1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3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5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7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9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1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33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5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7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9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1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3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5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7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93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218" w:hanging="360"/>
      </w:pPr>
      <w:rPr>
        <w:rFonts w:hint="default" w:ascii="Arial" w:hAnsi="Arial" w:eastAsia="Times New Roman" w:cs="Arial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93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65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7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9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81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53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25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78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150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•"/>
      <w:lvlJc w:val="left"/>
      <w:pPr>
        <w:ind w:left="1785" w:hanging="705"/>
      </w:pPr>
      <w:rPr>
        <w:rFonts w:hint="default" w:ascii="Arial" w:hAnsi="Arial" w:eastAsia="Times New Roman" w:cs="Aria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suff w:val="tab"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suff w:val="tab"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suff w:val="tab"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suff w:val="tab"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suff w:val="tab"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suff w:val="tab"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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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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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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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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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9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5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1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1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3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5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7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9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1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3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5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78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3"/>
      <w:numFmt w:val="bullet"/>
      <w:pStyle w:val="1006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70" w:hanging="71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−"/>
      <w:lvlJc w:val="left"/>
      <w:pPr>
        <w:ind w:left="1500" w:hanging="360"/>
      </w:pPr>
      <w:rPr>
        <w:rFonts w:hint="default" w:ascii="Arial" w:hAnsi="Arial"/>
        <w:sz w:val="22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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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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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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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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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  <w:tabs>
          <w:tab w:val="num" w:pos="720" w:leader="none"/>
        </w:tabs>
      </w:pPr>
      <w:rPr>
        <w:rFonts w:hint="default" w:ascii="Calibri" w:hAnsi="Calibri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9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5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1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1177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89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1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3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5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7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9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1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37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9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5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1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  <w:rPr>
        <w:rFonts w:hint="default"/>
        <w:b w:val="0"/>
        <w:i w:val="0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1000" w:hanging="432"/>
        <w:tabs>
          <w:tab w:val="num" w:pos="-152" w:leader="none"/>
        </w:tabs>
      </w:pPr>
      <w:rPr>
        <w:rFonts w:hint="default"/>
        <w:b w:val="0"/>
        <w:i w:val="0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674" w:hanging="504"/>
        <w:tabs>
          <w:tab w:val="num" w:pos="450" w:leader="none"/>
        </w:tabs>
      </w:pPr>
      <w:rPr>
        <w:rFonts w:hint="default"/>
      </w:rPr>
    </w:lvl>
    <w:lvl w:ilvl="3">
      <w:start w:val="1"/>
      <w:numFmt w:val="bullet"/>
      <w:isLgl w:val="false"/>
      <w:suff w:val="tab"/>
      <w:lvlText w:val=""/>
      <w:lvlJc w:val="left"/>
      <w:pPr>
        <w:ind w:left="1728" w:hanging="648"/>
        <w:tabs>
          <w:tab w:val="num" w:pos="0" w:leader="none"/>
        </w:tabs>
      </w:pPr>
      <w:rPr>
        <w:rFonts w:hint="default" w:ascii="Wingdings" w:hAnsi="Wingdings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  <w:rPr>
        <w:rFonts w:hint="default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1125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84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6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8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0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4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6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 w:asciiTheme="minorHAnsi" w:hAnsiTheme="minorHAnsi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 w:asciiTheme="minorHAnsi" w:hAnsiTheme="minorHAnsi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 w:asciiTheme="minorHAnsi" w:hAnsiTheme="minorHAnsi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 w:asciiTheme="minorHAnsi" w:hAnsiTheme="minorHAnsi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 w:asciiTheme="minorHAnsi" w:hAnsiTheme="minorHAnsi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 w:asciiTheme="minorHAnsi" w:hAnsiTheme="minorHAnsi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 w:asciiTheme="minorHAnsi" w:hAnsiTheme="minorHAnsi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 w:asciiTheme="minorHAnsi" w:hAnsiTheme="minorHAnsi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 w:asciiTheme="minorHAnsi" w:hAnsiTheme="minorHAnsi"/>
      </w:rPr>
    </w:lvl>
  </w:abstractNum>
  <w:abstractNum w:abstractNumId="5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540" w:hanging="540"/>
        <w:tabs>
          <w:tab w:val="num" w:pos="540" w:leader="none"/>
        </w:tabs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540"/>
        <w:tabs>
          <w:tab w:val="num" w:pos="360" w:leader="none"/>
        </w:tabs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  <w:i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" w:hanging="720"/>
        <w:tabs>
          <w:tab w:val="num" w:pos="1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60" w:hanging="1080"/>
        <w:tabs>
          <w:tab w:val="num" w:pos="3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80" w:hanging="1080"/>
        <w:tabs>
          <w:tab w:val="num" w:pos="1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" w:hanging="1440"/>
        <w:tabs>
          <w:tab w:val="num" w:pos="3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" w:hanging="1440"/>
        <w:tabs>
          <w:tab w:val="num" w:pos="1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60" w:hanging="1800"/>
        <w:tabs>
          <w:tab w:val="num" w:pos="360" w:leader="none"/>
        </w:tabs>
      </w:pPr>
      <w:rPr>
        <w:rFonts w:hint="default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8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4"/>
  </w:num>
  <w:num w:numId="2">
    <w:abstractNumId w:val="45"/>
  </w:num>
  <w:num w:numId="3">
    <w:abstractNumId w:val="39"/>
  </w:num>
  <w:num w:numId="4">
    <w:abstractNumId w:val="33"/>
  </w:num>
  <w:num w:numId="5">
    <w:abstractNumId w:val="3"/>
  </w:num>
  <w:num w:numId="6">
    <w:abstractNumId w:val="51"/>
  </w:num>
  <w:num w:numId="7">
    <w:abstractNumId w:val="25"/>
  </w:num>
  <w:num w:numId="8">
    <w:abstractNumId w:val="9"/>
  </w:num>
  <w:num w:numId="9">
    <w:abstractNumId w:val="27"/>
  </w:num>
  <w:num w:numId="10">
    <w:abstractNumId w:val="37"/>
  </w:num>
  <w:num w:numId="11">
    <w:abstractNumId w:val="43"/>
  </w:num>
  <w:num w:numId="12">
    <w:abstractNumId w:val="19"/>
  </w:num>
  <w:num w:numId="13">
    <w:abstractNumId w:val="24"/>
  </w:num>
  <w:num w:numId="14">
    <w:abstractNumId w:val="42"/>
  </w:num>
  <w:num w:numId="15">
    <w:abstractNumId w:val="55"/>
  </w:num>
  <w:num w:numId="16">
    <w:abstractNumId w:val="26"/>
  </w:num>
  <w:num w:numId="17">
    <w:abstractNumId w:val="44"/>
  </w:num>
  <w:num w:numId="18">
    <w:abstractNumId w:val="18"/>
  </w:num>
  <w:num w:numId="19">
    <w:abstractNumId w:val="10"/>
  </w:num>
  <w:num w:numId="20">
    <w:abstractNumId w:val="48"/>
  </w:num>
  <w:num w:numId="21">
    <w:abstractNumId w:val="53"/>
  </w:num>
  <w:num w:numId="22">
    <w:abstractNumId w:val="15"/>
  </w:num>
  <w:num w:numId="23">
    <w:abstractNumId w:val="14"/>
  </w:num>
  <w:num w:numId="24">
    <w:abstractNumId w:val="28"/>
  </w:num>
  <w:num w:numId="25">
    <w:abstractNumId w:val="32"/>
  </w:num>
  <w:num w:numId="26">
    <w:abstractNumId w:val="30"/>
  </w:num>
  <w:num w:numId="27">
    <w:abstractNumId w:val="40"/>
  </w:num>
  <w:num w:numId="28">
    <w:abstractNumId w:val="11"/>
  </w:num>
  <w:num w:numId="29">
    <w:abstractNumId w:val="22"/>
  </w:num>
  <w:num w:numId="30">
    <w:abstractNumId w:val="34"/>
  </w:num>
  <w:num w:numId="31">
    <w:abstractNumId w:val="49"/>
  </w:num>
  <w:num w:numId="32">
    <w:abstractNumId w:val="12"/>
  </w:num>
  <w:num w:numId="33">
    <w:abstractNumId w:val="1"/>
  </w:num>
  <w:num w:numId="34">
    <w:abstractNumId w:val="31"/>
  </w:num>
  <w:num w:numId="35">
    <w:abstractNumId w:val="13"/>
  </w:num>
  <w:num w:numId="36">
    <w:abstractNumId w:val="2"/>
  </w:num>
  <w:num w:numId="37">
    <w:abstractNumId w:val="21"/>
  </w:num>
  <w:num w:numId="38">
    <w:abstractNumId w:val="56"/>
  </w:num>
  <w:num w:numId="39">
    <w:abstractNumId w:val="46"/>
  </w:num>
  <w:num w:numId="40">
    <w:abstractNumId w:val="52"/>
  </w:num>
  <w:num w:numId="41">
    <w:abstractNumId w:val="36"/>
  </w:num>
  <w:num w:numId="42">
    <w:abstractNumId w:val="20"/>
  </w:num>
  <w:num w:numId="43">
    <w:abstractNumId w:val="41"/>
  </w:num>
  <w:num w:numId="44">
    <w:abstractNumId w:val="38"/>
  </w:num>
  <w:num w:numId="45">
    <w:abstractNumId w:val="5"/>
  </w:num>
  <w:num w:numId="46">
    <w:abstractNumId w:val="23"/>
  </w:num>
  <w:num w:numId="47">
    <w:abstractNumId w:val="8"/>
  </w:num>
  <w:num w:numId="48">
    <w:abstractNumId w:val="4"/>
  </w:num>
  <w:num w:numId="49">
    <w:abstractNumId w:val="6"/>
  </w:num>
  <w:num w:numId="50">
    <w:abstractNumId w:val="35"/>
  </w:num>
  <w:num w:numId="51">
    <w:abstractNumId w:val="16"/>
  </w:num>
  <w:num w:numId="52">
    <w:abstractNumId w:val="0"/>
  </w:num>
  <w:num w:numId="53">
    <w:abstractNumId w:val="7"/>
  </w:num>
  <w:num w:numId="54">
    <w:abstractNumId w:val="50"/>
  </w:num>
  <w:num w:numId="55">
    <w:abstractNumId w:val="17"/>
  </w:num>
  <w:num w:numId="56">
    <w:abstractNumId w:val="47"/>
  </w:num>
  <w:num w:numId="57">
    <w:abstractNumId w:val="29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ondrashova.vs">
    <w15:presenceInfo w15:providerId="Teamlab" w15:userId="kondrashova.v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11">
    <w:name w:val="Heading 1"/>
    <w:basedOn w:val="981"/>
    <w:next w:val="981"/>
    <w:link w:val="81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12">
    <w:name w:val="Heading 1 Char"/>
    <w:basedOn w:val="984"/>
    <w:link w:val="811"/>
    <w:uiPriority w:val="9"/>
    <w:rPr>
      <w:rFonts w:ascii="Arial" w:hAnsi="Arial" w:eastAsia="Arial" w:cs="Arial"/>
      <w:sz w:val="40"/>
      <w:szCs w:val="40"/>
    </w:rPr>
  </w:style>
  <w:style w:type="character" w:styleId="813">
    <w:name w:val="Heading 2 Char"/>
    <w:basedOn w:val="984"/>
    <w:link w:val="982"/>
    <w:uiPriority w:val="9"/>
    <w:rPr>
      <w:rFonts w:ascii="Arial" w:hAnsi="Arial" w:eastAsia="Arial" w:cs="Arial"/>
      <w:sz w:val="34"/>
    </w:rPr>
  </w:style>
  <w:style w:type="character" w:styleId="814">
    <w:name w:val="Heading 3 Char"/>
    <w:basedOn w:val="984"/>
    <w:link w:val="983"/>
    <w:uiPriority w:val="9"/>
    <w:rPr>
      <w:rFonts w:ascii="Arial" w:hAnsi="Arial" w:eastAsia="Arial" w:cs="Arial"/>
      <w:sz w:val="30"/>
      <w:szCs w:val="30"/>
    </w:rPr>
  </w:style>
  <w:style w:type="paragraph" w:styleId="815">
    <w:name w:val="Heading 4"/>
    <w:basedOn w:val="981"/>
    <w:next w:val="981"/>
    <w:link w:val="81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16">
    <w:name w:val="Heading 4 Char"/>
    <w:basedOn w:val="984"/>
    <w:link w:val="815"/>
    <w:uiPriority w:val="9"/>
    <w:rPr>
      <w:rFonts w:ascii="Arial" w:hAnsi="Arial" w:eastAsia="Arial" w:cs="Arial"/>
      <w:b/>
      <w:bCs/>
      <w:sz w:val="26"/>
      <w:szCs w:val="26"/>
    </w:rPr>
  </w:style>
  <w:style w:type="paragraph" w:styleId="817">
    <w:name w:val="Heading 5"/>
    <w:basedOn w:val="981"/>
    <w:next w:val="981"/>
    <w:link w:val="81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18">
    <w:name w:val="Heading 5 Char"/>
    <w:basedOn w:val="984"/>
    <w:link w:val="817"/>
    <w:uiPriority w:val="9"/>
    <w:rPr>
      <w:rFonts w:ascii="Arial" w:hAnsi="Arial" w:eastAsia="Arial" w:cs="Arial"/>
      <w:b/>
      <w:bCs/>
      <w:sz w:val="24"/>
      <w:szCs w:val="24"/>
    </w:rPr>
  </w:style>
  <w:style w:type="paragraph" w:styleId="819">
    <w:name w:val="Heading 6"/>
    <w:basedOn w:val="981"/>
    <w:next w:val="981"/>
    <w:link w:val="82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0">
    <w:name w:val="Heading 6 Char"/>
    <w:basedOn w:val="984"/>
    <w:link w:val="819"/>
    <w:uiPriority w:val="9"/>
    <w:rPr>
      <w:rFonts w:ascii="Arial" w:hAnsi="Arial" w:eastAsia="Arial" w:cs="Arial"/>
      <w:b/>
      <w:bCs/>
      <w:sz w:val="22"/>
      <w:szCs w:val="22"/>
    </w:rPr>
  </w:style>
  <w:style w:type="paragraph" w:styleId="821">
    <w:name w:val="Heading 7"/>
    <w:basedOn w:val="981"/>
    <w:next w:val="981"/>
    <w:link w:val="82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2">
    <w:name w:val="Heading 7 Char"/>
    <w:basedOn w:val="984"/>
    <w:link w:val="82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23">
    <w:name w:val="Heading 8"/>
    <w:basedOn w:val="981"/>
    <w:next w:val="981"/>
    <w:link w:val="82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4">
    <w:name w:val="Heading 8 Char"/>
    <w:basedOn w:val="984"/>
    <w:link w:val="823"/>
    <w:uiPriority w:val="9"/>
    <w:rPr>
      <w:rFonts w:ascii="Arial" w:hAnsi="Arial" w:eastAsia="Arial" w:cs="Arial"/>
      <w:i/>
      <w:iCs/>
      <w:sz w:val="22"/>
      <w:szCs w:val="22"/>
    </w:rPr>
  </w:style>
  <w:style w:type="paragraph" w:styleId="825">
    <w:name w:val="Heading 9"/>
    <w:basedOn w:val="981"/>
    <w:next w:val="981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6">
    <w:name w:val="Heading 9 Char"/>
    <w:basedOn w:val="984"/>
    <w:link w:val="825"/>
    <w:uiPriority w:val="9"/>
    <w:rPr>
      <w:rFonts w:ascii="Arial" w:hAnsi="Arial" w:eastAsia="Arial" w:cs="Arial"/>
      <w:i/>
      <w:iCs/>
      <w:sz w:val="21"/>
      <w:szCs w:val="21"/>
    </w:rPr>
  </w:style>
  <w:style w:type="paragraph" w:styleId="827">
    <w:name w:val="No Spacing"/>
    <w:uiPriority w:val="1"/>
    <w:qFormat/>
    <w:pPr>
      <w:spacing w:before="0" w:after="0" w:line="240" w:lineRule="auto"/>
    </w:pPr>
  </w:style>
  <w:style w:type="paragraph" w:styleId="828">
    <w:name w:val="Title"/>
    <w:basedOn w:val="981"/>
    <w:next w:val="981"/>
    <w:link w:val="82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9">
    <w:name w:val="Title Char"/>
    <w:basedOn w:val="984"/>
    <w:link w:val="828"/>
    <w:uiPriority w:val="10"/>
    <w:rPr>
      <w:sz w:val="48"/>
      <w:szCs w:val="48"/>
    </w:rPr>
  </w:style>
  <w:style w:type="paragraph" w:styleId="830">
    <w:name w:val="Subtitle"/>
    <w:basedOn w:val="981"/>
    <w:next w:val="981"/>
    <w:link w:val="831"/>
    <w:uiPriority w:val="11"/>
    <w:qFormat/>
    <w:pPr>
      <w:spacing w:before="200" w:after="200"/>
    </w:pPr>
    <w:rPr>
      <w:sz w:val="24"/>
      <w:szCs w:val="24"/>
    </w:rPr>
  </w:style>
  <w:style w:type="character" w:styleId="831">
    <w:name w:val="Subtitle Char"/>
    <w:basedOn w:val="984"/>
    <w:link w:val="830"/>
    <w:uiPriority w:val="11"/>
    <w:rPr>
      <w:sz w:val="24"/>
      <w:szCs w:val="24"/>
    </w:rPr>
  </w:style>
  <w:style w:type="paragraph" w:styleId="832">
    <w:name w:val="Quote"/>
    <w:basedOn w:val="981"/>
    <w:next w:val="981"/>
    <w:link w:val="833"/>
    <w:uiPriority w:val="29"/>
    <w:qFormat/>
    <w:pPr>
      <w:ind w:left="720" w:right="720"/>
    </w:pPr>
    <w:rPr>
      <w:i/>
    </w:rPr>
  </w:style>
  <w:style w:type="character" w:styleId="833">
    <w:name w:val="Quote Char"/>
    <w:link w:val="832"/>
    <w:uiPriority w:val="29"/>
    <w:rPr>
      <w:i/>
    </w:rPr>
  </w:style>
  <w:style w:type="paragraph" w:styleId="834">
    <w:name w:val="Intense Quote"/>
    <w:basedOn w:val="981"/>
    <w:next w:val="981"/>
    <w:link w:val="83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5">
    <w:name w:val="Intense Quote Char"/>
    <w:link w:val="834"/>
    <w:uiPriority w:val="30"/>
    <w:rPr>
      <w:i/>
    </w:rPr>
  </w:style>
  <w:style w:type="character" w:styleId="836">
    <w:name w:val="Header Char"/>
    <w:basedOn w:val="984"/>
    <w:link w:val="1011"/>
    <w:uiPriority w:val="99"/>
  </w:style>
  <w:style w:type="character" w:styleId="837">
    <w:name w:val="Footer Char"/>
    <w:basedOn w:val="984"/>
    <w:link w:val="1013"/>
    <w:uiPriority w:val="99"/>
  </w:style>
  <w:style w:type="paragraph" w:styleId="838">
    <w:name w:val="Caption"/>
    <w:basedOn w:val="981"/>
    <w:next w:val="981"/>
    <w:link w:val="83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9">
    <w:name w:val="Caption Char"/>
    <w:basedOn w:val="984"/>
    <w:link w:val="838"/>
    <w:uiPriority w:val="35"/>
    <w:rPr>
      <w:b/>
      <w:bCs/>
      <w:color w:val="4f81bd" w:themeColor="accent1"/>
      <w:sz w:val="18"/>
      <w:szCs w:val="18"/>
    </w:rPr>
  </w:style>
  <w:style w:type="table" w:styleId="840">
    <w:name w:val="Table Grid Light"/>
    <w:basedOn w:val="9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1">
    <w:name w:val="Plain Table 1"/>
    <w:basedOn w:val="9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2">
    <w:name w:val="Plain Table 2"/>
    <w:basedOn w:val="98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3">
    <w:name w:val="Plain Table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4">
    <w:name w:val="Plain Table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Plain Table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6">
    <w:name w:val="Grid Table 1 Light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Grid Table 1 Light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Grid Table 1 Light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Grid Table 1 Light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Grid Table 1 Light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Grid Table 1 Light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Grid Table 1 Light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Grid Table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2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Grid Table 2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2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2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2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Grid Table 2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3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3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3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3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3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3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4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8">
    <w:name w:val="Grid Table 4 - Accent 1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005196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69">
    <w:name w:val="Grid Table 4 - Accent 2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70">
    <w:name w:val="Grid Table 4 - Accent 3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0073bc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71">
    <w:name w:val="Grid Table 4 - Accent 4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72">
    <w:name w:val="Grid Table 4 - Accent 5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73">
    <w:name w:val="Grid Table 4 - Accent 6"/>
    <w:basedOn w:val="9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74">
    <w:name w:val="Grid Table 5 Dark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ecece" w:themeFill="text1" w:themeFillTint="40"/>
    </w:tblPr>
    <w:tblStylePr w:type="band1Horz">
      <w:tcPr>
        <w:shd w:val="clear" w:color="ffffff" w:themeColor="text1" w:themeTint="75" w:fill="a6a6a6" w:themeFill="text1" w:themeFillTint="75"/>
      </w:tcPr>
    </w:tblStylePr>
    <w:tblStylePr w:type="band1Vert">
      <w:tcPr>
        <w:shd w:val="clear" w:color="ffffff" w:themeColor="text1" w:themeTint="75" w:fill="a6a6a6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light1" w:sz="4" w:space="0"/>
        </w:tcBorders>
      </w:tcPr>
    </w:tblStylePr>
  </w:style>
  <w:style w:type="table" w:styleId="875">
    <w:name w:val="Grid Table 5 Dark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afdaff" w:themeFill="accent1" w:themeFillTint="34"/>
    </w:tblPr>
    <w:tblStylePr w:type="band1Horz">
      <w:tcPr>
        <w:shd w:val="clear" w:color="ffffff" w:themeColor="accent1" w:themeTint="75" w:fill="4bacfe" w:themeFill="accent1" w:themeFillTint="75"/>
      </w:tcPr>
    </w:tblStylePr>
    <w:tblStylePr w:type="band1Vert">
      <w:tcPr>
        <w:shd w:val="clear" w:color="ffffff" w:themeColor="accent1" w:themeTint="75" w:fill="4bacfe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004077" w:themeFill="accent1"/>
        <w:tcBorders>
          <w:top w:val="single" w:color="000000" w:themeColor="light1" w:sz="4" w:space="0"/>
        </w:tcBorders>
      </w:tcPr>
    </w:tblStylePr>
  </w:style>
  <w:style w:type="table" w:styleId="876">
    <w:name w:val="Grid Table 5 Dark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5f0fa" w:themeFill="accent2" w:themeFillTint="32"/>
    </w:tblPr>
    <w:tblStylePr w:type="band1Horz">
      <w:tcPr>
        <w:shd w:val="clear" w:color="ffffff" w:themeColor="accent2" w:themeTint="75" w:fill="9fddf4" w:themeFill="accent2" w:themeFillTint="75"/>
      </w:tcPr>
    </w:tblStylePr>
    <w:tblStylePr w:type="band1Vert">
      <w:tcPr>
        <w:shd w:val="clear" w:color="ffffff" w:themeColor="accent2" w:themeTint="75" w:fill="9fddf4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2fb4e9" w:themeFill="accent2"/>
        <w:tcBorders>
          <w:top w:val="single" w:color="000000" w:themeColor="light1" w:sz="4" w:space="0"/>
        </w:tcBorders>
      </w:tcPr>
    </w:tblStylePr>
  </w:style>
  <w:style w:type="table" w:styleId="877">
    <w:name w:val="Grid Table 5 Dark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de5ff" w:themeFill="accent3" w:themeFillTint="34"/>
    </w:tblPr>
    <w:tblStylePr w:type="band1Horz">
      <w:tcPr>
        <w:shd w:val="clear" w:color="ffffff" w:themeColor="accent3" w:themeTint="75" w:fill="6bc5ff" w:themeFill="accent3" w:themeFillTint="75"/>
      </w:tcPr>
    </w:tblStylePr>
    <w:tblStylePr w:type="band1Vert">
      <w:tcPr>
        <w:shd w:val="clear" w:color="ffffff" w:themeColor="accent3" w:themeTint="75" w:fill="6bc5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0070ba" w:themeFill="accent3"/>
        <w:tcBorders>
          <w:top w:val="single" w:color="000000" w:themeColor="light1" w:sz="4" w:space="0"/>
        </w:tcBorders>
      </w:tcPr>
    </w:tblStylePr>
  </w:style>
  <w:style w:type="table" w:styleId="878">
    <w:name w:val="Grid Table 5 Dark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7f7f7" w:themeFill="accent4" w:themeFillTint="34"/>
    </w:tblPr>
    <w:tblStylePr w:type="band1Horz">
      <w:tcPr>
        <w:shd w:val="clear" w:color="ffffff" w:themeColor="accent4" w:themeTint="75" w:fill="eeeeee" w:themeFill="accent4" w:themeFillTint="75"/>
      </w:tcPr>
    </w:tblStylePr>
    <w:tblStylePr w:type="band1Vert">
      <w:tcPr>
        <w:shd w:val="clear" w:color="ffffff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dadada" w:themeFill="accent4"/>
        <w:tcBorders>
          <w:top w:val="single" w:color="000000" w:themeColor="light1" w:sz="4" w:space="0"/>
        </w:tcBorders>
      </w:tcPr>
    </w:tblStylePr>
  </w:style>
  <w:style w:type="table" w:styleId="879">
    <w:name w:val="Grid Table 5 Dark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4f8c7" w:themeFill="accent5" w:themeFillTint="34"/>
    </w:tblPr>
    <w:tblStylePr w:type="band1Horz">
      <w:tcPr>
        <w:shd w:val="clear" w:color="ffffff" w:themeColor="accent5" w:themeTint="75" w:fill="e8f182" w:themeFill="accent5" w:themeFillTint="75"/>
      </w:tcPr>
    </w:tblStylePr>
    <w:tblStylePr w:type="band1Vert">
      <w:tcPr>
        <w:shd w:val="clear" w:color="ffffff" w:themeColor="accent5" w:themeTint="75" w:fill="e8f182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light1" w:sz="4" w:space="0"/>
        </w:tcBorders>
      </w:tcPr>
    </w:tblStylePr>
  </w:style>
  <w:style w:type="table" w:styleId="880">
    <w:name w:val="Grid Table 5 Dark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eecc9" w:themeFill="accent6" w:themeFillTint="34"/>
    </w:tblPr>
    <w:tblStylePr w:type="band1Horz">
      <w:tcPr>
        <w:shd w:val="clear" w:color="ffffff" w:themeColor="accent6" w:themeTint="75" w:fill="ffd584" w:themeFill="accent6" w:themeFillTint="75"/>
      </w:tcPr>
    </w:tblStylePr>
    <w:tblStylePr w:type="band1Vert">
      <w:tcPr>
        <w:shd w:val="clear" w:color="ffffff" w:themeColor="accent6" w:themeTint="75" w:fill="ffd58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light1" w:sz="4" w:space="0"/>
        </w:tcBorders>
      </w:tcPr>
    </w:tblStylePr>
  </w:style>
  <w:style w:type="table" w:styleId="881">
    <w:name w:val="Grid Table 6 Colorful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tcPr>
        <w:shd w:val="clear" w:color="ffffff" w:themeColor="text1" w:themeTint="34" w:fill="d7d7d7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5c5c5c" w:themeColor="text1" w:themeTint="80" w:themeShade="95"/>
      </w:rPr>
    </w:tblStylePr>
    <w:tblStylePr w:type="firstRow">
      <w:rPr>
        <w:b/>
        <w:color w:val="5c5c5c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5c5c5c" w:themeColor="text1" w:themeTint="80" w:themeShade="95"/>
      </w:rPr>
    </w:tblStylePr>
    <w:tblStylePr w:type="lastRow">
      <w:rPr>
        <w:b/>
        <w:color w:val="5c5c5c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82">
    <w:name w:val="Grid Table 6 Colorful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0063b8" w:themeColor="accent1" w:themeTint="80" w:themeShade="95"/>
      </w:rPr>
    </w:tblStylePr>
    <w:tblStylePr w:type="firstRow">
      <w:rPr>
        <w:b/>
        <w:color w:val="0063b8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63b8" w:themeColor="accent1" w:themeTint="80" w:themeShade="95"/>
      </w:rPr>
    </w:tblStylePr>
    <w:tblStylePr w:type="lastRow">
      <w:rPr>
        <w:b/>
        <w:color w:val="0063b8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3">
    <w:name w:val="Grid Table 6 Colorful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84">
    <w:name w:val="Grid Table 6 Colorful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0436e" w:themeColor="accent3" w:themeTint="FE" w:themeShade="95"/>
      </w:rPr>
    </w:tblStylePr>
    <w:tblStylePr w:type="firstRow">
      <w:rPr>
        <w:b/>
        <w:color w:val="00436e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0436e" w:themeColor="accent3" w:themeTint="FE" w:themeShade="95"/>
      </w:rPr>
    </w:tblStylePr>
    <w:tblStylePr w:type="lastRow">
      <w:rPr>
        <w:b/>
        <w:color w:val="00436e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85">
    <w:name w:val="Grid Table 6 Colorful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86">
    <w:name w:val="Grid Table 6 Colorful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87">
    <w:name w:val="Grid Table 6 Colorful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88">
    <w:name w:val="Grid Table 7 Colorful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5c5c5c" w:themeColor="text1" w:themeTint="80" w:themeShade="95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band2Horz">
      <w:rPr>
        <w:rFonts w:ascii="Arial" w:hAnsi="Arial"/>
        <w:color w:val="5c5c5c" w:themeColor="text1" w:themeTint="80" w:themeShade="95"/>
        <w:sz w:val="22"/>
      </w:rPr>
    </w:tblStylePr>
    <w:tblStylePr w:type="firstCol">
      <w:rPr>
        <w:rFonts w:ascii="Arial" w:hAnsi="Arial"/>
        <w:i/>
        <w:color w:val="5c5c5c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5c5c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Grid Table 7 Colorful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0063b8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Arial" w:hAnsi="Arial"/>
        <w:color w:val="0063b8" w:themeColor="accent1" w:themeTint="80" w:themeShade="95"/>
        <w:sz w:val="22"/>
      </w:rPr>
    </w:tblStylePr>
    <w:tblStylePr w:type="firstCol">
      <w:rPr>
        <w:rFonts w:ascii="Arial" w:hAnsi="Arial"/>
        <w:i/>
        <w:color w:val="0063b8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63b8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Grid Table 7 Colorful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1698c3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Arial" w:hAnsi="Arial"/>
        <w:color w:val="1698c3" w:themeColor="accent2" w:themeTint="97" w:themeShade="95"/>
        <w:sz w:val="22"/>
      </w:rPr>
    </w:tblStylePr>
    <w:tblStylePr w:type="firstCol">
      <w:rPr>
        <w:rFonts w:ascii="Arial" w:hAnsi="Arial"/>
        <w:i/>
        <w:color w:val="1698c3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698c3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Grid Table 7 Colorful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0436e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Arial" w:hAnsi="Arial"/>
        <w:color w:val="00436e" w:themeColor="accent3" w:themeTint="FE" w:themeShade="95"/>
        <w:sz w:val="22"/>
      </w:rPr>
    </w:tblStylePr>
    <w:tblStylePr w:type="firstCol">
      <w:rPr>
        <w:rFonts w:ascii="Arial" w:hAnsi="Arial"/>
        <w:i/>
        <w:color w:val="00436e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436e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Grid Table 7 Colorful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888888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Arial" w:hAnsi="Arial"/>
        <w:color w:val="888888" w:themeColor="accent4" w:themeTint="9A" w:themeShade="95"/>
        <w:sz w:val="22"/>
      </w:rPr>
    </w:tblStylePr>
    <w:tblStylePr w:type="firstCol">
      <w:rPr>
        <w:rFonts w:ascii="Arial" w:hAnsi="Arial"/>
        <w:i/>
        <w:color w:val="88888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8888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Grid Table 7 Colorful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656d0c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Arial" w:hAnsi="Arial"/>
        <w:color w:val="656d0c" w:themeColor="accent5" w:themeShade="95"/>
        <w:sz w:val="22"/>
      </w:rPr>
    </w:tblStylePr>
    <w:tblStylePr w:type="firstCol">
      <w:rPr>
        <w:rFonts w:ascii="Arial" w:hAnsi="Arial"/>
        <w:i/>
        <w:color w:val="656d0c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56d0c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7 Colorful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905e00" w:themeColor="accent6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Arial" w:hAnsi="Arial"/>
        <w:color w:val="905e00" w:themeColor="accent6" w:themeShade="95"/>
        <w:sz w:val="22"/>
      </w:rPr>
    </w:tblStylePr>
    <w:tblStylePr w:type="firstCol">
      <w:rPr>
        <w:rFonts w:ascii="Arial" w:hAnsi="Arial"/>
        <w:i/>
        <w:color w:val="905e00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05e00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List Table 1 Light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List Table 1 Light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List Table 1 Light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List Table 1 Light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List Table 1 Light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List Table 1 Light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List Table 1 Light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List Table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03">
    <w:name w:val="List Table 2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04">
    <w:name w:val="List Table 2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05">
    <w:name w:val="List Table 2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06">
    <w:name w:val="List Table 2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07">
    <w:name w:val="List Table 2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08">
    <w:name w:val="List Table 2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09">
    <w:name w:val="List Table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List Table 3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>
    <w:name w:val="List Table 3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>
    <w:name w:val="List Table 3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3db3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>
    <w:name w:val="List Table 3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>
    <w:name w:val="List Table 3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e0ec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>
    <w:name w:val="List Table 3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fc961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>
    <w:name w:val="List Table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>
    <w:name w:val="List Table 4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4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List Table 4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4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4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4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5 Dark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9d9d9d" w:themeFill="text1" w:themeFillTint="80"/>
    </w:tblPr>
    <w:tblStylePr w:type="band1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9d9d9d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9d9d9d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4">
    <w:name w:val="List Table 5 Dark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4077" w:themeFill="accent1"/>
    </w:tblPr>
    <w:tblStylePr w:type="band1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00407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00407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5">
    <w:name w:val="List Table 5 Dark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4d4f1" w:themeFill="accent2" w:themeFillTint="97"/>
    </w:tblPr>
    <w:tblStylePr w:type="band1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84d4f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6">
    <w:name w:val="List Table 5 Dark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3db3ff" w:themeFill="accent3" w:themeFillTint="98"/>
    </w:tblPr>
    <w:tblStylePr w:type="band1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3db3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3db3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7">
    <w:name w:val="List Table 5 Dark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9e9e9" w:themeFill="accent4" w:themeFillTint="9A"/>
    </w:tblPr>
    <w:tblStylePr w:type="band1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e9e9e9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8">
    <w:name w:val="List Table 5 Dark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0ec5b" w:themeFill="accent5" w:themeFillTint="9A"/>
    </w:tblPr>
    <w:tblStylePr w:type="band1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e0ec5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e0ec5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9">
    <w:name w:val="List Table 5 Dark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c961" w:themeFill="accent6" w:themeFillTint="98"/>
    </w:tblPr>
    <w:tblStylePr w:type="band1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fc96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fc96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0">
    <w:name w:val="List Table 6 Colorful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31">
    <w:name w:val="List Table 6 Colorful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02444" w:themeColor="accent1" w:themeShade="95"/>
      </w:rPr>
    </w:tblStylePr>
    <w:tblStylePr w:type="firstRow">
      <w:rPr>
        <w:b/>
        <w:color w:val="00244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2444" w:themeColor="accent1" w:themeShade="95"/>
      </w:rPr>
    </w:tblStylePr>
    <w:tblStylePr w:type="lastRow">
      <w:rPr>
        <w:b/>
        <w:color w:val="00244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32">
    <w:name w:val="List Table 6 Colorful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33">
    <w:name w:val="List Table 6 Colorful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0070b8" w:themeColor="accent3" w:themeTint="98" w:themeShade="95"/>
      </w:rPr>
    </w:tblStylePr>
    <w:tblStylePr w:type="firstRow">
      <w:rPr>
        <w:b/>
        <w:color w:val="0070b8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070b8" w:themeColor="accent3" w:themeTint="98" w:themeShade="95"/>
      </w:rPr>
    </w:tblStylePr>
    <w:tblStylePr w:type="lastRow">
      <w:rPr>
        <w:b/>
        <w:color w:val="0070b8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34">
    <w:name w:val="List Table 6 Colorful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35">
    <w:name w:val="List Table 6 Colorful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daa13" w:themeColor="accent5" w:themeTint="9A" w:themeShade="95"/>
      </w:rPr>
    </w:tblStylePr>
    <w:tblStylePr w:type="firstRow">
      <w:rPr>
        <w:b/>
        <w:color w:val="9daa13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daa13" w:themeColor="accent5" w:themeTint="9A" w:themeShade="95"/>
      </w:rPr>
    </w:tblStylePr>
    <w:tblStylePr w:type="lastRow">
      <w:rPr>
        <w:b/>
        <w:color w:val="9daa13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36">
    <w:name w:val="List Table 6 Colorful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ce8200" w:themeColor="accent6" w:themeTint="98" w:themeShade="95"/>
      </w:rPr>
    </w:tblStylePr>
    <w:tblStylePr w:type="firstRow">
      <w:rPr>
        <w:b/>
        <w:color w:val="ce8200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8200" w:themeColor="accent6" w:themeTint="98" w:themeShade="95"/>
      </w:rPr>
    </w:tblStylePr>
    <w:tblStylePr w:type="lastRow">
      <w:rPr>
        <w:b/>
        <w:color w:val="ce8200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37">
    <w:name w:val="List Table 7 Colorful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5c5c5c" w:themeColor="text1" w:themeTint="80" w:themeShade="95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Arial" w:hAnsi="Arial"/>
        <w:color w:val="5c5c5c" w:themeColor="text1" w:themeTint="80" w:themeShade="95"/>
        <w:sz w:val="22"/>
      </w:rPr>
    </w:tblStylePr>
    <w:tblStylePr w:type="firstCol">
      <w:rPr>
        <w:rFonts w:ascii="Arial" w:hAnsi="Arial"/>
        <w:i/>
        <w:color w:val="5c5c5c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5c5c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c5c5c" w:themeColor="text1" w:themeTint="80" w:themeShade="95"/>
        <w:sz w:val="22"/>
      </w:rPr>
    </w:tblStylePr>
  </w:style>
  <w:style w:type="table" w:styleId="938">
    <w:name w:val="List Table 7 Colorful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02444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Arial" w:hAnsi="Arial"/>
        <w:color w:val="002444" w:themeColor="accent1" w:themeShade="95"/>
        <w:sz w:val="22"/>
      </w:rPr>
    </w:tblStylePr>
    <w:tblStylePr w:type="firstCol">
      <w:rPr>
        <w:rFonts w:ascii="Arial" w:hAnsi="Arial"/>
        <w:i/>
        <w:color w:val="00244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244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02444" w:themeColor="accent1" w:themeShade="95"/>
        <w:sz w:val="22"/>
      </w:rPr>
    </w:tblStylePr>
  </w:style>
  <w:style w:type="table" w:styleId="939">
    <w:name w:val="List Table 7 Colorful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1698c3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Arial" w:hAnsi="Arial"/>
        <w:color w:val="1698c3" w:themeColor="accent2" w:themeTint="97" w:themeShade="95"/>
        <w:sz w:val="22"/>
      </w:rPr>
    </w:tblStylePr>
    <w:tblStylePr w:type="firstCol">
      <w:rPr>
        <w:rFonts w:ascii="Arial" w:hAnsi="Arial"/>
        <w:i/>
        <w:color w:val="1698c3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698c3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1698c3" w:themeColor="accent2" w:themeTint="97" w:themeShade="95"/>
        <w:sz w:val="22"/>
      </w:rPr>
    </w:tblStylePr>
  </w:style>
  <w:style w:type="table" w:styleId="940">
    <w:name w:val="List Table 7 Colorful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0070b8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Arial" w:hAnsi="Arial"/>
        <w:color w:val="0070b8" w:themeColor="accent3" w:themeTint="98" w:themeShade="95"/>
        <w:sz w:val="22"/>
      </w:rPr>
    </w:tblStylePr>
    <w:tblStylePr w:type="firstCol">
      <w:rPr>
        <w:rFonts w:ascii="Arial" w:hAnsi="Arial"/>
        <w:i/>
        <w:color w:val="0070b8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70b8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070b8" w:themeColor="accent3" w:themeTint="98" w:themeShade="95"/>
        <w:sz w:val="22"/>
      </w:rPr>
    </w:tblStylePr>
  </w:style>
  <w:style w:type="table" w:styleId="941">
    <w:name w:val="List Table 7 Colorful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888888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Arial" w:hAnsi="Arial"/>
        <w:color w:val="888888" w:themeColor="accent4" w:themeTint="9A" w:themeShade="95"/>
        <w:sz w:val="22"/>
      </w:rPr>
    </w:tblStylePr>
    <w:tblStylePr w:type="firstCol">
      <w:rPr>
        <w:rFonts w:ascii="Arial" w:hAnsi="Arial"/>
        <w:i/>
        <w:color w:val="88888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8888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888888" w:themeColor="accent4" w:themeTint="9A" w:themeShade="95"/>
        <w:sz w:val="22"/>
      </w:rPr>
    </w:tblStylePr>
  </w:style>
  <w:style w:type="table" w:styleId="942">
    <w:name w:val="List Table 7 Colorful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daa13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Arial" w:hAnsi="Arial"/>
        <w:color w:val="9daa13" w:themeColor="accent5" w:themeTint="9A" w:themeShade="95"/>
        <w:sz w:val="22"/>
      </w:rPr>
    </w:tblStylePr>
    <w:tblStylePr w:type="firstCol">
      <w:rPr>
        <w:rFonts w:ascii="Arial" w:hAnsi="Arial"/>
        <w:i/>
        <w:color w:val="9daa13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aa13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daa13" w:themeColor="accent5" w:themeTint="9A" w:themeShade="95"/>
        <w:sz w:val="22"/>
      </w:rPr>
    </w:tblStylePr>
  </w:style>
  <w:style w:type="table" w:styleId="943">
    <w:name w:val="List Table 7 Colorful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ce820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Arial" w:hAnsi="Arial"/>
        <w:color w:val="ce8200" w:themeColor="accent6" w:themeTint="98" w:themeShade="95"/>
        <w:sz w:val="22"/>
      </w:rPr>
    </w:tblStylePr>
    <w:tblStylePr w:type="firstCol">
      <w:rPr>
        <w:rFonts w:ascii="Arial" w:hAnsi="Arial"/>
        <w:i/>
        <w:color w:val="ce8200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e8200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e8200" w:themeColor="accent6" w:themeTint="98" w:themeShade="95"/>
        <w:sz w:val="22"/>
      </w:rPr>
    </w:tblStylePr>
  </w:style>
  <w:style w:type="table" w:styleId="944">
    <w:name w:val="Lined - Accent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945">
    <w:name w:val="Lined - Accent 1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946">
    <w:name w:val="Lined - Accent 2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947">
    <w:name w:val="Lined - Accent 3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948">
    <w:name w:val="Lined - Accent 4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949">
    <w:name w:val="Lined - Accent 5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950">
    <w:name w:val="Lined - Accent 6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951">
    <w:name w:val="Bordered &amp; Lined - Accent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952">
    <w:name w:val="Bordered &amp; Lined - Accent 1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953">
    <w:name w:val="Bordered &amp; Lined - Accent 2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954">
    <w:name w:val="Bordered &amp; Lined - Accent 3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955">
    <w:name w:val="Bordered &amp; Lined - Accent 4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956">
    <w:name w:val="Bordered &amp; Lined - Accent 5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957">
    <w:name w:val="Bordered &amp; Lined - Accent 6"/>
    <w:basedOn w:val="9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958">
    <w:name w:val="Bordered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59">
    <w:name w:val="Bordered - Accent 1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60">
    <w:name w:val="Bordered - Accent 2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61">
    <w:name w:val="Bordered - Accent 3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62">
    <w:name w:val="Bordered - Accent 4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63">
    <w:name w:val="Bordered - Accent 5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64">
    <w:name w:val="Bordered - Accent 6"/>
    <w:basedOn w:val="9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65">
    <w:name w:val="Hyperlink"/>
    <w:uiPriority w:val="99"/>
    <w:unhideWhenUsed/>
    <w:rPr>
      <w:color w:val="0000ff" w:themeColor="hyperlink"/>
      <w:u w:val="single"/>
    </w:rPr>
  </w:style>
  <w:style w:type="character" w:styleId="966">
    <w:name w:val="Footnote Text Char"/>
    <w:link w:val="1025"/>
    <w:uiPriority w:val="99"/>
    <w:rPr>
      <w:sz w:val="18"/>
    </w:rPr>
  </w:style>
  <w:style w:type="paragraph" w:styleId="967">
    <w:name w:val="endnote text"/>
    <w:basedOn w:val="981"/>
    <w:link w:val="968"/>
    <w:uiPriority w:val="99"/>
    <w:semiHidden/>
    <w:unhideWhenUsed/>
    <w:pPr>
      <w:spacing w:after="0" w:line="240" w:lineRule="auto"/>
    </w:pPr>
    <w:rPr>
      <w:sz w:val="20"/>
    </w:rPr>
  </w:style>
  <w:style w:type="character" w:styleId="968">
    <w:name w:val="Endnote Text Char"/>
    <w:link w:val="967"/>
    <w:uiPriority w:val="99"/>
    <w:rPr>
      <w:sz w:val="20"/>
    </w:rPr>
  </w:style>
  <w:style w:type="character" w:styleId="969">
    <w:name w:val="endnote reference"/>
    <w:basedOn w:val="984"/>
    <w:uiPriority w:val="99"/>
    <w:semiHidden/>
    <w:unhideWhenUsed/>
    <w:rPr>
      <w:vertAlign w:val="superscript"/>
    </w:rPr>
  </w:style>
  <w:style w:type="paragraph" w:styleId="970">
    <w:name w:val="toc 1"/>
    <w:basedOn w:val="981"/>
    <w:next w:val="981"/>
    <w:uiPriority w:val="39"/>
    <w:unhideWhenUsed/>
    <w:pPr>
      <w:ind w:left="0" w:right="0" w:firstLine="0"/>
      <w:spacing w:after="57"/>
    </w:pPr>
  </w:style>
  <w:style w:type="paragraph" w:styleId="971">
    <w:name w:val="toc 2"/>
    <w:basedOn w:val="981"/>
    <w:next w:val="981"/>
    <w:uiPriority w:val="39"/>
    <w:unhideWhenUsed/>
    <w:pPr>
      <w:ind w:left="283" w:right="0" w:firstLine="0"/>
      <w:spacing w:after="57"/>
    </w:pPr>
  </w:style>
  <w:style w:type="paragraph" w:styleId="972">
    <w:name w:val="toc 3"/>
    <w:basedOn w:val="981"/>
    <w:next w:val="981"/>
    <w:uiPriority w:val="39"/>
    <w:unhideWhenUsed/>
    <w:pPr>
      <w:ind w:left="567" w:right="0" w:firstLine="0"/>
      <w:spacing w:after="57"/>
    </w:pPr>
  </w:style>
  <w:style w:type="paragraph" w:styleId="973">
    <w:name w:val="toc 4"/>
    <w:basedOn w:val="981"/>
    <w:next w:val="981"/>
    <w:uiPriority w:val="39"/>
    <w:unhideWhenUsed/>
    <w:pPr>
      <w:ind w:left="850" w:right="0" w:firstLine="0"/>
      <w:spacing w:after="57"/>
    </w:pPr>
  </w:style>
  <w:style w:type="paragraph" w:styleId="974">
    <w:name w:val="toc 5"/>
    <w:basedOn w:val="981"/>
    <w:next w:val="981"/>
    <w:uiPriority w:val="39"/>
    <w:unhideWhenUsed/>
    <w:pPr>
      <w:ind w:left="1134" w:right="0" w:firstLine="0"/>
      <w:spacing w:after="57"/>
    </w:pPr>
  </w:style>
  <w:style w:type="paragraph" w:styleId="975">
    <w:name w:val="toc 6"/>
    <w:basedOn w:val="981"/>
    <w:next w:val="981"/>
    <w:uiPriority w:val="39"/>
    <w:unhideWhenUsed/>
    <w:pPr>
      <w:ind w:left="1417" w:right="0" w:firstLine="0"/>
      <w:spacing w:after="57"/>
    </w:pPr>
  </w:style>
  <w:style w:type="paragraph" w:styleId="976">
    <w:name w:val="toc 7"/>
    <w:basedOn w:val="981"/>
    <w:next w:val="981"/>
    <w:uiPriority w:val="39"/>
    <w:unhideWhenUsed/>
    <w:pPr>
      <w:ind w:left="1701" w:right="0" w:firstLine="0"/>
      <w:spacing w:after="57"/>
    </w:pPr>
  </w:style>
  <w:style w:type="paragraph" w:styleId="977">
    <w:name w:val="toc 8"/>
    <w:basedOn w:val="981"/>
    <w:next w:val="981"/>
    <w:uiPriority w:val="39"/>
    <w:unhideWhenUsed/>
    <w:pPr>
      <w:ind w:left="1984" w:right="0" w:firstLine="0"/>
      <w:spacing w:after="57"/>
    </w:pPr>
  </w:style>
  <w:style w:type="paragraph" w:styleId="978">
    <w:name w:val="toc 9"/>
    <w:basedOn w:val="981"/>
    <w:next w:val="981"/>
    <w:uiPriority w:val="39"/>
    <w:unhideWhenUsed/>
    <w:pPr>
      <w:ind w:left="2268" w:right="0" w:firstLine="0"/>
      <w:spacing w:after="57"/>
    </w:pPr>
  </w:style>
  <w:style w:type="paragraph" w:styleId="979">
    <w:name w:val="TOC Heading"/>
    <w:uiPriority w:val="39"/>
    <w:unhideWhenUsed/>
  </w:style>
  <w:style w:type="paragraph" w:styleId="980">
    <w:name w:val="table of figures"/>
    <w:basedOn w:val="981"/>
    <w:next w:val="981"/>
    <w:uiPriority w:val="99"/>
    <w:unhideWhenUsed/>
    <w:pPr>
      <w:spacing w:after="0" w:afterAutospacing="0"/>
    </w:pPr>
  </w:style>
  <w:style w:type="paragraph" w:styleId="981" w:default="1">
    <w:name w:val="Normal"/>
    <w:qFormat/>
  </w:style>
  <w:style w:type="paragraph" w:styleId="982">
    <w:name w:val="Heading 2"/>
    <w:basedOn w:val="981"/>
    <w:next w:val="981"/>
    <w:link w:val="1028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983">
    <w:name w:val="Heading 3"/>
    <w:basedOn w:val="981"/>
    <w:next w:val="981"/>
    <w:link w:val="996"/>
    <w:qFormat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984" w:default="1">
    <w:name w:val="Default Paragraph Font"/>
    <w:uiPriority w:val="1"/>
    <w:semiHidden/>
    <w:unhideWhenUsed/>
  </w:style>
  <w:style w:type="table" w:styleId="98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86" w:default="1">
    <w:name w:val="No List"/>
    <w:uiPriority w:val="99"/>
    <w:semiHidden/>
    <w:unhideWhenUsed/>
  </w:style>
  <w:style w:type="table" w:styleId="987">
    <w:name w:val="Table Grid"/>
    <w:basedOn w:val="98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88">
    <w:name w:val="Balloon Text"/>
    <w:basedOn w:val="981"/>
    <w:link w:val="98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89" w:customStyle="1">
    <w:name w:val="Текст выноски Знак"/>
    <w:basedOn w:val="984"/>
    <w:link w:val="988"/>
    <w:uiPriority w:val="99"/>
    <w:semiHidden/>
    <w:rPr>
      <w:rFonts w:ascii="Tahoma" w:hAnsi="Tahoma" w:cs="Tahoma"/>
      <w:sz w:val="16"/>
      <w:szCs w:val="16"/>
    </w:rPr>
  </w:style>
  <w:style w:type="character" w:styleId="990">
    <w:name w:val="annotation reference"/>
    <w:basedOn w:val="984"/>
    <w:uiPriority w:val="99"/>
    <w:semiHidden/>
    <w:unhideWhenUsed/>
    <w:rPr>
      <w:sz w:val="16"/>
      <w:szCs w:val="16"/>
    </w:rPr>
  </w:style>
  <w:style w:type="paragraph" w:styleId="991">
    <w:name w:val="annotation text"/>
    <w:basedOn w:val="981"/>
    <w:link w:val="992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92" w:customStyle="1">
    <w:name w:val="Текст примечания Знак"/>
    <w:basedOn w:val="984"/>
    <w:link w:val="991"/>
    <w:uiPriority w:val="99"/>
    <w:semiHidden/>
    <w:rPr>
      <w:sz w:val="20"/>
      <w:szCs w:val="20"/>
    </w:rPr>
  </w:style>
  <w:style w:type="paragraph" w:styleId="993">
    <w:name w:val="annotation subject"/>
    <w:basedOn w:val="991"/>
    <w:next w:val="991"/>
    <w:link w:val="994"/>
    <w:uiPriority w:val="99"/>
    <w:semiHidden/>
    <w:unhideWhenUsed/>
    <w:rPr>
      <w:b/>
      <w:bCs/>
    </w:rPr>
  </w:style>
  <w:style w:type="character" w:styleId="994" w:customStyle="1">
    <w:name w:val="Тема примечания Знак"/>
    <w:basedOn w:val="992"/>
    <w:link w:val="993"/>
    <w:uiPriority w:val="99"/>
    <w:semiHidden/>
    <w:rPr>
      <w:b/>
      <w:bCs/>
      <w:sz w:val="20"/>
      <w:szCs w:val="20"/>
    </w:rPr>
  </w:style>
  <w:style w:type="paragraph" w:styleId="995">
    <w:name w:val="List Paragraph"/>
    <w:basedOn w:val="981"/>
    <w:link w:val="1015"/>
    <w:uiPriority w:val="34"/>
    <w:qFormat/>
    <w:pPr>
      <w:contextualSpacing/>
      <w:ind w:left="720"/>
    </w:pPr>
  </w:style>
  <w:style w:type="character" w:styleId="996" w:customStyle="1">
    <w:name w:val="Заголовок 3 Знак"/>
    <w:basedOn w:val="984"/>
    <w:link w:val="983"/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997" w:customStyle="1">
    <w:name w:val="s02 подРАЗДЕЛ"/>
    <w:basedOn w:val="981"/>
    <w:uiPriority w:val="9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98" w:customStyle="1">
    <w:name w:val="s01 РАЗДЕЛ"/>
    <w:basedOn w:val="981"/>
    <w:link w:val="1007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99" w:customStyle="1">
    <w:name w:val="s03 Пункт"/>
    <w:basedOn w:val="997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2"/>
    </w:pPr>
    <w:rPr>
      <w:rFonts w:ascii="Arial" w:hAnsi="Arial" w:cs="Times New Roman"/>
      <w:bCs/>
      <w:color w:val="000000"/>
      <w:sz w:val="22"/>
      <w:szCs w:val="28"/>
      <w:lang w:val="ru-RU" w:eastAsia="ru-RU"/>
    </w:rPr>
  </w:style>
  <w:style w:type="paragraph" w:styleId="1000" w:customStyle="1">
    <w:name w:val="s08 Список а)"/>
    <w:basedOn w:val="999"/>
    <w:uiPriority w:val="99"/>
    <w:pPr>
      <w:outlineLvl w:val="4"/>
    </w:pPr>
  </w:style>
  <w:style w:type="paragraph" w:styleId="1001" w:customStyle="1">
    <w:name w:val="s04 подПункт"/>
    <w:basedOn w:val="999"/>
    <w:uiPriority w:val="99"/>
    <w:pPr>
      <w:tabs>
        <w:tab w:val="left" w:pos="1276" w:leader="none"/>
      </w:tabs>
      <w:outlineLvl w:val="3"/>
    </w:pPr>
  </w:style>
  <w:style w:type="paragraph" w:styleId="1002" w:customStyle="1">
    <w:name w:val="s12 Т  Кол1 Ном01 Жирн"/>
    <w:basedOn w:val="981"/>
    <w:next w:val="981"/>
    <w:pPr>
      <w:ind w:left="340" w:hanging="340"/>
      <w:keepLines/>
      <w:keepNext/>
      <w:spacing w:before="20" w:after="0" w:line="240" w:lineRule="auto"/>
      <w:tabs>
        <w:tab w:val="num" w:pos="340" w:leader="none"/>
      </w:tabs>
      <w:outlineLvl w:val="6"/>
    </w:pPr>
    <w:rPr>
      <w:rFonts w:ascii="Arial" w:hAnsi="Arial" w:eastAsia="Times New Roman" w:cs="Times New Roman"/>
      <w:b/>
      <w:sz w:val="20"/>
      <w:szCs w:val="24"/>
      <w:lang w:eastAsia="ru-RU"/>
    </w:rPr>
  </w:style>
  <w:style w:type="paragraph" w:styleId="1003" w:customStyle="1">
    <w:name w:val="s17 Т Ном01.01"/>
    <w:basedOn w:val="1004"/>
    <w:uiPriority w:val="99"/>
    <w:pPr>
      <w:ind w:firstLine="0"/>
    </w:pPr>
  </w:style>
  <w:style w:type="paragraph" w:styleId="1004" w:customStyle="1">
    <w:name w:val="s16 Т Ном01. Отст"/>
    <w:basedOn w:val="1000"/>
    <w:uiPriority w:val="99"/>
    <w:pPr>
      <w:ind w:left="567" w:hanging="340"/>
      <w:spacing w:before="20"/>
      <w:widowControl/>
      <w:outlineLvl w:val="8"/>
    </w:pPr>
    <w:rPr>
      <w:sz w:val="20"/>
    </w:rPr>
  </w:style>
  <w:style w:type="paragraph" w:styleId="1005" w:customStyle="1">
    <w:name w:val="s09 Список а1)"/>
    <w:basedOn w:val="981"/>
    <w:pPr>
      <w:jc w:val="both"/>
      <w:keepNext/>
      <w:spacing w:after="0" w:line="240" w:lineRule="auto"/>
      <w:widowControl w:val="off"/>
      <w:tabs>
        <w:tab w:val="num" w:pos="360" w:leader="none"/>
      </w:tabs>
    </w:pPr>
    <w:rPr>
      <w:rFonts w:ascii="Arial" w:hAnsi="Arial" w:eastAsia="Times New Roman" w:cs="Times New Roman"/>
      <w:szCs w:val="24"/>
      <w:lang w:eastAsia="ru-RU"/>
    </w:rPr>
  </w:style>
  <w:style w:type="paragraph" w:styleId="1006" w:customStyle="1">
    <w:name w:val="s07 Список - -"/>
    <w:basedOn w:val="981"/>
    <w:uiPriority w:val="99"/>
    <w:pPr>
      <w:numPr>
        <w:ilvl w:val="0"/>
        <w:numId w:val="9"/>
      </w:numPr>
      <w:jc w:val="both"/>
      <w:keepNext/>
      <w:spacing w:before="80" w:after="0" w:line="240" w:lineRule="auto"/>
      <w:widowControl w:val="off"/>
      <w:tabs>
        <w:tab w:val="left" w:pos="1134" w:leader="none"/>
      </w:tabs>
      <w:outlineLvl w:val="2"/>
    </w:pPr>
    <w:rPr>
      <w:rFonts w:ascii="Arial" w:hAnsi="Arial" w:eastAsia="Times New Roman" w:cs="Times New Roman"/>
      <w:bCs/>
      <w:color w:val="000000"/>
      <w:szCs w:val="28"/>
      <w:lang w:eastAsia="ru-RU"/>
    </w:rPr>
  </w:style>
  <w:style w:type="character" w:styleId="1007" w:customStyle="1">
    <w:name w:val="s01 РАЗДЕЛ Знак"/>
    <w:basedOn w:val="984"/>
    <w:link w:val="998"/>
    <w:rPr>
      <w:rFonts w:ascii="Times New Roman" w:hAnsi="Times New Roman" w:eastAsia="Times New Roman" w:cs="Tahoma"/>
      <w:sz w:val="20"/>
      <w:szCs w:val="20"/>
      <w:lang w:val="en-US"/>
    </w:rPr>
  </w:style>
  <w:style w:type="paragraph" w:styleId="1008">
    <w:name w:val="Plain Text"/>
    <w:basedOn w:val="981"/>
    <w:link w:val="1009"/>
    <w:uiPriority w:val="99"/>
    <w:pPr>
      <w:ind w:firstLine="567"/>
      <w:jc w:val="both"/>
      <w:spacing w:after="0" w:line="260" w:lineRule="exact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1009" w:customStyle="1">
    <w:name w:val="Текст Знак"/>
    <w:basedOn w:val="984"/>
    <w:link w:val="1008"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styleId="1010">
    <w:name w:val="line number"/>
    <w:basedOn w:val="984"/>
    <w:uiPriority w:val="99"/>
    <w:semiHidden/>
    <w:unhideWhenUsed/>
  </w:style>
  <w:style w:type="paragraph" w:styleId="1011">
    <w:name w:val="Header"/>
    <w:basedOn w:val="981"/>
    <w:link w:val="101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12" w:customStyle="1">
    <w:name w:val="Верхний колонтитул Знак"/>
    <w:basedOn w:val="984"/>
    <w:link w:val="1011"/>
    <w:uiPriority w:val="99"/>
  </w:style>
  <w:style w:type="paragraph" w:styleId="1013">
    <w:name w:val="Footer"/>
    <w:basedOn w:val="981"/>
    <w:link w:val="101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14" w:customStyle="1">
    <w:name w:val="Нижний колонтитул Знак"/>
    <w:basedOn w:val="984"/>
    <w:link w:val="1013"/>
    <w:uiPriority w:val="99"/>
  </w:style>
  <w:style w:type="character" w:styleId="1015" w:customStyle="1">
    <w:name w:val="Абзац списка Знак"/>
    <w:link w:val="995"/>
    <w:uiPriority w:val="34"/>
  </w:style>
  <w:style w:type="table" w:styleId="1016">
    <w:name w:val="Light Shading Accent 1"/>
    <w:basedOn w:val="985"/>
    <w:uiPriority w:val="60"/>
    <w:pPr>
      <w:spacing w:after="0" w:line="240" w:lineRule="auto"/>
    </w:pPr>
    <w:rPr>
      <w:color w:val="002f59" w:themeColor="accent1" w:themeShade="BF"/>
    </w:rPr>
    <w:tblPr>
      <w:tblStyleRowBandSize w:val="1"/>
      <w:tblStyleColBandSize w:val="1"/>
      <w:tblBorders>
        <w:top w:val="single" w:color="004077" w:themeColor="accent1" w:sz="8" w:space="0"/>
        <w:bottom w:val="single" w:color="004077" w:themeColor="accent1" w:sz="8" w:space="0"/>
      </w:tblBorders>
    </w:tblPr>
    <w:tblStylePr w:type="band1Horz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</w:style>
  <w:style w:type="table" w:styleId="1017">
    <w:name w:val="Light Shading Accent 4"/>
    <w:basedOn w:val="985"/>
    <w:uiPriority w:val="60"/>
    <w:pPr>
      <w:spacing w:after="0" w:line="240" w:lineRule="auto"/>
    </w:pPr>
    <w:rPr>
      <w:color w:val="a3a3a3" w:themeColor="accent4" w:themeShade="BF"/>
    </w:rPr>
    <w:tblPr>
      <w:tblStyleRowBandSize w:val="1"/>
      <w:tblStyleColBandSize w:val="1"/>
      <w:tblBorders>
        <w:top w:val="single" w:color="DADADA" w:themeColor="accent4" w:sz="8" w:space="0"/>
        <w:bottom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</w:style>
  <w:style w:type="table" w:styleId="1018">
    <w:name w:val="Medium List 2"/>
    <w:basedOn w:val="98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ecece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C3C3C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C3C3C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3C3C3C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3C3C3C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1019">
    <w:name w:val="Medium Grid 1 Accent 4"/>
    <w:basedOn w:val="985"/>
    <w:uiPriority w:val="67"/>
    <w:pPr>
      <w:spacing w:after="0" w:line="240" w:lineRule="auto"/>
    </w:pPr>
    <w:tblPr>
      <w:tblStyleRowBandSize w:val="1"/>
      <w:tblStyleColBandSize w:val="1"/>
      <w:tblBorders>
        <w:top w:val="single" w:color="E3E3E3" w:themeColor="accent4" w:themeTint="BF" w:sz="8" w:space="0"/>
        <w:left w:val="single" w:color="E3E3E3" w:themeColor="accent4" w:themeTint="BF" w:sz="8" w:space="0"/>
        <w:bottom w:val="single" w:color="E3E3E3" w:themeColor="accent4" w:themeTint="BF" w:sz="8" w:space="0"/>
        <w:right w:val="single" w:color="E3E3E3" w:themeColor="accent4" w:themeTint="BF" w:sz="8" w:space="0"/>
        <w:insideH w:val="single" w:color="E3E3E3" w:themeColor="accent4" w:themeTint="BF" w:sz="8" w:space="0"/>
        <w:insideV w:val="single" w:color="E3E3E3" w:themeColor="accent4" w:themeTint="BF" w:sz="8" w:space="0"/>
      </w:tblBorders>
    </w:tblPr>
    <w:tcPr>
      <w:shd w:val="clear" w:color="auto" w:fill="f5f5f5" w:themeFill="accent4" w:themeFillTint="3F"/>
    </w:tcPr>
    <w:tblStylePr w:type="band1Horz">
      <w:tcPr>
        <w:shd w:val="clear" w:color="auto" w:fill="ececec" w:themeFill="accent4" w:themeFillTint="7F"/>
      </w:tcPr>
    </w:tblStylePr>
    <w:tblStylePr w:type="band1Vert">
      <w:tcPr>
        <w:shd w:val="clear" w:color="auto" w:fill="ececec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E3E3E3" w:themeColor="accent4" w:themeTint="BF" w:sz="18" w:space="0"/>
        </w:tcBorders>
      </w:tcPr>
    </w:tblStylePr>
  </w:style>
  <w:style w:type="table" w:styleId="1020">
    <w:name w:val="Medium List 2 Accent 4"/>
    <w:basedOn w:val="98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DADADA" w:themeColor="accent4" w:sz="8" w:space="0"/>
        <w:left w:val="single" w:color="DADADA" w:themeColor="accent4" w:sz="8" w:space="0"/>
        <w:bottom w:val="single" w:color="DADADA" w:themeColor="accent4" w:sz="8" w:space="0"/>
        <w:right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DADA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DADADA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DADADA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DADADA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1021">
    <w:name w:val="Medium List 2 Accent 2"/>
    <w:basedOn w:val="98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2FB4E9" w:themeColor="accent2" w:sz="8" w:space="0"/>
        <w:left w:val="single" w:color="2FB4E9" w:themeColor="accent2" w:sz="8" w:space="0"/>
        <w:bottom w:val="single" w:color="2FB4E9" w:themeColor="accent2" w:sz="8" w:space="0"/>
        <w:right w:val="single" w:color="2FB4E9" w:themeColor="accent2" w:sz="8" w:space="0"/>
      </w:tblBorders>
    </w:tblPr>
    <w:tblStylePr w:type="band1Horz">
      <w:tcPr>
        <w:shd w:val="clear" w:color="auto" w:fill="cbecf9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becf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4E9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2FB4E9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2FB4E9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2FB4E9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1022">
    <w:name w:val="Medium List 2 Accent 3"/>
    <w:basedOn w:val="98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0070BA" w:themeColor="accent3" w:sz="8" w:space="0"/>
        <w:left w:val="single" w:color="0070BA" w:themeColor="accent3" w:sz="8" w:space="0"/>
        <w:bottom w:val="single" w:color="0070BA" w:themeColor="accent3" w:sz="8" w:space="0"/>
        <w:right w:val="single" w:color="0070BA" w:themeColor="accent3" w:sz="8" w:space="0"/>
      </w:tblBorders>
    </w:tblPr>
    <w:tblStylePr w:type="band1Horz">
      <w:tcPr>
        <w:shd w:val="clear" w:color="auto" w:fill="aedeff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aedeff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A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70BA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70BA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70BA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1023">
    <w:name w:val="Light Grid"/>
    <w:basedOn w:val="985"/>
    <w:uiPriority w:val="62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  <w:insideH w:val="single" w:color="3C3C3C" w:themeColor="text1" w:sz="8" w:space="0"/>
        <w:insideV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1Vert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2Horz"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18" w:space="0"/>
          <w:right w:val="single" w:color="3C3C3C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6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</w:style>
  <w:style w:type="paragraph" w:styleId="1024">
    <w:name w:val="Normal (Web)"/>
    <w:basedOn w:val="981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5">
    <w:name w:val="footnote text"/>
    <w:basedOn w:val="981"/>
    <w:link w:val="102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1026" w:customStyle="1">
    <w:name w:val="Текст сноски Знак"/>
    <w:basedOn w:val="984"/>
    <w:link w:val="1025"/>
    <w:uiPriority w:val="99"/>
    <w:semiHidden/>
    <w:rPr>
      <w:sz w:val="20"/>
      <w:szCs w:val="20"/>
    </w:rPr>
  </w:style>
  <w:style w:type="character" w:styleId="1027">
    <w:name w:val="footnote reference"/>
    <w:basedOn w:val="984"/>
    <w:uiPriority w:val="99"/>
    <w:semiHidden/>
    <w:unhideWhenUsed/>
    <w:rPr>
      <w:vertAlign w:val="superscript"/>
    </w:rPr>
  </w:style>
  <w:style w:type="character" w:styleId="1028" w:customStyle="1">
    <w:name w:val="Заголовок 2 Знак"/>
    <w:basedOn w:val="984"/>
    <w:link w:val="982"/>
    <w:uiPriority w:val="9"/>
    <w:semiHidden/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1029">
    <w:name w:val="Body Text"/>
    <w:basedOn w:val="981"/>
    <w:link w:val="1030"/>
    <w:qFormat/>
    <w:pPr>
      <w:contextualSpacing/>
      <w:ind w:firstLine="567"/>
      <w:jc w:val="both"/>
      <w:spacing w:before="120" w:after="120" w:line="240" w:lineRule="auto"/>
      <w:widowControl w:val="off"/>
    </w:pPr>
    <w:rPr>
      <w:rFonts w:ascii="Arial" w:hAnsi="Arial" w:cs="Times New Roman"/>
      <w:color w:val="004077" w:themeColor="accent1"/>
    </w:rPr>
  </w:style>
  <w:style w:type="character" w:styleId="1030" w:customStyle="1">
    <w:name w:val="Основной текст Знак"/>
    <w:basedOn w:val="984"/>
    <w:link w:val="1029"/>
    <w:rPr>
      <w:rFonts w:ascii="Arial" w:hAnsi="Arial" w:cs="Times New Roman"/>
      <w:color w:val="004077" w:themeColor="accent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omments" Target="comments.xml" /><Relationship Id="rId12" Type="http://schemas.microsoft.com/office/2011/relationships/commentsExtended" Target="commentsExtended.xml" /><Relationship Id="rId13" Type="http://schemas.microsoft.com/office/2018/08/relationships/commentsExtensible" Target="commentsExtensible.xml" /><Relationship Id="rId14" Type="http://schemas.microsoft.com/office/2016/09/relationships/commentsIds" Target="commentsIds.xml" /><Relationship Id="rId15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23487-4DF8-41FF-8B81-5F74DCCDC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HP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Minyaeva.IP</dc:creator>
  <cp:revision>29</cp:revision>
  <dcterms:created xsi:type="dcterms:W3CDTF">2020-06-10T12:57:00Z</dcterms:created>
  <dcterms:modified xsi:type="dcterms:W3CDTF">2026-03-05T06:33:45Z</dcterms:modified>
</cp:coreProperties>
</file>