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commentsExtensible.xml" ContentType="application/vnd.openxmlformats-officedocument.wordprocessingml.commentsExtensi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commentRangeStart w:id="0"/>
      <w:r>
        <w:rPr>
          <w:rFonts w:ascii="Arial" w:hAnsi="Arial" w:eastAsia="Arial" w:cs="Arial"/>
          <w:highlight w:val="none"/>
        </w:rPr>
        <w:t xml:space="preserve">Приложение №1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jc w:val="right"/>
        <w:rPr>
          <w:rFonts w:ascii="Arial" w:hAnsi="Arial" w:cs="Arial"/>
          <w:spacing w:val="-2"/>
          <w:highlight w:val="none"/>
        </w:rPr>
      </w:pPr>
      <w:r>
        <w:rPr>
          <w:rFonts w:ascii="Arial" w:hAnsi="Arial" w:eastAsia="Arial" w:cs="Arial"/>
          <w:highlight w:val="none"/>
        </w:rPr>
        <w:t xml:space="preserve">к Заказу </w:t>
      </w:r>
      <w:r>
        <w:rPr>
          <w:rFonts w:ascii="Arial" w:hAnsi="Arial" w:eastAsia="Arial" w:cs="Arial"/>
          <w:spacing w:val="-2"/>
          <w:highlight w:val="none"/>
        </w:rPr>
        <w:t xml:space="preserve">№ ________________ от _________ </w:t>
      </w:r>
      <w:r>
        <w:rPr>
          <w:rFonts w:ascii="Arial" w:hAnsi="Arial" w:eastAsia="Arial" w:cs="Arial"/>
          <w:spacing w:val="-2"/>
          <w:highlight w:val="none"/>
        </w:rPr>
        <w:t xml:space="preserve">202</w:t>
      </w:r>
      <w:r>
        <w:rPr>
          <w:rFonts w:ascii="Arial" w:hAnsi="Arial" w:eastAsia="Arial" w:cs="Arial"/>
          <w:spacing w:val="-2"/>
          <w:highlight w:val="none"/>
        </w:rPr>
        <w:t xml:space="preserve">6</w:t>
      </w:r>
      <w:r>
        <w:rPr>
          <w:rFonts w:ascii="Arial" w:hAnsi="Arial" w:eastAsia="Arial" w:cs="Arial"/>
          <w:spacing w:val="-2"/>
          <w:highlight w:val="none"/>
        </w:rPr>
        <w:t xml:space="preserve"> г.</w:t>
      </w:r>
      <w:r>
        <w:rPr>
          <w:rFonts w:ascii="Arial" w:hAnsi="Arial" w:cs="Arial"/>
          <w:spacing w:val="-2"/>
          <w:highlight w:val="none"/>
        </w:rPr>
      </w:r>
      <w:r>
        <w:rPr>
          <w:rFonts w:ascii="Arial" w:hAnsi="Arial" w:cs="Arial"/>
          <w:spacing w:val="-2"/>
          <w:highlight w:val="none"/>
        </w:rPr>
      </w:r>
    </w:p>
    <w:p>
      <w:pPr>
        <w:ind w:firstLine="709"/>
        <w:jc w:val="right"/>
        <w:rPr>
          <w:rFonts w:ascii="Arial" w:hAnsi="Arial" w:cs="Arial"/>
          <w:spacing w:val="-2"/>
          <w:highlight w:val="none"/>
        </w:rPr>
      </w:pPr>
      <w:r>
        <w:rPr>
          <w:rFonts w:ascii="Arial" w:hAnsi="Arial" w:eastAsia="Arial" w:cs="Arial"/>
          <w:highlight w:val="none"/>
        </w:rPr>
        <w:t xml:space="preserve">к Договору № </w:t>
      </w:r>
      <w:r>
        <w:rPr>
          <w:rFonts w:ascii="Arial" w:hAnsi="Arial" w:eastAsia="Arial" w:cs="Arial"/>
          <w:spacing w:val="-2"/>
          <w:highlight w:val="none"/>
        </w:rPr>
        <w:t xml:space="preserve">________________________________ </w:t>
      </w:r>
      <w:r>
        <w:rPr>
          <w:rFonts w:ascii="Arial" w:hAnsi="Arial" w:cs="Arial"/>
          <w:spacing w:val="-2"/>
          <w:highlight w:val="none"/>
        </w:rPr>
      </w:r>
      <w:r>
        <w:rPr>
          <w:rFonts w:ascii="Arial" w:hAnsi="Arial" w:cs="Arial"/>
          <w:spacing w:val="-2"/>
          <w:highlight w:val="none"/>
        </w:rPr>
      </w:r>
    </w:p>
    <w:p>
      <w:pPr>
        <w:ind w:firstLine="709"/>
        <w:jc w:val="right"/>
        <w:rPr>
          <w:rFonts w:ascii="Arial" w:hAnsi="Arial" w:cs="Arial"/>
          <w:spacing w:val="-2"/>
          <w:highlight w:val="none"/>
        </w:rPr>
      </w:pPr>
      <w:r>
        <w:rPr>
          <w:rFonts w:ascii="Arial" w:hAnsi="Arial" w:eastAsia="Arial" w:cs="Arial"/>
          <w:spacing w:val="-2"/>
          <w:highlight w:val="none"/>
        </w:rPr>
        <w:t xml:space="preserve">от «__» _________ </w:t>
      </w:r>
      <w:r>
        <w:rPr>
          <w:rFonts w:ascii="Arial" w:hAnsi="Arial" w:eastAsia="Arial" w:cs="Arial"/>
          <w:spacing w:val="-2"/>
          <w:highlight w:val="none"/>
        </w:rPr>
        <w:t xml:space="preserve">2026 г.</w:t>
      </w:r>
      <w:r>
        <w:rPr>
          <w:rFonts w:ascii="Arial" w:hAnsi="Arial" w:cs="Arial"/>
          <w:spacing w:val="-2"/>
          <w:highlight w:val="none"/>
        </w:rPr>
      </w:r>
      <w:commentRangeEnd w:id="0"/>
      <w:r>
        <w:commentReference w:id="0"/>
      </w:r>
      <w:r>
        <w:rPr>
          <w:rFonts w:ascii="Arial" w:hAnsi="Arial" w:cs="Arial"/>
          <w:spacing w:val="-2"/>
          <w:highlight w:val="none"/>
        </w:rPr>
      </w:r>
      <w:r>
        <w:rPr>
          <w:rFonts w:ascii="Arial" w:hAnsi="Arial" w:cs="Arial"/>
          <w:spacing w:val="-2"/>
          <w:highlight w:val="none"/>
        </w:rPr>
      </w:r>
    </w:p>
    <w:p>
      <w:pPr>
        <w:jc w:val="center"/>
        <w:rPr>
          <w:rFonts w:ascii="Arial" w:hAnsi="Arial" w:cs="Arial"/>
          <w:b/>
          <w:bCs/>
          <w:highlight w:val="none"/>
        </w:rPr>
        <w:outlineLvl w:val="5"/>
      </w:pP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>
      <w:pPr>
        <w:jc w:val="center"/>
        <w:keepNext/>
        <w:rPr>
          <w:rFonts w:ascii="Arial" w:hAnsi="Arial" w:cs="Arial"/>
          <w:b/>
        </w:rPr>
        <w:outlineLvl w:val="2"/>
      </w:pPr>
      <w:r>
        <w:rPr>
          <w:rFonts w:ascii="Arial" w:hAnsi="Arial" w:eastAsia="Arial" w:cs="Arial"/>
          <w:b/>
        </w:rPr>
        <w:t xml:space="preserve">Техническое задание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jc w:val="center"/>
        <w:keepNext/>
        <w:rPr>
          <w:rFonts w:ascii="Arial" w:hAnsi="Arial" w:cs="Arial"/>
        </w:rPr>
        <w:outlineLvl w:val="2"/>
      </w:pPr>
      <w:r>
        <w:rPr>
          <w:rFonts w:ascii="Arial" w:hAnsi="Arial" w:eastAsia="Arial" w:cs="Arial"/>
        </w:rPr>
        <w:t xml:space="preserve">на выполнение работ по теме: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jc w:val="center"/>
        <w:keepNext/>
        <w:rPr>
          <w:rFonts w:ascii="Arial" w:hAnsi="Arial" w:cs="Arial"/>
        </w:rPr>
        <w:outlineLvl w:val="2"/>
      </w:pPr>
      <w:r>
        <w:rPr>
          <w:rFonts w:ascii="Arial" w:hAnsi="Arial" w:cs="Arial"/>
        </w:rPr>
      </w:r>
      <w:commentRangeStart w:id="1"/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jc w:val="center"/>
        <w:keepNext/>
        <w:rPr>
          <w:rFonts w:ascii="Arial" w:hAnsi="Arial" w:cs="Arial"/>
          <w:b/>
          <w:bCs/>
          <w:highlight w:val="none"/>
        </w:rPr>
        <w:outlineLvl w:val="2"/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  <w:t xml:space="preserve">Название работы согласно производственной программы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>
      <w:pPr>
        <w:jc w:val="center"/>
        <w:keepNext/>
        <w:rPr>
          <w:rFonts w:ascii="Arial" w:hAnsi="Arial" w:cs="Arial"/>
          <w:highlight w:val="none"/>
        </w:rPr>
        <w:outlineLvl w:val="2"/>
      </w:pPr>
      <w:r>
        <w:rPr>
          <w:rFonts w:ascii="Arial" w:hAnsi="Arial" w:eastAsia="Arial" w:cs="Arial"/>
          <w:highlight w:val="none"/>
        </w:rPr>
        <w:t xml:space="preserve">(Проектно-технический документ)</w:t>
      </w:r>
      <w:r>
        <w:rPr>
          <w:rFonts w:ascii="Arial" w:hAnsi="Arial" w:cs="Arial"/>
          <w:highlight w:val="none"/>
        </w:rPr>
      </w:r>
      <w:commentRangeEnd w:id="1"/>
      <w:r>
        <w:commentReference w:id="1"/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jc w:val="center"/>
        <w:keepNext/>
        <w:rPr>
          <w:rFonts w:ascii="Arial" w:hAnsi="Arial" w:cs="Arial"/>
          <w:b/>
          <w:bCs/>
          <w:highlight w:val="none"/>
        </w:rPr>
        <w:outlineLvl w:val="2"/>
      </w:pP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>
      <w:pPr>
        <w:ind w:firstLine="567"/>
        <w:jc w:val="both"/>
        <w:keepNext/>
        <w:rPr>
          <w:rFonts w:ascii="Arial" w:hAnsi="Arial" w:cs="Arial"/>
          <w:b/>
          <w:bCs/>
          <w:highlight w:val="none"/>
        </w:rPr>
        <w:outlineLvl w:val="2"/>
      </w:pPr>
      <w:r>
        <w:rPr>
          <w:rFonts w:ascii="Arial" w:hAnsi="Arial" w:eastAsia="Arial" w:cs="Arial"/>
          <w:b/>
          <w:bCs/>
          <w:highlight w:val="none"/>
        </w:rPr>
        <w:t xml:space="preserve">Заказчик: </w:t>
      </w:r>
      <w:r>
        <w:rPr>
          <w:rFonts w:ascii="Arial" w:hAnsi="Arial" w:eastAsia="Arial" w:cs="Arial"/>
          <w:bCs/>
          <w:highlight w:val="none"/>
        </w:rPr>
        <w:t xml:space="preserve">краткое название компании-Заказчика</w:t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</w:p>
    <w:p>
      <w:pPr>
        <w:contextualSpacing/>
        <w:ind w:left="720" w:firstLine="567"/>
        <w:jc w:val="both"/>
        <w:rPr>
          <w:rFonts w:ascii="Arial" w:hAnsi="Arial" w:cs="Arial"/>
          <w:b/>
          <w:highlight w:val="none"/>
        </w:rPr>
      </w:pPr>
      <w:r>
        <w:rPr>
          <w:rFonts w:ascii="Arial" w:hAnsi="Arial" w:cs="Arial"/>
          <w:b/>
          <w:highlight w:val="none"/>
        </w:rPr>
      </w:r>
      <w:r>
        <w:rPr>
          <w:rFonts w:ascii="Arial" w:hAnsi="Arial" w:cs="Arial"/>
          <w:b/>
          <w:highlight w:val="none"/>
        </w:rPr>
      </w:r>
      <w:r>
        <w:rPr>
          <w:rFonts w:ascii="Arial" w:hAnsi="Arial" w:cs="Arial"/>
          <w:b/>
          <w:highlight w:val="none"/>
        </w:rPr>
      </w:r>
    </w:p>
    <w:p>
      <w:pPr>
        <w:pStyle w:val="957"/>
        <w:numPr>
          <w:ilvl w:val="0"/>
          <w:numId w:val="2"/>
        </w:numPr>
        <w:contextualSpacing w:val="0"/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  <w:highlight w:val="none"/>
        </w:rPr>
      </w:pPr>
      <w:r>
        <w:rPr>
          <w:highlight w:val="none"/>
        </w:rPr>
      </w:r>
      <w:bookmarkStart w:id="0" w:name="_Toc274219824"/>
      <w:r>
        <w:rPr>
          <w:highlight w:val="none"/>
        </w:rPr>
      </w:r>
      <w:bookmarkStart w:id="1" w:name="_Toc275361027"/>
      <w:r>
        <w:rPr>
          <w:rFonts w:ascii="Arial" w:hAnsi="Arial" w:eastAsia="Arial" w:cs="Arial"/>
          <w:b/>
          <w:highlight w:val="none"/>
        </w:rPr>
        <w:t xml:space="preserve">Цели и задачи </w:t>
      </w:r>
      <w:bookmarkEnd w:id="0"/>
      <w:r>
        <w:rPr>
          <w:highlight w:val="none"/>
        </w:rPr>
      </w:r>
      <w:bookmarkEnd w:id="1"/>
      <w:r>
        <w:rPr>
          <w:rFonts w:ascii="Arial" w:hAnsi="Arial" w:eastAsia="Arial" w:cs="Arial"/>
          <w:b/>
          <w:highlight w:val="none"/>
        </w:rPr>
        <w:t xml:space="preserve">работ </w:t>
      </w:r>
      <w:r>
        <w:rPr>
          <w:rFonts w:ascii="Arial" w:hAnsi="Arial" w:cs="Arial"/>
          <w:b/>
          <w:highlight w:val="none"/>
        </w:rPr>
      </w:r>
      <w:r>
        <w:rPr>
          <w:rFonts w:ascii="Arial" w:hAnsi="Arial" w:cs="Arial"/>
          <w:b/>
          <w:highlight w:val="none"/>
        </w:rPr>
      </w:r>
    </w:p>
    <w:p>
      <w:pPr>
        <w:pStyle w:val="957"/>
        <w:ind w:left="284" w:firstLine="283"/>
        <w:jc w:val="both"/>
        <w:tabs>
          <w:tab w:val="left" w:pos="1134" w:leader="none"/>
        </w:tabs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1.1 Актуализация запасов на разбуриваемых участках </w:t>
      </w:r>
      <w:r>
        <w:rPr>
          <w:rFonts w:ascii="Arial" w:hAnsi="Arial" w:eastAsia="Arial" w:cs="Arial"/>
          <w:highlight w:val="none"/>
        </w:rPr>
        <w:t xml:space="preserve">месторождения </w:t>
      </w:r>
      <w:r>
        <w:rPr>
          <w:rFonts w:ascii="Arial" w:hAnsi="Arial" w:eastAsia="Arial" w:cs="Arial"/>
          <w:highlight w:val="none"/>
        </w:rPr>
        <w:t xml:space="preserve">в поддержку ПТД </w:t>
      </w:r>
      <w:r>
        <w:rPr>
          <w:rFonts w:ascii="Arial" w:hAnsi="Arial" w:eastAsia="Arial" w:cs="Arial"/>
          <w:highlight w:val="none"/>
        </w:rPr>
        <w:t xml:space="preserve">с учётом накопленной геолого-технической информации</w:t>
      </w:r>
      <w:r>
        <w:rPr>
          <w:rFonts w:ascii="Arial" w:hAnsi="Arial" w:eastAsia="Arial" w:cs="Arial"/>
          <w:highlight w:val="none"/>
        </w:rPr>
        <w:t xml:space="preserve">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57"/>
        <w:ind w:left="284" w:firstLine="283"/>
        <w:jc w:val="both"/>
        <w:tabs>
          <w:tab w:val="left" w:pos="113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1.2 </w:t>
      </w:r>
      <w:r>
        <w:rPr>
          <w:rFonts w:ascii="Arial" w:hAnsi="Arial" w:eastAsia="Arial" w:cs="Arial"/>
        </w:rPr>
        <w:t xml:space="preserve">П</w:t>
      </w:r>
      <w:r>
        <w:rPr>
          <w:rFonts w:ascii="Arial" w:hAnsi="Arial" w:eastAsia="Arial" w:cs="Arial"/>
        </w:rPr>
        <w:t xml:space="preserve">ересчет запасов основных углеводородов и сопутствующих компонентов продуктивных плас</w:t>
      </w:r>
      <w:r>
        <w:rPr>
          <w:rFonts w:ascii="Arial" w:hAnsi="Arial" w:eastAsia="Arial" w:cs="Arial"/>
          <w:highlight w:val="none"/>
        </w:rPr>
        <w:t xml:space="preserve">тов </w:t>
      </w:r>
      <w:r>
        <w:rPr>
          <w:rFonts w:ascii="Arial" w:hAnsi="Arial" w:eastAsia="Arial" w:cs="Arial"/>
          <w:highlight w:val="none"/>
        </w:rPr>
        <w:t xml:space="preserve"> месторождения с последующим их утверждением в ФБУ «ГКЗ» РФ и постановкой на Государстве</w:t>
      </w:r>
      <w:r>
        <w:rPr>
          <w:rFonts w:ascii="Arial" w:hAnsi="Arial" w:eastAsia="Arial" w:cs="Arial"/>
        </w:rPr>
        <w:t xml:space="preserve">нный баланс полезных ископаемых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ind w:left="284" w:firstLine="283"/>
        <w:jc w:val="both"/>
        <w:tabs>
          <w:tab w:val="left" w:pos="113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1.3 В процессе оказания услуг – создание двумерных и трёхмерных геологических моделей (далее – ГМ) с учетом всей геолого-технической информации.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ind w:left="885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2"/>
        </w:numPr>
        <w:ind w:hanging="153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Периметр работ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ind w:left="0"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Услуги оказываются по месту нахождения офисов Исполнителя (г.Тюмень, г.Санкт-Петербург).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Сроки выполнения работ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Начало – </w:t>
      </w:r>
      <w:r>
        <w:rPr>
          <w:rFonts w:ascii="Arial" w:hAnsi="Arial" w:eastAsia="Franklin Gothic Book" w:cs="Arial"/>
          <w:color w:val="000000"/>
          <w:lang w:eastAsia="en-US"/>
        </w:rPr>
        <w:t xml:space="preserve">с момента подписания заказа</w:t>
      </w:r>
      <w:r>
        <w:rPr>
          <w:rFonts w:ascii="Arial" w:hAnsi="Arial" w:eastAsia="Franklin Gothic Book" w:cs="Arial"/>
          <w:color w:val="000000"/>
          <w:lang w:eastAsia="en-US"/>
        </w:rPr>
        <w:t xml:space="preserve"> </w:t>
      </w:r>
      <w:commentRangeStart w:id="2"/>
      <w:r>
        <w:rPr>
          <w:rFonts w:ascii="Arial" w:hAnsi="Arial" w:eastAsia="Franklin Gothic Book" w:cs="Arial"/>
          <w:color w:val="000000"/>
          <w:lang w:eastAsia="en-US"/>
        </w:rPr>
        <w:t xml:space="preserve">или дата</w:t>
      </w:r>
      <w:r>
        <w:rPr>
          <w:rFonts w:ascii="Arial" w:hAnsi="Arial" w:cs="Arial"/>
        </w:rPr>
      </w:r>
      <w:commentRangeEnd w:id="2"/>
      <w:r>
        <w:commentReference w:id="2"/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Окончание – 25.12.2026 г.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Сроки выполнения этапов определяются Календарным планом (Приложение №2).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360"/>
        <w:jc w:val="both"/>
        <w:tabs>
          <w:tab w:val="left" w:pos="854" w:leader="none"/>
        </w:tabs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</w:r>
      <w:r>
        <w:rPr>
          <w:rFonts w:ascii="Arial" w:hAnsi="Arial" w:cs="Arial"/>
          <w:highlight w:val="yellow"/>
        </w:rPr>
      </w:r>
      <w:r>
        <w:rPr>
          <w:rFonts w:ascii="Arial" w:hAnsi="Arial" w:cs="Arial"/>
          <w:highlight w:val="yellow"/>
        </w:rPr>
      </w:r>
    </w:p>
    <w:p>
      <w:pPr>
        <w:pStyle w:val="957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  <w:bCs/>
          <w:color w:val="3c3c3c" w:themeColor="text1"/>
        </w:rPr>
      </w:pPr>
      <w:r>
        <w:rPr>
          <w:rFonts w:ascii="Arial" w:hAnsi="Arial" w:eastAsia="Arial" w:cs="Arial"/>
          <w:b/>
          <w:bCs/>
          <w:color w:val="3c3c3c" w:themeColor="text1"/>
        </w:rPr>
      </w:r>
      <w:commentRangeStart w:id="3"/>
      <w:r>
        <w:rPr>
          <w:rFonts w:ascii="Arial" w:hAnsi="Arial" w:eastAsia="Arial" w:cs="Arial"/>
          <w:b/>
          <w:bCs/>
          <w:color w:val="3c3c3c" w:themeColor="text1"/>
        </w:rPr>
        <w:t xml:space="preserve">Ключевые показатели эффективности при постановке целей в формате</w:t>
      </w:r>
      <w:r>
        <w:rPr>
          <w:rFonts w:ascii="Arial" w:hAnsi="Arial" w:cs="Arial"/>
          <w:b/>
          <w:bCs/>
          <w:color w:val="3c3c3c" w:themeColor="text1"/>
        </w:rPr>
      </w:r>
      <w:r>
        <w:rPr>
          <w:rFonts w:ascii="Arial" w:hAnsi="Arial" w:cs="Arial"/>
          <w:b/>
          <w:bCs/>
          <w:color w:val="3c3c3c" w:themeColor="text1"/>
        </w:rPr>
      </w:r>
    </w:p>
    <w:p>
      <w:pPr>
        <w:jc w:val="both"/>
        <w:tabs>
          <w:tab w:val="left" w:pos="854" w:leader="none"/>
        </w:tabs>
        <w:rPr>
          <w:rFonts w:ascii="Arial" w:hAnsi="Arial" w:eastAsia="Arial" w:cs="Arial"/>
          <w:b/>
          <w:bCs/>
          <w:color w:val="3c3c3c" w:themeColor="text1"/>
        </w:rPr>
      </w:pPr>
      <w:r>
        <w:rPr>
          <w:rFonts w:ascii="Arial" w:hAnsi="Arial" w:eastAsia="Arial" w:cs="Arial"/>
          <w:b/>
          <w:bCs/>
          <w:color w:val="3c3c3c" w:themeColor="text1"/>
        </w:rPr>
        <w:t xml:space="preserve">конечного результата (КПЭ по SMART):</w:t>
      </w:r>
      <w:r>
        <w:rPr>
          <w:rFonts w:ascii="Arial" w:hAnsi="Arial" w:eastAsia="Arial" w:cs="Arial"/>
          <w:b/>
          <w:bCs/>
          <w:color w:val="3c3c3c" w:themeColor="text1"/>
        </w:rPr>
      </w:r>
      <w:r>
        <w:rPr>
          <w:rFonts w:ascii="Arial" w:hAnsi="Arial" w:eastAsia="Arial" w:cs="Arial"/>
          <w:b/>
          <w:bCs/>
          <w:color w:val="3c3c3c" w:themeColor="text1"/>
        </w:rPr>
      </w:r>
    </w:p>
    <w:p>
      <w:pPr>
        <w:ind w:firstLine="360"/>
        <w:jc w:val="right"/>
        <w:spacing w:line="360" w:lineRule="auto"/>
        <w:tabs>
          <w:tab w:val="left" w:pos="854" w:leader="none"/>
        </w:tabs>
        <w:rPr>
          <w:rFonts w:ascii="Arial" w:hAnsi="Arial" w:cs="Arial"/>
          <w:bCs/>
          <w:i/>
          <w:sz w:val="20"/>
          <w:szCs w:val="20"/>
        </w:rPr>
      </w:pPr>
      <w:r>
        <w:rPr>
          <w:rFonts w:ascii="Arial" w:hAnsi="Arial" w:eastAsia="Arial" w:cs="Arial"/>
          <w:i/>
          <w:iCs/>
          <w:sz w:val="20"/>
          <w:szCs w:val="20"/>
        </w:rPr>
        <w:t xml:space="preserve">Таблица № 1</w:t>
      </w:r>
      <w:r>
        <w:rPr>
          <w:rFonts w:ascii="Arial" w:hAnsi="Arial" w:cs="Arial"/>
          <w:bCs/>
          <w:i/>
          <w:sz w:val="20"/>
          <w:szCs w:val="20"/>
        </w:rPr>
      </w:r>
      <w:commentRangeEnd w:id="3"/>
      <w:r>
        <w:commentReference w:id="3"/>
      </w:r>
      <w:r>
        <w:rPr>
          <w:rFonts w:ascii="Arial" w:hAnsi="Arial" w:cs="Arial"/>
          <w:bCs/>
          <w:i/>
          <w:sz w:val="20"/>
          <w:szCs w:val="20"/>
        </w:rPr>
      </w:r>
      <w:r>
        <w:rPr>
          <w:rFonts w:ascii="Arial" w:hAnsi="Arial" w:cs="Arial"/>
          <w:bCs/>
          <w:i/>
          <w:sz w:val="20"/>
          <w:szCs w:val="20"/>
        </w:rPr>
      </w:r>
    </w:p>
    <w:tbl>
      <w:tblPr>
        <w:tblStyle w:val="944"/>
        <w:tblW w:w="0" w:type="auto"/>
        <w:tblLayout w:type="fixed"/>
        <w:tblLook w:val="04A0" w:firstRow="1" w:lastRow="0" w:firstColumn="1" w:lastColumn="0" w:noHBand="0" w:noVBand="1"/>
      </w:tblPr>
      <w:tblGrid>
        <w:gridCol w:w="2126"/>
        <w:gridCol w:w="7795"/>
      </w:tblGrid>
      <w:tr>
        <w:tblPrEx/>
        <w:trPr>
          <w:trHeight w:val="457"/>
        </w:trPr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№ этапа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795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Показатели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trHeight w:val="557"/>
        </w:trPr>
        <w:tc>
          <w:tcPr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tabs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Этапы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jc w:val="center"/>
              <w:tabs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№№ 1-4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7795" w:type="dxa"/>
            <w:vAlign w:val="center"/>
            <w:textDirection w:val="lrTb"/>
            <w:noWrap w:val="false"/>
          </w:tcPr>
          <w:p>
            <w:pPr>
              <w:jc w:val="both"/>
              <w:tabs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Актуализация запасов в разбуриваемых участках месторождения с учётом накопленной геолого-технической информации.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trHeight w:val="840"/>
        </w:trPr>
        <w:tc>
          <w:tcPr>
            <w:tcW w:w="2126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7795" w:type="dxa"/>
            <w:vAlign w:val="center"/>
            <w:textDirection w:val="lrTb"/>
            <w:noWrap w:val="false"/>
          </w:tcPr>
          <w:p>
            <w:pPr>
              <w:jc w:val="both"/>
              <w:tabs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Прохождение экспертизы и утверждение в ГКЗ материалов подсчёта запасов месторождения с оформлением экспертного заключения и протокола ГКЗ, постановка запасов на Государственный баланс полезных ископаемых.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>
          <w:trHeight w:val="557"/>
        </w:trPr>
        <w:tc>
          <w:tcPr>
            <w:tcW w:w="2126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7795" w:type="dxa"/>
            <w:vAlign w:val="center"/>
            <w:textDirection w:val="lrTb"/>
            <w:noWrap w:val="false"/>
          </w:tcPr>
          <w:p>
            <w:pPr>
              <w:jc w:val="both"/>
              <w:tabs>
                <w:tab w:val="left" w:pos="854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Снятие лицензионных рисков предприятия. Обеспечение отсутствия непромышленных категорий запасов в разбуренных зонах.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ind w:firstLine="360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  <w:highlight w:val="none"/>
        </w:rPr>
      </w:pPr>
      <w:r>
        <w:rPr>
          <w:rFonts w:ascii="Arial" w:hAnsi="Arial" w:eastAsia="Arial" w:cs="Arial"/>
          <w:b/>
          <w:highlight w:val="none"/>
        </w:rPr>
        <w:t xml:space="preserve">Содержание работ, особенности их выполнения и результаты </w:t>
      </w:r>
      <w:r>
        <w:rPr>
          <w:rFonts w:ascii="Arial" w:hAnsi="Arial" w:cs="Arial"/>
          <w:b/>
          <w:highlight w:val="none"/>
        </w:rPr>
      </w:r>
      <w:r>
        <w:rPr>
          <w:rFonts w:ascii="Arial" w:hAnsi="Arial" w:cs="Arial"/>
          <w:b/>
          <w:highlight w:val="none"/>
        </w:rPr>
      </w:r>
    </w:p>
    <w:p>
      <w:pPr>
        <w:contextualSpacing/>
        <w:ind w:firstLine="567"/>
        <w:jc w:val="both"/>
        <w:widowControl w:val="off"/>
        <w:tabs>
          <w:tab w:val="left" w:pos="854" w:leader="none"/>
          <w:tab w:val="center" w:pos="10206" w:leader="none"/>
        </w:tabs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Перечень работ, требования к ним и детализация ожидаемых результатов представлены </w:t>
      </w:r>
      <w:r>
        <w:rPr>
          <w:rFonts w:ascii="Arial" w:hAnsi="Arial" w:eastAsia="Arial" w:cs="Arial"/>
          <w:highlight w:val="none"/>
        </w:rPr>
        <w:t xml:space="preserve">в таблице №2</w:t>
      </w:r>
      <w:r>
        <w:rPr>
          <w:rFonts w:ascii="Arial" w:hAnsi="Arial" w:eastAsia="Arial" w:cs="Arial"/>
          <w:highlight w:val="none"/>
        </w:rPr>
        <w:t xml:space="preserve">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left="567" w:firstLine="567"/>
        <w:jc w:val="right"/>
        <w:spacing w:line="360" w:lineRule="auto"/>
        <w:tabs>
          <w:tab w:val="left" w:pos="854" w:leader="none"/>
        </w:tabs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eastAsia="Arial" w:cs="Arial"/>
          <w:i/>
          <w:iCs/>
          <w:sz w:val="20"/>
          <w:szCs w:val="20"/>
        </w:rPr>
        <w:t xml:space="preserve">Таблица №2</w:t>
      </w:r>
      <w:r>
        <w:rPr>
          <w:rFonts w:ascii="Arial" w:hAnsi="Arial" w:cs="Arial"/>
          <w:i/>
          <w:iCs/>
          <w:sz w:val="16"/>
          <w:szCs w:val="16"/>
        </w:rPr>
      </w:r>
      <w:r>
        <w:rPr>
          <w:rFonts w:ascii="Arial" w:hAnsi="Arial" w:cs="Arial"/>
          <w:i/>
          <w:iCs/>
          <w:sz w:val="16"/>
          <w:szCs w:val="16"/>
        </w:rPr>
      </w:r>
    </w:p>
    <w:tbl>
      <w:tblPr>
        <w:tblW w:w="99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685"/>
        <w:gridCol w:w="2976"/>
        <w:gridCol w:w="3260"/>
      </w:tblGrid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  <w:lang w:eastAsia="en-US"/>
              </w:rPr>
              <w:t xml:space="preserve">Требования к выполнению работ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  <w:lang w:eastAsia="en-US"/>
              </w:rPr>
              <w:t xml:space="preserve">Ожидаемые результаты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tabs>
                <w:tab w:val="left" w:pos="0" w:leader="none"/>
              </w:tabs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  <w:lang w:eastAsia="en-US"/>
              </w:rPr>
              <w:t xml:space="preserve">Описание работы *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Этап 1. 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Ф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ормирование базы данных. Литолого-стратиграфическое расчленение разреза по материалам ГИС. Создание петрофизической модели. Переинтерпретация данных ГИС. Анализ результатов сейсморазведочных работ. Выделение и обоснование подсчетных объектов. Построение тр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ехмерной модели.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249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c3c3c" w:themeColor="text1"/>
                <w:sz w:val="20"/>
                <w:szCs w:val="20"/>
              </w:rPr>
              <w:t xml:space="preserve">1.1. Формирование базы данных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Формирование рабочих баз данных в ПО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полноты и анализ качества,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переданной Заказчиком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информации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blPrEx/>
        <w:trPr>
          <w:trHeight w:val="79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1.2. Литолого-стратиграфическое расчленение разреза по материалам ГИС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Схемы детальной корреляции продуктивных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отложений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Литолого-стратиграфическое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расчленение разреза скважин на основе кернового материала и ГИС.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Обоснование и определение фациальных обстановок продуктивных пластов.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Проведение детальной корреляции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продуктивных отложений с целью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более обоснованного выделения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contextualSpacing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единичных объектов подсчета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contextualSpacing/>
              <w:widowControl w:val="off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запасов, распределение и привязка имеющегося фактического материала по выделенным объектам, оценка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contextualSpacing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степени их изученности.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171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widowControl w:val="off"/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 1.3. Создание петрофизической модели. Переинтерпретация данных ГИС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textDirection w:val="lrTb"/>
            <w:noWrap w:val="false"/>
          </w:tcPr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в каждой скважине должны быть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указаны интервалы и значения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параметров опорных пластов для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расчетов Апс, ΔJγ, ΔJn, Кгл;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определение открытой пористости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проводится по данным нейтрон-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нейтронного каротажа (ННКт) 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петрофизической связи «Апс – Кп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керн» по всему массиву скважин. 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скважинах с выполненными замерами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акустического и плотностного каротажа, а также специальных исследований (МНК, ИНК, ЯМР и др.) пористость должна быть рассчитана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соответственно и по этим методам.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Результирующее значение пористости (Кп_прин) определяется по комплексным палеткам, которые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должны быть приведены в отчете, или согласно обоснованному алгоритму. В отчете должны быть приведены используемые для интерпретации палетки;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абсолютную проницаемость получают на основе петрофизической связи «керн-керн» из открытой пористости, либо путём применения аналитических и эмпирических зависимостей, справедливых для данного типа отложений;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УЭС (Rп) горных пород получают 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результате комплексной обработки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БКЗ-ИК-БК. В скважинах, где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проведены исследования ВИКИЗ,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значение УЭС соответственно должно быть рассчитано и по этому методу. Результирующее значение УЭС принимается на основе экспертной оценки;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объёмная глинистость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рассчитывается с применением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методов ПС, ГК, СГК и БК 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зависимости от типа исследуемого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объекта;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нефтенасыщенность пород-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коллекторов рассчитывается на основе петрофизических связей «керн - керн», «керн - ГИС», а также по уравнению Арчи-Дахнова, с коэффициентами, полученными в зоне 100%-водонасыщенных коллекторов.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textDirection w:val="lrTb"/>
            <w:noWrap w:val="false"/>
          </w:tcPr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описание разработанных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методик определения подсчетных параметров,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алгоритмов интерпретации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данных каротажа;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результаты интерпретации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материалов ГИС в интервале продуктивных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пластов;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результаты определения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УЭС проницаемых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интервалов в разрезе продуктивных пластов;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обоснование граничных значений Кп_гр;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расчет средних параметров по скважинам;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планшеты геолого-геофизической характеристики по всем скважинам.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textDirection w:val="lrTb"/>
            <w:noWrap w:val="false"/>
          </w:tcPr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анализ данных лабораторных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исследований флюидов;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анализ данных опробования,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испытания и промысловых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исследований скважин;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увязка данных КЕРН-ГИС-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ИСПЫТАНИЕ;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разработка петрофизической основы интерпретации данных ГИС;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разработка методик определения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подсчетных параметров;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построение петрофизических связей типа "керн-керн", "керн-ГИС", "ГИС-ГИС", "опробование-ГИС";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оценка по пластам граничных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значений открытой пористости (Кп), эффективной пористости (Кпэф), абсолютной проницаемости (Кпр), водо-насыщенности (Кв), остаточной водонасыщенности (Кво), параметра Апс и удельного сопротивления (Rп);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изученность керновыми исследованиями подсчетных объектов. Таблицы изменения средневзвешенных параметров по пластам;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разработка и обоснование методики интерпретации на основе данных анализа керна и результатов испытания скважин;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разработка алгоритмов, отладка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графа обработки и интерпретация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данных каротажа;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оценка качества интерпретации: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сопоставление результатов с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данными анализа керна и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результатами испытаний скважин;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анализ расхождений;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контроль качества.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pStyle w:val="957"/>
              <w:ind w:left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174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1.4.  Анализ результатов сейсморазведочных работ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</w:tc>
      </w:tr>
      <w:tr>
        <w:tblPrEx/>
        <w:trPr>
          <w:trHeight w:val="5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 по сейсмике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привязка опорных и продуктивных объектов с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сейсмическими данными;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карты изохрон;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карты глубин по опорным и целевым объектам;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сейсмогеологическая модель месторождения;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прогнозные карты, построенные в рамках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val="en-US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динамического и сейсмо-стратиграфического анализа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val="ru-RU"/>
              </w:rPr>
              <w:t xml:space="preserve">.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val="en-US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качества 2D и 3D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сейсморазведочных работ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(переобработка и переинтерпретация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не требуются):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сейсмостратиграфическая привязка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 данным ВСП;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трассирование тектонических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нарушений;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корреляция отражающих горизонтов;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методика картопостроения;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данные динамического и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сейсмостратиграфического анализа,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инверсионных преобразований (если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таковой выполнялся);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статистический анализ взаимосвязей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сейсмических атрибутов и емкостных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параметров;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построение карт прогноза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распределения ФЕС;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создание сейсмогеологической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модели.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200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1.4.  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Построение трехмерной модели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</w:tc>
      </w:tr>
      <w:tr>
        <w:tblPrEx/>
        <w:trPr>
          <w:trHeight w:val="5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геологической и промысловой информации, в т.ч. по сейсмике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трёхмерная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геологическая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модель продуктивных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пластов в ПО T-Navigator / Petrel.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построение трехмерных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геологических моделей резервуаров продуктивных пластов в программном комплексе по данным интерпретации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ГИС и результатам интерпретации 3D-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сейсморазведки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</w:tc>
      </w:tr>
      <w:tr>
        <w:tblPrEx/>
        <w:trPr>
          <w:trHeight w:val="554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3c3c3c" w:themeColor="text1"/>
                <w:sz w:val="20"/>
                <w:szCs w:val="20"/>
              </w:rPr>
              <w:t xml:space="preserve">Этап 2. </w:t>
            </w:r>
            <w:r>
              <w:rPr>
                <w:rFonts w:ascii="Arial" w:hAnsi="Arial" w:eastAsia="Arial" w:cs="Arial"/>
                <w:b/>
                <w:bCs/>
                <w:color w:val="3c3c3c" w:themeColor="text1"/>
                <w:sz w:val="20"/>
                <w:szCs w:val="20"/>
              </w:rPr>
              <w:t xml:space="preserve">Построение двухмерной модели, подсчет начальных геологических запасов УВ.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5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 по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геологии и сейсмике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двумерная геологическая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модель продуктивных пластов в ПО isoline.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таблицы подсчета начальных геологических запасов нефти, растворенного газа и сопутствующих компонентов по выделенным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продуктивным объектам;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</w:r>
          </w:p>
          <w:p>
            <w:pPr>
              <w:ind w:left="-49" w:right="-34"/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таблицы сопоставления вновь подсчитанных запасов с утвержденными ранее и числящимися на государственном балансе;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таблица сопоставления результатов подсчёта запасов по двумерному и трехмерному моделированию.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построение структурных карт по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стратиграфической кровле и по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подошве продуктивных пластов,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кровли и подошвы пород-коллекторов продуктивных пластов, карт эффективных нефтегазонасыщеных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толщин, коэффициентов открытой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пористости и нефтегазонасыщенности пород-коллекторов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оценка геологических запасов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углеводородов и сопоставление с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результатами подсчета по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двухмерным моделям.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обоснование подсчетных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параметров;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обоснование категорий запасов по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каждому объекту подсчета запасов;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подсчет начальных геологических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запасов нефти, растворенного газа и сопутствующих компонентов по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выделенным объектам подсчета;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сопоставление вновь подсчитанных запасов с утвержденными ранее и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числящимися на государственном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балансе;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оценка геологических запасов УВ и сопоставление с результатами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подсчёта запасов по трехмерному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моделированию.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</w:tc>
      </w:tr>
      <w:tr>
        <w:tblPrEx/>
        <w:trPr>
          <w:trHeight w:val="733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Этап 3. 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Подготовка разделов отчета по подсчету геологических запасов УВ. Оформление отчета по подсчету геологических запасов УВ.  Согласование материалов ПЗ на ГТС Заказчика.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8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textDirection w:val="lrTb"/>
            <w:noWrap w:val="false"/>
          </w:tcPr>
          <w:p>
            <w:pPr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Учет всей актуальной информации по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месторождению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Оформление отчета в соответствии с: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«Методическими рекомендациями по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подсчету геологических запасов нефти и газа объемным методом», 2003 г., под ред. Петерсилье В.И. и др., Москва-Тверь;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«Требованиями к составу и правилам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оформления представляемых на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государственную экспертизу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материалов по подсчету запасов нефти и горючих газов» (утв. Приказом Минприроды России от 28.12.2015 №564);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«Методическими рекомендациями по подсчёту геологических запасов нефти и газа объёмным методом». Москва, 2025 г.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textDirection w:val="lrTb"/>
            <w:noWrap w:val="false"/>
          </w:tcPr>
          <w:p>
            <w:pPr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Разделы ПЗ с табличными и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графическими приложениями.</w:t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  <w:p>
            <w:pPr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- Отчёт по ПЗ;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- Презентация;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widowControl w:val="off"/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- Протоколы ГТС / НТС ОРД.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widowControl w:val="off"/>
              <w:rPr>
                <w:rFonts w:ascii="Arial" w:hAnsi="Arial" w:cs="Arial"/>
                <w:color w:val="3c3c3c" w:themeColor="text1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</w:rPr>
            </w:r>
            <w:r>
              <w:rPr>
                <w:rFonts w:ascii="Arial" w:hAnsi="Arial" w:cs="Arial"/>
                <w:color w:val="3c3c3c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textDirection w:val="lrTb"/>
            <w:noWrap w:val="false"/>
          </w:tcPr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Подготовка разделов отчета по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подсчету запасов: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общие сведения о районе работ и месторождении полезных ископаемых;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геологическое строение района 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месторождения;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геологоразведочные работы;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использование данных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сейсморазведки для подсчета запасов;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геофизические исследования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скважин, методика и результаты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интерпретации полученных данных;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нефтегазоносность месторождения;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гидрогеологические 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геокриологические условия;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физико-литологическая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характеристика коллекторов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продуктивных пластов и покрышек по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результатам исследования керна;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состав и свойства нефти, газа,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оценка промышленного значения их попутных полезных компонентов;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сведения о разработке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месторождения;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обоснование подсчетных параметров и подсчет запасов нефти, газа и содержащихся в них попутных полезных компонентов;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построение трехмерных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геологических моделей всех объектов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проектирования месторождения;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сопоставление подсчитанных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запасов полезных ископаемых с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числящимися на государственном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балансе и с ранее утвержденными ГКЗ Роснедра;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информация о мероприятиях по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охране недр и окружающей среды;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обоснование подготовленности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месторождения (залежи) для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промышленного освоения;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анализ качества и эффективности геологоразведочных работ;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параметры, влияющие на вязкость, проницаемость и стратиграфическую принадлежность.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2. Оформление отчета по ПЗ: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• Оформление графических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приложений: подсчетных планов и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структурных карт по кровле и подошве продуктивных пластов,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эффективных и эффективных нефтенасыщенных толщин, коэффициентов открытой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пористости, нефтенасыщенности,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</w:rPr>
              <w:t xml:space="preserve">геологических профилей, планшетов ГИС и т.д.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  <w:p>
            <w:pPr>
              <w:tabs>
                <w:tab w:val="left" w:pos="241" w:leader="none"/>
                <w:tab w:val="center" w:pos="1522" w:leader="none"/>
              </w:tabs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3. Экспертиза НТЦ.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Согласование материалов ПЗ на ГТС / НТС ОРД Заказчика, устранение замечаний (при наличии).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ab/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664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1" w:type="dxa"/>
            <w:vAlign w:val="center"/>
            <w:textDirection w:val="lrTb"/>
            <w:noWrap w:val="false"/>
          </w:tcPr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Этап 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4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. </w:t>
            </w:r>
            <w:r>
              <w:rPr>
                <w:rFonts w:ascii="Arial" w:hAnsi="Arial" w:eastAsia="Arial" w:cs="Arial"/>
                <w:b/>
                <w:color w:val="3c3c3c" w:themeColor="text1"/>
                <w:sz w:val="20"/>
                <w:szCs w:val="20"/>
              </w:rPr>
              <w:t xml:space="preserve">Экспертиза и защита ПЗ в ФБУ ГКЗ. Оформление итогового отчета и  передача Заказчику, в фонды. Актуализация паспорта месторождения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textDirection w:val="lrTb"/>
            <w:noWrap w:val="false"/>
          </w:tcPr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Учет всей актуальной информации по месторождению.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Оформление отчета в соответствии с: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«Требованиями к содержанию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геологической информации о недрах и формы ее представления,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утвержденные приказом Минприроды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России и Роснедр от 23.08.2022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№549/06 (Зарегистрировано в Минюсте РФ 27.02.2023 №72457).»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Формирование комплекта документов в ФБУ «ГКЗ» в соответствии с Постановлением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Правительства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 РФ от 1 марта 2023 г. № 335 «О  государственной экспертизе запасов полезных ископаемых и подземных вод, геологической информации о предоставляемых в пользование участках недр, об определении размера и порядка взимания платы за ее проведение»</w:t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textDirection w:val="lrTb"/>
            <w:noWrap w:val="false"/>
          </w:tcPr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eastAsia="en-US"/>
              </w:rPr>
              <w:t xml:space="preserve">Передача итогового комплекта отчёта с сопроводительной документацией, электронная база проекта, проект подсчета запасов 2Д в ПО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val="en-US"/>
              </w:rPr>
              <w:t xml:space="preserve">Isoline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eastAsia="en-US"/>
              </w:rPr>
              <w:t xml:space="preserve">,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трёхмерная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ind w:left="-49" w:right="-34"/>
              <w:widowControl w:val="off"/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геологическая модель продуктивных пластов в ПО T-Navigator / Petrel,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  <w:lang w:eastAsia="en-US"/>
              </w:rPr>
              <w:t xml:space="preserve">протокол ГКЗ, паспорт месторождения, презентация.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0" w:type="dxa"/>
            <w:textDirection w:val="lrTb"/>
            <w:noWrap w:val="false"/>
          </w:tcPr>
          <w:p>
            <w:pPr>
              <w:tabs>
                <w:tab w:val="left" w:pos="241" w:leader="none"/>
              </w:tabs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Завершение работ с госорганами, подготовка комплекта отчёта по ОПЗ по итогам рассмотрения в ГКЗ.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tabs>
                <w:tab w:val="left" w:pos="241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Передача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материалов ПЗ на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/>
          </w:p>
          <w:p>
            <w:pPr>
              <w:tabs>
                <w:tab w:val="left" w:pos="241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государственную экспертизу в ФБУ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ГКЗ и сопровождение при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/>
          </w:p>
          <w:p>
            <w:pPr>
              <w:tabs>
                <w:tab w:val="left" w:pos="241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прохождении экспертизы.</w:t>
            </w:r>
            <w:r/>
          </w:p>
          <w:p>
            <w:pPr>
              <w:tabs>
                <w:tab w:val="left" w:pos="241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Устранение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замечаний по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/>
          </w:p>
          <w:p>
            <w:pPr>
              <w:tabs>
                <w:tab w:val="left" w:pos="241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результатам государственной</w:t>
            </w:r>
            <w:r/>
          </w:p>
          <w:p>
            <w:pPr>
              <w:tabs>
                <w:tab w:val="left" w:pos="241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экспертизы.</w:t>
            </w:r>
            <w:r/>
          </w:p>
          <w:p>
            <w:pPr>
              <w:tabs>
                <w:tab w:val="left" w:pos="241" w:leader="none"/>
              </w:tabs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Участие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в рассмотрении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/>
          </w:p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  <w:t xml:space="preserve">материалов.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Итоговый отчёт направляется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Исполнителем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на бумажном и/или электронном носителях: 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  <w:p>
            <w:pPr>
              <w:ind w:firstLine="0"/>
              <w:tabs>
                <w:tab w:val="left" w:pos="241" w:leader="none"/>
              </w:tabs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в ФГБУ «Росгеолфонд» (1 экз.),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в Территориальные фонды геологической информации (1 экз.),  </w:t>
            </w:r>
            <w:r>
              <w:rPr>
                <w:rFonts w:ascii="Arial" w:hAnsi="Arial" w:eastAsia="Arial" w:cs="Arial"/>
                <w:color w:val="3c3c3c" w:themeColor="text1"/>
                <w:sz w:val="20"/>
                <w:szCs w:val="20"/>
                <w:highlight w:val="none"/>
              </w:rPr>
              <w:t xml:space="preserve">Заказчику (1 экз.) – по запросу. 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  <w:highlight w:val="none"/>
              </w:rPr>
            </w:r>
          </w:p>
        </w:tc>
      </w:tr>
    </w:tbl>
    <w:p>
      <w:pPr>
        <w:ind w:left="0" w:right="0" w:firstLine="567"/>
        <w:jc w:val="both"/>
        <w:tabs>
          <w:tab w:val="left" w:pos="854" w:leader="none"/>
        </w:tabs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cs="Arial"/>
          <w:b w:val="0"/>
          <w:bCs w:val="0"/>
        </w:rPr>
        <w:t xml:space="preserve">Примечание: * В случае привлечения Субисполнителей, Исполнитель осуществляет </w:t>
      </w:r>
      <w:r>
        <w:rPr>
          <w:rFonts w:ascii="Arial" w:hAnsi="Arial" w:cs="Arial"/>
          <w:b w:val="0"/>
          <w:bCs w:val="0"/>
        </w:rPr>
        <w:t xml:space="preserve">сопровождение выполнения работ на всех этапах, оказывает методическую поддержку,</w:t>
      </w:r>
      <w:r>
        <w:rPr>
          <w:b w:val="0"/>
          <w:bCs w:val="0"/>
        </w:rPr>
        <w:t xml:space="preserve"> </w:t>
      </w:r>
      <w:r>
        <w:rPr>
          <w:rFonts w:ascii="Arial" w:hAnsi="Arial" w:cs="Arial"/>
          <w:b w:val="0"/>
          <w:bCs w:val="0"/>
        </w:rPr>
        <w:t xml:space="preserve">подготовку исходных данных, выработку и согласование решений по проекту в интересах</w:t>
      </w:r>
      <w:r>
        <w:rPr>
          <w:b w:val="0"/>
          <w:bCs w:val="0"/>
        </w:rPr>
        <w:t xml:space="preserve"> </w:t>
      </w:r>
      <w:r>
        <w:rPr>
          <w:rFonts w:ascii="Arial" w:hAnsi="Arial" w:cs="Arial"/>
          <w:b w:val="0"/>
          <w:bCs w:val="0"/>
        </w:rPr>
        <w:t xml:space="preserve">Заказчика (недропользователя).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>
      <w:pPr>
        <w:ind w:left="567"/>
        <w:jc w:val="both"/>
        <w:tabs>
          <w:tab w:val="left" w:pos="854" w:leader="none"/>
        </w:tabs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957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Условия выполнения работы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ind w:firstLine="567"/>
        <w:jc w:val="both"/>
        <w:widowControl w:val="off"/>
        <w:tabs>
          <w:tab w:val="left" w:pos="284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Работы по данному Техническому заданию выполняются на основе следующей исходной информации от Заказчика: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34"/>
        </w:numPr>
        <w:ind w:left="0" w:firstLine="567"/>
        <w:jc w:val="both"/>
        <w:widowControl w:val="off"/>
        <w:tabs>
          <w:tab w:val="left" w:pos="284" w:leader="none"/>
          <w:tab w:val="left" w:pos="851" w:leader="none"/>
          <w:tab w:val="left" w:pos="170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Данные отчётов по подсчёту и пересчёту запасов УВ (ПЗ) и оперативных изменений запасов (ОПЗ);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34"/>
        </w:numPr>
        <w:ind w:left="0" w:firstLine="567"/>
        <w:jc w:val="both"/>
        <w:widowControl w:val="off"/>
        <w:tabs>
          <w:tab w:val="left" w:pos="284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Приемка каждого выполненного этапа производится в соответствии с требованиями настоящего Технического задания в сроки, установленные Календарным планом (Приложение № 2);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34"/>
        </w:numPr>
        <w:ind w:left="0" w:firstLine="567"/>
        <w:jc w:val="both"/>
        <w:widowControl w:val="off"/>
        <w:tabs>
          <w:tab w:val="left" w:pos="284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Для выполнения работ рекомендуется использ</w:t>
      </w:r>
      <w:r>
        <w:rPr>
          <w:rFonts w:ascii="Arial" w:hAnsi="Arial" w:eastAsia="Arial" w:cs="Arial"/>
        </w:rPr>
        <w:t xml:space="preserve">овать специализированное программное обеспечение Isoline и T-Navigator / Petrel – для геологических моделей 3Д, актуальное на момент выполнения работ версии. Возможность использования других видов ПО согласовывается с Заказчиком до начала выполнения работ.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34"/>
        </w:numPr>
        <w:ind w:left="0" w:firstLine="567"/>
        <w:jc w:val="both"/>
        <w:widowControl w:val="off"/>
        <w:tabs>
          <w:tab w:val="left" w:pos="284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 завершении каждого этапа работ Исполнитель представляет Заказчику Акт, подписанный Исполнителем в двух экземплярах, с приложением к нему необходимого количества документов и иных материалов, предусмотренных настоящим Техническим Заданием.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tabs>
          <w:tab w:val="left" w:pos="284" w:leader="none"/>
          <w:tab w:val="left" w:pos="851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Требования к документации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contextualSpacing/>
        <w:ind w:firstLine="567"/>
        <w:jc w:val="both"/>
        <w:tabs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7.1. Результатом работ являются информационные отчеты с описанием выполненных работ и полученных данных, перечисленных в п. </w:t>
      </w:r>
      <w:r>
        <w:rPr>
          <w:rFonts w:ascii="Arial" w:hAnsi="Arial" w:eastAsia="Arial" w:cs="Arial"/>
        </w:rPr>
        <w:t xml:space="preserve">4</w:t>
      </w:r>
      <w:r>
        <w:rPr>
          <w:rFonts w:ascii="Arial" w:hAnsi="Arial" w:eastAsia="Arial" w:cs="Arial"/>
        </w:rPr>
        <w:t xml:space="preserve">, предоставляемые  Заказчику.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7.2. Сроки выполнения работ приводятся в Приложении 2 к настоящему заказу «Календарный план».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 Требования к оформлению отчетных материалов.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7.3.1. </w:t>
      </w:r>
      <w:r>
        <w:rPr>
          <w:rFonts w:ascii="Arial" w:hAnsi="Arial" w:eastAsia="Arial" w:cs="Arial"/>
        </w:rPr>
        <w:tab/>
        <w:t xml:space="preserve">Текстовая часть отчета предоставляется как в редактируемом формате файлов (DOC/DOCX), так и в виде отсканированного образа всех страниц, или страниц с подписями и печатями (PDF).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7.3.2. Табличные приложения в сдаваемой цифровой версии должны быть представлены в редактируемой версии файла (XLS/XLSX).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7.3.3. Графические приложения должны быть представлены в векторном формате (PDF).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7.3.4. Сопроводи</w:t>
      </w:r>
      <w:r>
        <w:rPr>
          <w:rFonts w:ascii="Arial" w:hAnsi="Arial" w:eastAsia="Arial" w:cs="Arial"/>
        </w:rPr>
        <w:t xml:space="preserve">тельная документация, письма и акты, подтверждающие факт сдачи материалов в государственные фонды геологической информации, презентационные материалы – в форматах, обеспечивающих возможность чтения распространенным прикладным ПО (MS Office/ PDF/TIFF/ JPG).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113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7.3.5. Комплекты результирующих данных должны содержать: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2"/>
        </w:numPr>
        <w:ind w:left="1134" w:hanging="11"/>
        <w:jc w:val="both"/>
        <w:spacing w:before="120" w:after="120"/>
        <w:tabs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цифровую геологическую модель 2Д продуктивных пластов в ПО </w:t>
      </w:r>
      <w:r>
        <w:rPr>
          <w:rFonts w:ascii="Arial" w:hAnsi="Arial" w:eastAsia="Arial" w:cs="Arial"/>
          <w:lang w:val="en-US"/>
        </w:rPr>
        <w:t xml:space="preserve">Isoline</w:t>
      </w:r>
      <w:r>
        <w:rPr>
          <w:rFonts w:ascii="Arial" w:hAnsi="Arial" w:eastAsia="Arial" w:cs="Arial"/>
        </w:rPr>
        <w:t xml:space="preserve">, в т.ч. описание модели;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2"/>
        </w:numPr>
        <w:ind w:left="1134" w:hanging="11"/>
        <w:jc w:val="both"/>
        <w:spacing w:before="120" w:after="120"/>
        <w:tabs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цифровую геологическую модель 3Д продуктивных пластов в ПО</w:t>
      </w:r>
      <w:r>
        <w:rPr>
          <w:rFonts w:ascii="Arial" w:hAnsi="Arial" w:eastAsia="Arial" w:cs="Arial"/>
        </w:rPr>
        <w:br/>
        <w:t xml:space="preserve">T-Navigator / Petrel, в т.ч. описание модели;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ind w:left="1134" w:hanging="11"/>
        <w:jc w:val="both"/>
        <w:spacing w:before="120" w:after="120"/>
        <w:tabs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–</w:t>
      </w:r>
      <w:r>
        <w:rPr>
          <w:rFonts w:ascii="Arial" w:hAnsi="Arial" w:eastAsia="Arial" w:cs="Arial"/>
        </w:rPr>
        <w:tab/>
        <w:t xml:space="preserve">реестр скважин, участвовавших в проекте ПЗ/ОПЗ, с указанием номера скважины, уникального кода скважины (UWI) в формате XLS/XLSX;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ind w:left="1134" w:hanging="11"/>
        <w:jc w:val="both"/>
        <w:spacing w:before="120" w:after="120"/>
        <w:tabs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–</w:t>
      </w:r>
      <w:r>
        <w:rPr>
          <w:rFonts w:ascii="Arial" w:hAnsi="Arial" w:eastAsia="Arial" w:cs="Arial"/>
        </w:rPr>
        <w:tab/>
        <w:t xml:space="preserve">реестр новых скважин с интерпретацией в формате XLS/XLSX;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2"/>
        </w:numPr>
        <w:ind w:left="1134" w:hanging="11"/>
        <w:jc w:val="both"/>
        <w:spacing w:before="120" w:after="120"/>
        <w:tabs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интерпретация новых скважин в форматах LAS, XLS/XLSX;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2"/>
        </w:numPr>
        <w:ind w:left="1134" w:hanging="11"/>
        <w:jc w:val="both"/>
        <w:spacing w:before="120" w:after="120"/>
        <w:tabs>
          <w:tab w:val="left" w:pos="1417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электронная база проекта, получаемая в процессе подсчета запасов и предст</w:t>
      </w:r>
      <w:r>
        <w:rPr>
          <w:rFonts w:ascii="Arial" w:hAnsi="Arial" w:eastAsia="Arial" w:cs="Arial"/>
        </w:rPr>
        <w:t xml:space="preserve">авляющий собой полное описание полученных геологических результатов и поясняющее примененные методики подсчета запасов, в т.ч. линии и контура проекта (формат IRAP RMS, ASCII), файлы сеток, разломов и карт 2D проекта с шагом 50х50 (формат IRAP RMS, ASCII).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jc w:val="both"/>
        <w:tabs>
          <w:tab w:val="left" w:pos="85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2"/>
        </w:numPr>
        <w:jc w:val="both"/>
        <w:tabs>
          <w:tab w:val="left" w:pos="85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eastAsia="Arial" w:cs="Arial"/>
          <w:b/>
        </w:rPr>
        <w:t xml:space="preserve">Требования к работе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709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Разработанная методика обработки и интерпретации материалов ГИС, а также полученные в итоге подсчётные параметры и собственно пересчет запасов УВ должны отвечать требованиям ФБУ «ГКЗ», включая: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Закон РФ от 21.02.1992 № 2395-1 «О недрах»;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Постановле</w:t>
      </w:r>
      <w:r>
        <w:rPr>
          <w:rFonts w:ascii="Arial" w:hAnsi="Arial" w:eastAsia="Arial" w:cs="Arial"/>
        </w:rPr>
        <w:t xml:space="preserve">ние правительства РФ от 01.03.2023 г. №355 «О государственной экспертизе запасов полезных ископаемых и подземных вод, геологической информации о предоставляемых в пользование участках недр, об определении размера и порядка взимания платы за ее проведение»;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«Классификация запасов и ресурсов нефти и горючих газов. Нормативно-методическая документация». – М: ЕСОЭН.2018, под ред. А.Н. Шабанова;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применению классификации запасов и ресурсов нефти и горючих газов», утв. Распоряжением МПР №3-р от 01.02.2016 г. и приказом МПР от 01.11.2013 №477;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подсчёту геологических запасов нефти и газа объёмным методом», под ред. Петерсилье В.И. и др., Москва-Тверь, 2003 г.;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подсчёту геологических запасов нефти и газа объёмным методом», Москва, 2025 г.;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Разъяснение по заполнению таблиц к заключению государственной экспертизы по подсчету запасов и оперативному изменению состояния запасов УВС», протокол ФАН от 08.11.2024 г. №03-17/8-пр;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Рекомендации по «Структуре и организации проведения государственной экспертизы оперативного изменения состояния запасов УВС» (Приложение 1 к приказу ФБУ «ГКЗ» №01-9/100-орг. от 02.02.2015 г.);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«Требования к составу и правилам оформления представляемых на государственную экспертизу материалов по подсчету запасов нефти и горючих газов», утвержденные приказом МПР № 564 от 28.12.2015 г.;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Приказ МПР от 29.02.2016 г. № 54 «Об утверждении требований к содержанию геологической информации о недрах и формы ее представления» (Зарегистрировано в Минюсте РФ 25.03.2016 № 41560);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«Рекомендации к методике построения геологических моделей при подсчете запасов углеводородного сырья», разработанные ФБУ «ГКЗ» и одобренные решением Министерства природных ресурсов и экологии Российской Федерации протокол № 6 от 10.02.2015 г.;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Приказ МПР №110/02 от 17.03.2025 г. Об утверждении «Правил разработки месторождения углеводородного сырья»;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43"/>
        </w:numPr>
        <w:ind w:left="426"/>
        <w:jc w:val="both"/>
        <w:spacing w:after="12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Стандарт компании ПАО ГПН СК-01.01.04.01.03 «Планирование, разработка и утверждение материалов по подсчету запасов углеводородов».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709"/>
        <w:jc w:val="both"/>
        <w:spacing w:after="1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Система координат и параметры проекции, используемые для выполнения работ, передачи исходных и результирующих данных, определяются Заказчиком при передаче исходных данных Исполнителю.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jc w:val="both"/>
        <w:tabs>
          <w:tab w:val="left" w:pos="993" w:leader="none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Style w:val="957"/>
        <w:numPr>
          <w:ilvl w:val="0"/>
          <w:numId w:val="2"/>
        </w:numPr>
        <w:ind w:left="0" w:firstLine="567"/>
        <w:jc w:val="both"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Контроль качества 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Приемка каждого выполненного этапа осуществляется с оформлением акта сдачи-приемки выполненных работ. Перечень документации и иных материалов, подлежащих оформлению и сдаче на отдельных этапах выполнения работ, определяется настоящим Техническим Заданием.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709"/>
        <w:jc w:val="both"/>
        <w:widowControl w:val="off"/>
        <w:tabs>
          <w:tab w:val="left" w:pos="1120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Разработанная методика обработки и интерпретации материалов ГИС, а также полученные в итоге подсчётные парам</w:t>
      </w:r>
      <w:bookmarkStart w:id="2" w:name="_GoBack"/>
      <w:r/>
      <w:bookmarkEnd w:id="2"/>
      <w:r>
        <w:rPr>
          <w:rFonts w:ascii="Arial" w:hAnsi="Arial" w:eastAsia="Arial" w:cs="Arial"/>
        </w:rPr>
        <w:t xml:space="preserve">етры должны отвечать требованиям ГКЗ, в том числе следующим документам: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1"/>
          <w:numId w:val="45"/>
        </w:numPr>
        <w:ind w:left="0" w:firstLine="709"/>
        <w:jc w:val="both"/>
        <w:tabs>
          <w:tab w:val="left" w:pos="1134" w:leader="none"/>
        </w:tabs>
        <w:rPr>
          <w:rFonts w:ascii="Arial" w:hAnsi="Arial" w:cs="Arial"/>
          <w:bCs/>
        </w:rPr>
      </w:pPr>
      <w:r>
        <w:rPr>
          <w:rFonts w:ascii="Arial" w:hAnsi="Arial" w:eastAsia="Arial" w:cs="Arial"/>
          <w:bCs/>
        </w:rPr>
        <w:t xml:space="preserve">ГОСТ Р 53579-2009 </w:t>
      </w:r>
      <w:r>
        <w:rPr>
          <w:rFonts w:ascii="Arial" w:hAnsi="Arial" w:eastAsia="Arial" w:cs="Arial"/>
        </w:rPr>
        <w:t xml:space="preserve">"</w:t>
      </w:r>
      <w:r>
        <w:rPr>
          <w:rFonts w:ascii="Arial" w:hAnsi="Arial" w:eastAsia="Arial" w:cs="Arial"/>
          <w:bCs/>
        </w:rPr>
        <w:t xml:space="preserve">Система </w:t>
      </w:r>
      <w:r>
        <w:rPr>
          <w:rFonts w:ascii="Arial" w:hAnsi="Arial" w:eastAsia="Arial" w:cs="Arial"/>
        </w:rPr>
        <w:t xml:space="preserve">стандартов</w:t>
      </w:r>
      <w:r>
        <w:rPr>
          <w:rFonts w:ascii="Arial" w:hAnsi="Arial" w:eastAsia="Arial" w:cs="Arial"/>
          <w:bCs/>
        </w:rPr>
        <w:t xml:space="preserve"> в области геологического изучения недр (СОГИН). Отчёт о </w:t>
      </w:r>
      <w:r>
        <w:rPr>
          <w:rFonts w:ascii="Arial" w:hAnsi="Arial" w:eastAsia="Arial" w:cs="Arial"/>
        </w:rPr>
        <w:t xml:space="preserve">геологическом</w:t>
      </w:r>
      <w:r>
        <w:rPr>
          <w:rFonts w:ascii="Arial" w:hAnsi="Arial" w:eastAsia="Arial" w:cs="Arial"/>
          <w:bCs/>
        </w:rPr>
        <w:t xml:space="preserve"> изучении недр. Общие требования к содержанию и оформлению";</w:t>
      </w: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957"/>
        <w:numPr>
          <w:ilvl w:val="1"/>
          <w:numId w:val="45"/>
        </w:numPr>
        <w:ind w:left="0" w:firstLine="709"/>
        <w:jc w:val="both"/>
        <w:tabs>
          <w:tab w:val="left" w:pos="1134" w:leader="none"/>
        </w:tabs>
        <w:rPr>
          <w:rFonts w:ascii="Arial" w:hAnsi="Arial" w:cs="Arial"/>
          <w:bCs/>
        </w:rPr>
      </w:pPr>
      <w:r>
        <w:rPr>
          <w:rFonts w:ascii="Arial" w:hAnsi="Arial" w:eastAsia="Arial" w:cs="Arial"/>
          <w:bCs/>
        </w:rPr>
        <w:t xml:space="preserve">Классификация запасов и ресурсов нефти и горючих газов. Нормативно-методическая документация. -М: ЕСОЭН, 2016, под ред. А.Н. Шабанова;</w:t>
      </w: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957"/>
        <w:numPr>
          <w:ilvl w:val="1"/>
          <w:numId w:val="45"/>
        </w:numPr>
        <w:ind w:left="0" w:firstLine="709"/>
        <w:jc w:val="both"/>
        <w:tabs>
          <w:tab w:val="left" w:pos="1134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МД М-01.01.10.03-01 ПАО «Газпром нефть» «Требования к форматам данных подсчета запасов УВС (ПЗ и ОПЗ)».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709"/>
        <w:jc w:val="both"/>
        <w:spacing w:after="12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2"/>
        </w:numPr>
        <w:ind w:left="0" w:firstLine="567"/>
        <w:jc w:val="both"/>
        <w:keepNext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Условия привлечения субподрядчиков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eastAsia="Arial" w:cs="Arial"/>
          <w:bCs/>
        </w:rPr>
        <w:t xml:space="preserve">По согласованию с Заказчиком Исполнитель вправе привлекать Субисполнителей к выполнению работ. Исполнитель несет ответственность за исполнение или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Cs/>
        </w:rPr>
        <w:t xml:space="preserve">ненадлежащее исполнение обязательств этими третьими лицами как за свои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Cs/>
        </w:rPr>
        <w:t xml:space="preserve">собственные действия.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7"/>
        <w:numPr>
          <w:ilvl w:val="0"/>
          <w:numId w:val="2"/>
        </w:numPr>
        <w:ind w:left="0" w:firstLine="567"/>
        <w:jc w:val="both"/>
        <w:keepNext/>
        <w:tabs>
          <w:tab w:val="left" w:pos="993" w:leader="none"/>
        </w:tabs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Иные условия выполнения работ.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957"/>
        <w:ind w:left="567"/>
        <w:jc w:val="both"/>
        <w:keepNext/>
        <w:tabs>
          <w:tab w:val="left" w:pos="99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Иные условия выполнения работ по данному Техническому заданию отсутствуют.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360"/>
        <w:jc w:val="both"/>
        <w:spacing w:after="120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19"/>
        <w:gridCol w:w="4220"/>
      </w:tblGrid>
      <w:tr>
        <w:tblPrEx/>
        <w:trPr>
          <w:trHeight w:val="1994"/>
        </w:trPr>
        <w:tc>
          <w:tcPr>
            <w:shd w:val="clear" w:color="ffffff" w:fill="ffffff"/>
            <w:tcW w:w="5419" w:type="dxa"/>
            <w:textDirection w:val="lrTb"/>
            <w:noWrap/>
          </w:tcPr>
          <w:p>
            <w:pPr>
              <w:ind w:left="142" w:firstLine="0"/>
              <w:jc w:val="left"/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Заказчик: 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ind w:left="142" w:firstLine="0"/>
              <w:jc w:val="left"/>
              <w:spacing w:line="240" w:lineRule="auto"/>
              <w:tabs>
                <w:tab w:val="left" w:pos="709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должность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W w:w="4220" w:type="dxa"/>
            <w:textDirection w:val="lrTb"/>
            <w:noWrap w:val="false"/>
          </w:tcPr>
          <w:p>
            <w:pPr>
              <w:ind w:left="142" w:firstLine="0"/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  <w:commentRangeStart w:id="4"/>
            <w:r>
              <w:rPr>
                <w:rFonts w:ascii="Arial" w:hAnsi="Arial" w:cs="Arial"/>
                <w:b/>
              </w:rPr>
              <w:t xml:space="preserve">Исполнитель: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ind w:left="142" w:firstLine="0"/>
              <w:jc w:val="left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должность</w:t>
            </w:r>
            <w:r>
              <w:rPr>
                <w:rFonts w:ascii="Arial" w:hAnsi="Arial" w:cs="Arial"/>
              </w:rPr>
            </w:r>
          </w:p>
          <w:p>
            <w:pPr>
              <w:ind w:left="142" w:firstLine="0"/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</w:tr>
      <w:tr>
        <w:tblPrEx/>
        <w:trPr>
          <w:trHeight w:val="459"/>
        </w:trPr>
        <w:tc>
          <w:tcPr>
            <w:shd w:val="clear" w:color="ffffff" w:fill="ffffff"/>
            <w:tcW w:w="5419" w:type="dxa"/>
            <w:textDirection w:val="lrTb"/>
            <w:noWrap w:val="false"/>
          </w:tcPr>
          <w:p>
            <w:pPr>
              <w:ind w:left="142" w:firstLine="0"/>
              <w:jc w:val="left"/>
              <w:spacing w:line="240" w:lineRule="auto"/>
              <w:tabs>
                <w:tab w:val="left" w:pos="709" w:leader="none"/>
              </w:tabs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cs="Arial"/>
              </w:rPr>
              <w:t xml:space="preserve">_______________</w:t>
            </w:r>
            <w:r>
              <w:rPr>
                <w:rFonts w:ascii="Arial" w:hAnsi="Arial" w:cs="Arial"/>
                <w:highlight w:val="none"/>
              </w:rPr>
              <w:t xml:space="preserve">_</w:t>
            </w:r>
            <w:r>
              <w:rPr>
                <w:rFonts w:ascii="Arial" w:hAnsi="Arial" w:cs="Arial"/>
                <w:b/>
                <w:highlight w:val="none"/>
              </w:rPr>
              <w:t xml:space="preserve"> </w:t>
            </w:r>
            <w:r>
              <w:rPr>
                <w:rFonts w:ascii="Arial" w:hAnsi="Arial" w:cs="Arial"/>
                <w:b/>
                <w:highlight w:val="none"/>
              </w:rPr>
              <w:t xml:space="preserve">ФИО</w:t>
            </w:r>
            <w:r>
              <w:rPr>
                <w:rFonts w:ascii="Arial" w:hAnsi="Arial" w:cs="Arial"/>
                <w:highlight w:val="none"/>
              </w:rPr>
            </w:r>
            <w:r>
              <w:rPr>
                <w:rFonts w:ascii="Arial" w:hAnsi="Arial" w:cs="Arial"/>
                <w:highlight w:val="none"/>
              </w:rPr>
            </w:r>
          </w:p>
          <w:p>
            <w:pPr>
              <w:ind w:left="142" w:firstLine="0"/>
              <w:jc w:val="left"/>
              <w:spacing w:line="240" w:lineRule="auto"/>
              <w:widowControl w:val="off"/>
              <w:tabs>
                <w:tab w:val="left" w:pos="709" w:leader="none"/>
                <w:tab w:val="left" w:pos="851" w:leader="none"/>
              </w:tabs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cs="Arial"/>
                <w:highlight w:val="none"/>
              </w:rPr>
              <w:t xml:space="preserve">             </w:t>
            </w:r>
            <w:r>
              <w:rPr>
                <w:rFonts w:ascii="Arial" w:hAnsi="Arial" w:cs="Arial"/>
                <w:highlight w:val="none"/>
              </w:rPr>
              <w:t xml:space="preserve">м.п</w:t>
            </w:r>
            <w:r>
              <w:rPr>
                <w:rFonts w:ascii="Arial" w:hAnsi="Arial" w:cs="Arial"/>
                <w:highlight w:val="none"/>
              </w:rPr>
              <w:t xml:space="preserve">.</w:t>
            </w:r>
            <w:r>
              <w:rPr>
                <w:rFonts w:ascii="Arial" w:hAnsi="Arial" w:cs="Arial"/>
                <w:highlight w:val="none"/>
              </w:rPr>
            </w:r>
            <w:r>
              <w:rPr>
                <w:rFonts w:ascii="Arial" w:hAnsi="Arial" w:cs="Arial"/>
                <w:highlight w:val="none"/>
              </w:rPr>
            </w:r>
          </w:p>
        </w:tc>
        <w:tc>
          <w:tcPr>
            <w:shd w:val="clear" w:color="ffffff" w:fill="ffffff"/>
            <w:tcW w:w="4220" w:type="dxa"/>
            <w:textDirection w:val="lrTb"/>
            <w:noWrap w:val="false"/>
          </w:tcPr>
          <w:p>
            <w:pPr>
              <w:ind w:left="142" w:firstLine="0"/>
              <w:spacing w:line="240" w:lineRule="auto"/>
              <w:widowControl w:val="off"/>
              <w:tabs>
                <w:tab w:val="left" w:pos="709" w:leader="none"/>
                <w:tab w:val="left" w:pos="851" w:leader="none"/>
              </w:tabs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________________</w:t>
            </w:r>
            <w:r>
              <w:rPr>
                <w:rFonts w:ascii="Arial" w:hAnsi="Arial" w:cs="Arial"/>
                <w:b/>
                <w:bCs/>
              </w:rPr>
              <w:t xml:space="preserve">ФИО</w:t>
            </w:r>
            <w:r>
              <w:rPr>
                <w:rFonts w:ascii="Arial" w:hAnsi="Arial" w:cs="Arial"/>
                <w:b/>
                <w:bCs/>
              </w:rPr>
            </w:r>
          </w:p>
          <w:p>
            <w:pPr>
              <w:ind w:left="142" w:firstLine="0"/>
              <w:spacing w:line="240" w:lineRule="auto"/>
              <w:widowControl w:val="off"/>
              <w:tabs>
                <w:tab w:val="left" w:pos="709" w:leader="none"/>
                <w:tab w:val="left" w:pos="851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  <w:r>
              <w:rPr>
                <w:rFonts w:ascii="Arial" w:hAnsi="Arial" w:cs="Arial"/>
              </w:rPr>
              <w:t xml:space="preserve">м.п</w:t>
            </w:r>
            <w:r>
              <w:rPr>
                <w:rFonts w:ascii="Arial" w:hAnsi="Arial" w:cs="Arial"/>
              </w:rPr>
              <w:t xml:space="preserve">.</w:t>
            </w:r>
            <w:r>
              <w:rPr>
                <w:rFonts w:ascii="Arial" w:hAnsi="Arial" w:cs="Arial"/>
              </w:rPr>
            </w:r>
            <w:commentRangeEnd w:id="4"/>
            <w:r>
              <w:commentReference w:id="4"/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ind w:firstLine="360"/>
        <w:jc w:val="both"/>
        <w:spacing w:after="120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sectPr>
      <w:footnotePr/>
      <w:endnotePr/>
      <w:type w:val="nextPage"/>
      <w:pgSz w:w="11906" w:h="16838" w:orient="portrait"/>
      <w:pgMar w:top="1134" w:right="851" w:bottom="1134" w:left="1134" w:header="709" w:footer="397" w:gutter="0"/>
      <w:cols w:num="1" w:sep="0" w:space="708" w:equalWidth="1"/>
      <w:docGrid w:linePitch="360"/>
      <w:titlePg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4" w:author="kondrashova.vs" w:date="2026-03-25T17:32:28Z" w:initials="k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Для центра ПЗ и ПТД</w:t>
      </w:r>
    </w:p>
  </w:comment>
  <w:comment w:id="3" w:author="kondrashova.vs" w:date="2026-03-25T17:36:53Z" w:initials="k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Исключительно для ГПН-ННГ</w:t>
      </w:r>
    </w:p>
  </w:comment>
  <w:comment w:id="2" w:author="kondrashova.vs" w:date="2026-03-25T17:35:47Z" w:initials="k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согласно КП</w:t>
      </w:r>
    </w:p>
  </w:comment>
  <w:comment w:id="1" w:author="kondrashova.vs" w:date="2026-03-25T17:34:01Z" w:initials="k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Согласно производственной программы</w:t>
      </w:r>
    </w:p>
  </w:comment>
  <w:comment w:id="0" w:author="kondrashova.vs" w:date="2026-03-25T17:33:33Z" w:initials="k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формируется контрактным инженером после прохождения всех этапов согласования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B331CBB" w16cex:dateUtc="2026-03-25T12:32:28Z"/>
  <w16cex:commentExtensible w16cex:durableId="0566EC12" w16cex:dateUtc="2026-03-25T12:36:53Z"/>
  <w16cex:commentExtensible w16cex:durableId="7717EDB3" w16cex:dateUtc="2026-03-25T12:35:47Z"/>
  <w16cex:commentExtensible w16cex:durableId="7B058E49" w16cex:dateUtc="2026-03-25T12:34:01Z"/>
  <w16cex:commentExtensible w16cex:durableId="55E5353B" w16cex:dateUtc="2026-03-25T12:33: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B331CBB"/>
  <w16cid:commentId w16cid:paraId="00000002" w16cid:durableId="0566EC12"/>
  <w16cid:commentId w16cid:paraId="00000003" w16cid:durableId="7717EDB3"/>
  <w16cid:commentId w16cid:paraId="00000004" w16cid:durableId="7B058E49"/>
  <w16cid:commentId w16cid:paraId="00000005" w16cid:durableId="55E5353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504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Theme="minorHAnsi" w:hAnsiTheme="minorHAnsi" w:cstheme="minorHAnsi"/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88" w:hanging="360"/>
        <w:tabs>
          <w:tab w:val="num" w:pos="1388" w:leader="none"/>
        </w:tabs>
      </w:pPr>
      <w:rPr>
        <w:rFonts w:hint="default" w:ascii="Arial" w:hAnsi="Arial" w:eastAsia="Times New Roman" w:cs="Arial"/>
        <w:b/>
        <w:i w:val="0"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color w:val="auto"/>
        <w:highlight w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77" w:hanging="567"/>
        <w:tabs>
          <w:tab w:val="num" w:pos="2483" w:leader="none"/>
        </w:tabs>
      </w:pPr>
      <w:rPr>
        <w:rFonts w:hint="default" w:ascii="Symbol" w:hAnsi="Symbol"/>
        <w:b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Theme="minorHAnsi" w:hAnsiTheme="minorHAnsi" w:cstheme="minorHAnsi"/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color w:val="auto"/>
        <w:highlight w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6" w:hanging="360"/>
      </w:pPr>
      <w:rPr>
        <w:rFonts w:hint="default" w:ascii="Symbol" w:hAnsi="Symbol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353" w:hanging="360"/>
      </w:pPr>
      <w:rPr>
        <w:rFonts w:hint="default" w:ascii="Symbol" w:hAnsi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207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9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1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3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5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7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9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13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Theme="minorHAnsi" w:hAnsiTheme="minorHAnsi" w:cstheme="minorHAnsi"/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4.%1"/>
      <w:lvlJc w:val="left"/>
      <w:pPr>
        <w:ind w:left="371" w:firstLine="709"/>
        <w:tabs>
          <w:tab w:val="num" w:pos="1080" w:leader="none"/>
        </w:tabs>
      </w:pPr>
      <w:rPr>
        <w:rFonts w:cs="Times New Roman"/>
        <w:strike w:val="0"/>
        <w:color w:val="auto"/>
        <w:u w:val="none"/>
      </w:rPr>
    </w:lvl>
    <w:lvl w:ilvl="1">
      <w:start w:val="1"/>
      <w:numFmt w:val="bullet"/>
      <w:isLgl w:val="false"/>
      <w:suff w:val="tab"/>
      <w:lvlText w:val=""/>
      <w:lvlJc w:val="left"/>
      <w:pPr>
        <w:ind w:left="2345" w:hanging="360"/>
        <w:tabs>
          <w:tab w:val="num" w:pos="2345" w:leader="none"/>
        </w:tabs>
      </w:pPr>
      <w:rPr>
        <w:rFonts w:hint="default" w:ascii="Symbol" w:hAnsi="Symbol"/>
        <w:strike w:val="0"/>
        <w:color w:val="auto"/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  <w:b w:val="0"/>
        <w:i w:val="0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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3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5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77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49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1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3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5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37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094" w:hanging="36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77" w:hanging="567"/>
        <w:tabs>
          <w:tab w:val="num" w:pos="2483" w:leader="none"/>
        </w:tabs>
      </w:pPr>
      <w:rPr>
        <w:rFonts w:hint="default" w:ascii="Symbol" w:hAnsi="Symbol"/>
        <w:b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Theme="minorHAnsi" w:hAnsiTheme="minorHAnsi" w:cstheme="minorHAnsi"/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276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9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71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43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5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87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59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1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036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5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21"/>
  </w:num>
  <w:num w:numId="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28"/>
  </w:num>
  <w:num w:numId="7">
    <w:abstractNumId w:val="22"/>
  </w:num>
  <w:num w:numId="8">
    <w:abstractNumId w:val="18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8"/>
  </w:num>
  <w:num w:numId="13">
    <w:abstractNumId w:val="9"/>
  </w:num>
  <w:num w:numId="14">
    <w:abstractNumId w:val="4"/>
    <w:lvlOverride w:ilvl="0">
      <w:startOverride w:val="1"/>
    </w:lvlOverride>
  </w:num>
  <w:num w:numId="15">
    <w:abstractNumId w:val="23"/>
  </w:num>
  <w:num w:numId="16">
    <w:abstractNumId w:val="17"/>
  </w:num>
  <w:num w:numId="17">
    <w:abstractNumId w:val="34"/>
  </w:num>
  <w:num w:numId="18">
    <w:abstractNumId w:val="16"/>
  </w:num>
  <w:num w:numId="19">
    <w:abstractNumId w:val="6"/>
  </w:num>
  <w:num w:numId="20">
    <w:abstractNumId w:val="27"/>
  </w:num>
  <w:num w:numId="21">
    <w:abstractNumId w:val="29"/>
  </w:num>
  <w:num w:numId="22">
    <w:abstractNumId w:val="39"/>
  </w:num>
  <w:num w:numId="23">
    <w:abstractNumId w:val="5"/>
  </w:num>
  <w:num w:numId="24">
    <w:abstractNumId w:val="37"/>
  </w:num>
  <w:num w:numId="25">
    <w:abstractNumId w:val="10"/>
  </w:num>
  <w:num w:numId="26">
    <w:abstractNumId w:val="13"/>
  </w:num>
  <w:num w:numId="27">
    <w:abstractNumId w:val="0"/>
  </w:num>
  <w:num w:numId="28">
    <w:abstractNumId w:val="32"/>
  </w:num>
  <w:num w:numId="29">
    <w:abstractNumId w:val="3"/>
  </w:num>
  <w:num w:numId="30">
    <w:abstractNumId w:val="41"/>
  </w:num>
  <w:num w:numId="31">
    <w:abstractNumId w:val="33"/>
  </w:num>
  <w:num w:numId="32">
    <w:abstractNumId w:val="26"/>
  </w:num>
  <w:num w:numId="33">
    <w:abstractNumId w:val="36"/>
  </w:num>
  <w:num w:numId="34">
    <w:abstractNumId w:val="40"/>
  </w:num>
  <w:num w:numId="35">
    <w:abstractNumId w:val="35"/>
  </w:num>
  <w:num w:numId="36">
    <w:abstractNumId w:val="1"/>
  </w:num>
  <w:num w:numId="37">
    <w:abstractNumId w:val="2"/>
  </w:num>
  <w:num w:numId="38">
    <w:abstractNumId w:val="20"/>
  </w:num>
  <w:num w:numId="39">
    <w:abstractNumId w:val="15"/>
  </w:num>
  <w:num w:numId="40">
    <w:abstractNumId w:val="43"/>
  </w:num>
  <w:num w:numId="41">
    <w:abstractNumId w:val="24"/>
  </w:num>
  <w:num w:numId="42">
    <w:abstractNumId w:val="31"/>
  </w:num>
  <w:num w:numId="43">
    <w:abstractNumId w:val="7"/>
  </w:num>
  <w:num w:numId="44">
    <w:abstractNumId w:val="38"/>
  </w:num>
  <w:num w:numId="45">
    <w:abstractNumId w:val="11"/>
  </w:num>
  <w:num w:numId="46">
    <w:abstractNumId w:val="30"/>
  </w:num>
  <w:num w:numId="47">
    <w:abstractNumId w:val="42"/>
  </w:num>
  <w:num w:numId="48">
    <w:abstractNumId w:val="4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kondrashova.vs">
    <w15:presenceInfo w15:providerId="Teamlab" w15:userId="kondrashova.v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7">
    <w:name w:val="Heading 1 Char"/>
    <w:basedOn w:val="780"/>
    <w:link w:val="771"/>
    <w:uiPriority w:val="9"/>
    <w:rPr>
      <w:rFonts w:ascii="Arial" w:hAnsi="Arial" w:eastAsia="Arial" w:cs="Arial"/>
      <w:sz w:val="40"/>
      <w:szCs w:val="40"/>
    </w:rPr>
  </w:style>
  <w:style w:type="character" w:styleId="758">
    <w:name w:val="Heading 2 Char"/>
    <w:basedOn w:val="780"/>
    <w:link w:val="772"/>
    <w:uiPriority w:val="9"/>
    <w:rPr>
      <w:rFonts w:ascii="Arial" w:hAnsi="Arial" w:eastAsia="Arial" w:cs="Arial"/>
      <w:sz w:val="34"/>
    </w:rPr>
  </w:style>
  <w:style w:type="character" w:styleId="759">
    <w:name w:val="Heading 3 Char"/>
    <w:basedOn w:val="780"/>
    <w:link w:val="773"/>
    <w:uiPriority w:val="9"/>
    <w:rPr>
      <w:rFonts w:ascii="Arial" w:hAnsi="Arial" w:eastAsia="Arial" w:cs="Arial"/>
      <w:sz w:val="30"/>
      <w:szCs w:val="30"/>
    </w:rPr>
  </w:style>
  <w:style w:type="character" w:styleId="760">
    <w:name w:val="Heading 4 Char"/>
    <w:basedOn w:val="780"/>
    <w:link w:val="774"/>
    <w:uiPriority w:val="9"/>
    <w:rPr>
      <w:rFonts w:ascii="Arial" w:hAnsi="Arial" w:eastAsia="Arial" w:cs="Arial"/>
      <w:b/>
      <w:bCs/>
      <w:sz w:val="26"/>
      <w:szCs w:val="26"/>
    </w:rPr>
  </w:style>
  <w:style w:type="character" w:styleId="761">
    <w:name w:val="Heading 5 Char"/>
    <w:basedOn w:val="780"/>
    <w:link w:val="775"/>
    <w:uiPriority w:val="9"/>
    <w:rPr>
      <w:rFonts w:ascii="Arial" w:hAnsi="Arial" w:eastAsia="Arial" w:cs="Arial"/>
      <w:b/>
      <w:bCs/>
      <w:sz w:val="24"/>
      <w:szCs w:val="24"/>
    </w:rPr>
  </w:style>
  <w:style w:type="character" w:styleId="762">
    <w:name w:val="Heading 6 Char"/>
    <w:basedOn w:val="780"/>
    <w:link w:val="776"/>
    <w:uiPriority w:val="9"/>
    <w:rPr>
      <w:rFonts w:ascii="Arial" w:hAnsi="Arial" w:eastAsia="Arial" w:cs="Arial"/>
      <w:b/>
      <w:bCs/>
      <w:sz w:val="22"/>
      <w:szCs w:val="22"/>
    </w:rPr>
  </w:style>
  <w:style w:type="character" w:styleId="763">
    <w:name w:val="Heading 7 Char"/>
    <w:basedOn w:val="780"/>
    <w:link w:val="77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64">
    <w:name w:val="Heading 8 Char"/>
    <w:basedOn w:val="780"/>
    <w:link w:val="778"/>
    <w:uiPriority w:val="9"/>
    <w:rPr>
      <w:rFonts w:ascii="Arial" w:hAnsi="Arial" w:eastAsia="Arial" w:cs="Arial"/>
      <w:i/>
      <w:iCs/>
      <w:sz w:val="22"/>
      <w:szCs w:val="22"/>
    </w:rPr>
  </w:style>
  <w:style w:type="character" w:styleId="765">
    <w:name w:val="Heading 9 Char"/>
    <w:basedOn w:val="780"/>
    <w:link w:val="779"/>
    <w:uiPriority w:val="9"/>
    <w:rPr>
      <w:rFonts w:ascii="Arial" w:hAnsi="Arial" w:eastAsia="Arial" w:cs="Arial"/>
      <w:i/>
      <w:iCs/>
      <w:sz w:val="21"/>
      <w:szCs w:val="21"/>
    </w:rPr>
  </w:style>
  <w:style w:type="character" w:styleId="766">
    <w:name w:val="Title Char"/>
    <w:basedOn w:val="780"/>
    <w:link w:val="793"/>
    <w:uiPriority w:val="10"/>
    <w:rPr>
      <w:sz w:val="48"/>
      <w:szCs w:val="48"/>
    </w:rPr>
  </w:style>
  <w:style w:type="character" w:styleId="767">
    <w:name w:val="Quote Char"/>
    <w:link w:val="796"/>
    <w:uiPriority w:val="29"/>
    <w:rPr>
      <w:i/>
    </w:rPr>
  </w:style>
  <w:style w:type="character" w:styleId="768">
    <w:name w:val="Intense Quote Char"/>
    <w:link w:val="798"/>
    <w:uiPriority w:val="30"/>
    <w:rPr>
      <w:i/>
    </w:rPr>
  </w:style>
  <w:style w:type="character" w:styleId="769">
    <w:name w:val="Footnote Text Char"/>
    <w:link w:val="928"/>
    <w:uiPriority w:val="99"/>
    <w:rPr>
      <w:sz w:val="18"/>
    </w:rPr>
  </w:style>
  <w:style w:type="paragraph" w:styleId="770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1">
    <w:name w:val="Heading 1"/>
    <w:basedOn w:val="770"/>
    <w:next w:val="770"/>
    <w:link w:val="78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72">
    <w:name w:val="Heading 2"/>
    <w:basedOn w:val="770"/>
    <w:next w:val="770"/>
    <w:link w:val="78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73">
    <w:name w:val="Heading 3"/>
    <w:basedOn w:val="770"/>
    <w:next w:val="770"/>
    <w:link w:val="78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74">
    <w:name w:val="Heading 4"/>
    <w:basedOn w:val="770"/>
    <w:next w:val="770"/>
    <w:link w:val="78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75">
    <w:name w:val="Heading 5"/>
    <w:basedOn w:val="770"/>
    <w:next w:val="770"/>
    <w:link w:val="78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76">
    <w:name w:val="Heading 6"/>
    <w:basedOn w:val="770"/>
    <w:next w:val="770"/>
    <w:link w:val="78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77">
    <w:name w:val="Heading 7"/>
    <w:basedOn w:val="770"/>
    <w:next w:val="770"/>
    <w:link w:val="78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78">
    <w:name w:val="Heading 8"/>
    <w:basedOn w:val="770"/>
    <w:next w:val="770"/>
    <w:link w:val="79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79">
    <w:name w:val="Heading 9"/>
    <w:basedOn w:val="770"/>
    <w:next w:val="770"/>
    <w:link w:val="79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80" w:default="1">
    <w:name w:val="Default Paragraph Font"/>
    <w:uiPriority w:val="1"/>
    <w:semiHidden/>
    <w:unhideWhenUsed/>
  </w:style>
  <w:style w:type="table" w:styleId="78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82" w:default="1">
    <w:name w:val="No List"/>
    <w:uiPriority w:val="99"/>
    <w:semiHidden/>
    <w:unhideWhenUsed/>
  </w:style>
  <w:style w:type="character" w:styleId="783" w:customStyle="1">
    <w:name w:val="Заголовок 1 Знак"/>
    <w:basedOn w:val="780"/>
    <w:link w:val="771"/>
    <w:uiPriority w:val="9"/>
    <w:rPr>
      <w:rFonts w:ascii="Arial" w:hAnsi="Arial" w:eastAsia="Arial" w:cs="Arial"/>
      <w:sz w:val="40"/>
      <w:szCs w:val="40"/>
    </w:rPr>
  </w:style>
  <w:style w:type="character" w:styleId="784" w:customStyle="1">
    <w:name w:val="Заголовок 2 Знак"/>
    <w:basedOn w:val="780"/>
    <w:link w:val="772"/>
    <w:uiPriority w:val="9"/>
    <w:rPr>
      <w:rFonts w:ascii="Arial" w:hAnsi="Arial" w:eastAsia="Arial" w:cs="Arial"/>
      <w:sz w:val="34"/>
    </w:rPr>
  </w:style>
  <w:style w:type="character" w:styleId="785" w:customStyle="1">
    <w:name w:val="Заголовок 3 Знак"/>
    <w:basedOn w:val="780"/>
    <w:link w:val="773"/>
    <w:uiPriority w:val="9"/>
    <w:rPr>
      <w:rFonts w:ascii="Arial" w:hAnsi="Arial" w:eastAsia="Arial" w:cs="Arial"/>
      <w:sz w:val="30"/>
      <w:szCs w:val="30"/>
    </w:rPr>
  </w:style>
  <w:style w:type="character" w:styleId="786" w:customStyle="1">
    <w:name w:val="Заголовок 4 Знак"/>
    <w:basedOn w:val="780"/>
    <w:link w:val="774"/>
    <w:uiPriority w:val="9"/>
    <w:rPr>
      <w:rFonts w:ascii="Arial" w:hAnsi="Arial" w:eastAsia="Arial" w:cs="Arial"/>
      <w:b/>
      <w:bCs/>
      <w:sz w:val="26"/>
      <w:szCs w:val="26"/>
    </w:rPr>
  </w:style>
  <w:style w:type="character" w:styleId="787" w:customStyle="1">
    <w:name w:val="Заголовок 5 Знак"/>
    <w:basedOn w:val="780"/>
    <w:link w:val="775"/>
    <w:uiPriority w:val="9"/>
    <w:rPr>
      <w:rFonts w:ascii="Arial" w:hAnsi="Arial" w:eastAsia="Arial" w:cs="Arial"/>
      <w:b/>
      <w:bCs/>
      <w:sz w:val="24"/>
      <w:szCs w:val="24"/>
    </w:rPr>
  </w:style>
  <w:style w:type="character" w:styleId="788" w:customStyle="1">
    <w:name w:val="Заголовок 6 Знак"/>
    <w:basedOn w:val="780"/>
    <w:link w:val="776"/>
    <w:uiPriority w:val="9"/>
    <w:rPr>
      <w:rFonts w:ascii="Arial" w:hAnsi="Arial" w:eastAsia="Arial" w:cs="Arial"/>
      <w:b/>
      <w:bCs/>
      <w:sz w:val="22"/>
      <w:szCs w:val="22"/>
    </w:rPr>
  </w:style>
  <w:style w:type="character" w:styleId="789" w:customStyle="1">
    <w:name w:val="Заголовок 7 Знак"/>
    <w:basedOn w:val="780"/>
    <w:link w:val="77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90" w:customStyle="1">
    <w:name w:val="Заголовок 8 Знак"/>
    <w:basedOn w:val="780"/>
    <w:link w:val="778"/>
    <w:uiPriority w:val="9"/>
    <w:rPr>
      <w:rFonts w:ascii="Arial" w:hAnsi="Arial" w:eastAsia="Arial" w:cs="Arial"/>
      <w:i/>
      <w:iCs/>
      <w:sz w:val="22"/>
      <w:szCs w:val="22"/>
    </w:rPr>
  </w:style>
  <w:style w:type="character" w:styleId="791" w:customStyle="1">
    <w:name w:val="Заголовок 9 Знак"/>
    <w:basedOn w:val="780"/>
    <w:link w:val="779"/>
    <w:uiPriority w:val="9"/>
    <w:rPr>
      <w:rFonts w:ascii="Arial" w:hAnsi="Arial" w:eastAsia="Arial" w:cs="Arial"/>
      <w:i/>
      <w:iCs/>
      <w:sz w:val="21"/>
      <w:szCs w:val="21"/>
    </w:rPr>
  </w:style>
  <w:style w:type="paragraph" w:styleId="792">
    <w:name w:val="No Spacing"/>
    <w:uiPriority w:val="1"/>
    <w:qFormat/>
    <w:pPr>
      <w:spacing w:after="0" w:line="240" w:lineRule="auto"/>
    </w:pPr>
  </w:style>
  <w:style w:type="paragraph" w:styleId="793">
    <w:name w:val="Title"/>
    <w:basedOn w:val="770"/>
    <w:next w:val="770"/>
    <w:link w:val="79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4" w:customStyle="1">
    <w:name w:val="Заголовок Знак"/>
    <w:basedOn w:val="780"/>
    <w:link w:val="793"/>
    <w:uiPriority w:val="10"/>
    <w:rPr>
      <w:sz w:val="48"/>
      <w:szCs w:val="48"/>
    </w:rPr>
  </w:style>
  <w:style w:type="character" w:styleId="795" w:customStyle="1">
    <w:name w:val="Subtitle Char"/>
    <w:basedOn w:val="780"/>
    <w:uiPriority w:val="11"/>
    <w:rPr>
      <w:sz w:val="24"/>
      <w:szCs w:val="24"/>
    </w:rPr>
  </w:style>
  <w:style w:type="paragraph" w:styleId="796">
    <w:name w:val="Quote"/>
    <w:basedOn w:val="770"/>
    <w:next w:val="770"/>
    <w:link w:val="797"/>
    <w:uiPriority w:val="29"/>
    <w:qFormat/>
    <w:pPr>
      <w:ind w:left="720" w:right="720"/>
    </w:pPr>
    <w:rPr>
      <w:i/>
    </w:rPr>
  </w:style>
  <w:style w:type="character" w:styleId="797" w:customStyle="1">
    <w:name w:val="Цитата 2 Знак"/>
    <w:link w:val="796"/>
    <w:uiPriority w:val="29"/>
    <w:rPr>
      <w:i/>
    </w:rPr>
  </w:style>
  <w:style w:type="paragraph" w:styleId="798">
    <w:name w:val="Intense Quote"/>
    <w:basedOn w:val="770"/>
    <w:next w:val="770"/>
    <w:link w:val="799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9" w:customStyle="1">
    <w:name w:val="Выделенная цитата Знак"/>
    <w:link w:val="798"/>
    <w:uiPriority w:val="30"/>
    <w:rPr>
      <w:i/>
    </w:rPr>
  </w:style>
  <w:style w:type="character" w:styleId="800" w:customStyle="1">
    <w:name w:val="Header Char"/>
    <w:basedOn w:val="780"/>
    <w:uiPriority w:val="99"/>
  </w:style>
  <w:style w:type="character" w:styleId="801" w:customStyle="1">
    <w:name w:val="Footer Char"/>
    <w:basedOn w:val="780"/>
    <w:uiPriority w:val="99"/>
  </w:style>
  <w:style w:type="paragraph" w:styleId="802">
    <w:name w:val="Caption"/>
    <w:basedOn w:val="770"/>
    <w:next w:val="770"/>
    <w:link w:val="803"/>
    <w:uiPriority w:val="35"/>
    <w:semiHidden/>
    <w:unhideWhenUsed/>
    <w:qFormat/>
    <w:pPr>
      <w:spacing w:line="276" w:lineRule="auto"/>
    </w:pPr>
    <w:rPr>
      <w:b/>
      <w:bCs/>
      <w:color w:val="004077" w:themeColor="accent1"/>
      <w:sz w:val="18"/>
      <w:szCs w:val="18"/>
    </w:rPr>
  </w:style>
  <w:style w:type="character" w:styleId="803" w:customStyle="1">
    <w:name w:val="Caption Char"/>
    <w:uiPriority w:val="99"/>
  </w:style>
  <w:style w:type="table" w:styleId="804" w:customStyle="1">
    <w:name w:val="Table Grid Light"/>
    <w:basedOn w:val="781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</w:style>
  <w:style w:type="table" w:styleId="805">
    <w:name w:val="Plain Table 1"/>
    <w:basedOn w:val="781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  <w:tblStylePr w:type="band1Horz"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6">
    <w:name w:val="Plain Table 2"/>
    <w:basedOn w:val="781"/>
    <w:uiPriority w:val="59"/>
    <w:pPr>
      <w:spacing w:after="0" w:line="240" w:lineRule="auto"/>
    </w:pPr>
    <w:tblPr>
      <w:tblBorders>
        <w:top w:val="single" w:color="3C3C3C" w:themeColor="text1" w:sz="4" w:space="0"/>
        <w:left w:val="none" w:color="3C3C3C" w:themeColor="text1" w:sz="4" w:space="0"/>
        <w:bottom w:val="single" w:color="3C3C3C" w:themeColor="text1" w:sz="4" w:space="0"/>
        <w:right w:val="none" w:color="3C3C3C" w:themeColor="text1" w:sz="4" w:space="0"/>
      </w:tblBorders>
    </w:tblPr>
    <w:tblStylePr w:type="band1Horz"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band2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7">
    <w:name w:val="Plain Table 3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8">
    <w:name w:val="Plain Table 5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9">
    <w:name w:val="Grid Table 1 Light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0B0B0" w:themeColor="text1" w:themeTint="67" w:sz="4" w:space="0"/>
        <w:left w:val="single" w:color="B0B0B0" w:themeColor="text1" w:themeTint="67" w:sz="4" w:space="0"/>
        <w:bottom w:val="single" w:color="B0B0B0" w:themeColor="text1" w:themeTint="67" w:sz="4" w:space="0"/>
        <w:right w:val="single" w:color="B0B0B0" w:themeColor="text1" w:themeTint="67" w:sz="4" w:space="0"/>
        <w:insideH w:val="single" w:color="B0B0B0" w:themeColor="text1" w:themeTint="67" w:sz="4" w:space="0"/>
        <w:insideV w:val="single" w:color="B0B0B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0B0B0" w:themeColor="text1" w:themeTint="67" w:sz="4" w:space="0"/>
          <w:left w:val="single" w:color="B0B0B0" w:themeColor="text1" w:themeTint="67" w:sz="4" w:space="0"/>
          <w:bottom w:val="single" w:color="B0B0B0" w:themeColor="text1" w:themeTint="67" w:sz="4" w:space="0"/>
          <w:right w:val="single" w:color="B0B0B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D8D8D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Grid Table 1 Light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1A95FF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Grid Table 1 Light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5D2F2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Grid Table 1 Light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1B3FF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Grid Table 1 Light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9E9E9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Grid Table 1 Light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0ED61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Grid Table 1 Light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CC65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D8D8D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D8D8D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2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5197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5197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2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3D2F2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2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70BB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2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8E8E8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2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EBD1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2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A6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3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3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3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3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3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3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4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left w:val="single" w:color="909090" w:themeColor="text1" w:themeTint="90" w:sz="4" w:space="0"/>
        <w:bottom w:val="single" w:color="909090" w:themeColor="text1" w:themeTint="90" w:sz="4" w:space="0"/>
        <w:right w:val="single" w:color="909090" w:themeColor="text1" w:themeTint="90" w:sz="4" w:space="0"/>
        <w:insideH w:val="single" w:color="909090" w:themeColor="text1" w:themeTint="90" w:sz="4" w:space="0"/>
        <w:insideV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3C3C3C" w:themeColor="text1" w:sz="4" w:space="0"/>
          <w:left w:val="single" w:color="3C3C3C" w:themeColor="text1" w:sz="4" w:space="0"/>
          <w:bottom w:val="single" w:color="3C3C3C" w:themeColor="text1" w:sz="4" w:space="0"/>
          <w:right w:val="single" w:color="3C3C3C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</w:tcBorders>
      </w:tcPr>
    </w:tblStylePr>
  </w:style>
  <w:style w:type="table" w:styleId="831" w:customStyle="1">
    <w:name w:val="Grid Table 4 - Accent 1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  <w:insideV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5197" w:themeColor="accent1" w:themeTint="EA" w:fill="005197" w:themeFill="accent1" w:themeFillTint="EA"/>
        <w:tcBorders>
          <w:top w:val="single" w:color="005197" w:themeColor="accent1" w:themeTint="EA" w:sz="4" w:space="0"/>
          <w:left w:val="single" w:color="005197" w:themeColor="accent1" w:themeTint="EA" w:sz="4" w:space="0"/>
          <w:bottom w:val="single" w:color="005197" w:themeColor="accent1" w:themeTint="EA" w:sz="4" w:space="0"/>
          <w:right w:val="single" w:color="005197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5197" w:themeColor="accent1" w:themeTint="EA" w:sz="4" w:space="0"/>
        </w:tcBorders>
      </w:tcPr>
    </w:tblStylePr>
  </w:style>
  <w:style w:type="table" w:styleId="832" w:customStyle="1">
    <w:name w:val="Grid Table 4 - Accent 2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  <w:insideV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4" w:space="0"/>
          <w:left w:val="single" w:color="83D2F2" w:themeColor="accent2" w:themeTint="97" w:sz="4" w:space="0"/>
          <w:bottom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3D2F2" w:themeColor="accent2" w:themeTint="97" w:sz="4" w:space="0"/>
        </w:tcBorders>
      </w:tcPr>
    </w:tblStylePr>
  </w:style>
  <w:style w:type="table" w:styleId="833" w:customStyle="1">
    <w:name w:val="Grid Table 4 - Accent 3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  <w:insideV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b" w:themeColor="accent3" w:themeTint="FE" w:fill="0070bb" w:themeFill="accent3" w:themeFillTint="FE"/>
        <w:tcBorders>
          <w:top w:val="single" w:color="0070BB" w:themeColor="accent3" w:themeTint="FE" w:sz="4" w:space="0"/>
          <w:left w:val="single" w:color="0070BB" w:themeColor="accent3" w:themeTint="FE" w:sz="4" w:space="0"/>
          <w:bottom w:val="single" w:color="0070BB" w:themeColor="accent3" w:themeTint="FE" w:sz="4" w:space="0"/>
          <w:right w:val="single" w:color="0070BB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B" w:themeColor="accent3" w:themeTint="FE" w:sz="4" w:space="0"/>
        </w:tcBorders>
      </w:tcPr>
    </w:tblStylePr>
  </w:style>
  <w:style w:type="table" w:styleId="834" w:customStyle="1">
    <w:name w:val="Grid Table 4 - Accent 4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  <w:insideV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4" w:space="0"/>
          <w:left w:val="single" w:color="E8E8E8" w:themeColor="accent4" w:themeTint="9A" w:sz="4" w:space="0"/>
          <w:bottom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8E8E8" w:themeColor="accent4" w:themeTint="9A" w:sz="4" w:space="0"/>
        </w:tcBorders>
      </w:tcPr>
    </w:tblStylePr>
  </w:style>
  <w:style w:type="table" w:styleId="835" w:customStyle="1">
    <w:name w:val="Grid Table 4 - Accent 5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AEBD15" w:themeColor="accent5" w:sz="4" w:space="0"/>
          <w:left w:val="single" w:color="AEBD15" w:themeColor="accent5" w:sz="4" w:space="0"/>
          <w:bottom w:val="single" w:color="AEBD15" w:themeColor="accent5" w:sz="4" w:space="0"/>
          <w:right w:val="single" w:color="AEBD1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</w:tcBorders>
      </w:tcPr>
    </w:tblStylePr>
  </w:style>
  <w:style w:type="table" w:styleId="836" w:customStyle="1">
    <w:name w:val="Grid Table 4 - Accent 6"/>
    <w:basedOn w:val="78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7A600" w:themeColor="accent6" w:sz="4" w:space="0"/>
          <w:left w:val="single" w:color="F7A600" w:themeColor="accent6" w:sz="4" w:space="0"/>
          <w:bottom w:val="single" w:color="F7A600" w:themeColor="accent6" w:sz="4" w:space="0"/>
          <w:right w:val="single" w:color="F7A6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</w:tcBorders>
      </w:tcPr>
    </w:tblStylePr>
  </w:style>
  <w:style w:type="table" w:styleId="837">
    <w:name w:val="Grid Table 5 Dark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ecece" w:themeColor="text1" w:themeTint="40" w:fill="cecece" w:themeFill="text1" w:themeFillTint="40"/>
    </w:tblPr>
    <w:tblStylePr w:type="band1Horz">
      <w:tcPr>
        <w:shd w:val="clear" w:color="a5a5a5" w:themeColor="text1" w:themeTint="75" w:fill="a5a5a5" w:themeFill="text1" w:themeFillTint="75"/>
      </w:tcPr>
    </w:tblStylePr>
    <w:tblStylePr w:type="band1Vert">
      <w:tcPr>
        <w:shd w:val="clear" w:color="a5a5a5" w:themeColor="text1" w:themeTint="75" w:fill="a5a5a5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FFFFFF" w:themeColor="light1" w:sz="4" w:space="0"/>
        </w:tcBorders>
      </w:tcPr>
    </w:tblStylePr>
  </w:style>
  <w:style w:type="table" w:styleId="838" w:customStyle="1">
    <w:name w:val="Grid Table 5 Dark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fd9ff" w:themeColor="accent1" w:themeTint="34" w:fill="afd9ff" w:themeFill="accent1" w:themeFillTint="34"/>
    </w:tblPr>
    <w:tblStylePr w:type="band1Horz">
      <w:tcPr>
        <w:shd w:val="clear" w:color="4babff" w:themeColor="accent1" w:themeTint="75" w:fill="4babff" w:themeFill="accent1" w:themeFillTint="75"/>
      </w:tcPr>
    </w:tblStylePr>
    <w:tblStylePr w:type="band1Vert">
      <w:tcPr>
        <w:shd w:val="clear" w:color="4babff" w:themeColor="accent1" w:themeTint="75" w:fill="4bab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  <w:tcBorders>
          <w:top w:val="single" w:color="FFFFFF" w:themeColor="light1" w:sz="4" w:space="0"/>
        </w:tcBorders>
      </w:tcPr>
    </w:tblStylePr>
  </w:style>
  <w:style w:type="table" w:styleId="839" w:customStyle="1">
    <w:name w:val="Grid Table 5 Dark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6f0fa" w:themeColor="accent2" w:themeTint="32" w:fill="d6f0fa" w:themeFill="accent2" w:themeFillTint="32"/>
    </w:tblPr>
    <w:tblStylePr w:type="band1Horz">
      <w:tcPr>
        <w:shd w:val="clear" w:color="9fdcf5" w:themeColor="accent2" w:themeTint="75" w:fill="9fdcf5" w:themeFill="accent2" w:themeFillTint="75"/>
      </w:tcPr>
    </w:tblStylePr>
    <w:tblStylePr w:type="band1Vert">
      <w:tcPr>
        <w:shd w:val="clear" w:color="9fdcf5" w:themeColor="accent2" w:themeTint="75" w:fill="9fdcf5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  <w:tcBorders>
          <w:top w:val="single" w:color="FFFFFF" w:themeColor="light1" w:sz="4" w:space="0"/>
        </w:tcBorders>
      </w:tcPr>
    </w:tblStylePr>
  </w:style>
  <w:style w:type="table" w:styleId="840" w:customStyle="1">
    <w:name w:val="Grid Table 5 Dark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ce4ff" w:themeColor="accent3" w:themeTint="34" w:fill="bce4ff" w:themeFill="accent3" w:themeFillTint="34"/>
    </w:tblPr>
    <w:tblStylePr w:type="band1Horz">
      <w:tcPr>
        <w:shd w:val="clear" w:color="6ac3ff" w:themeColor="accent3" w:themeTint="75" w:fill="6ac3ff" w:themeFill="accent3" w:themeFillTint="75"/>
      </w:tcPr>
    </w:tblStylePr>
    <w:tblStylePr w:type="band1Vert">
      <w:tcPr>
        <w:shd w:val="clear" w:color="6ac3ff" w:themeColor="accent3" w:themeTint="75" w:fill="6ac3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  <w:tcBorders>
          <w:top w:val="single" w:color="FFFFFF" w:themeColor="light1" w:sz="4" w:space="0"/>
        </w:tcBorders>
      </w:tcPr>
    </w:tblStylePr>
  </w:style>
  <w:style w:type="table" w:styleId="841" w:customStyle="1">
    <w:name w:val="Grid Table 5 Dark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7f7f7" w:themeColor="accent4" w:themeTint="34" w:fill="f7f7f7" w:themeFill="accent4" w:themeFillTint="34"/>
    </w:tblPr>
    <w:tblStylePr w:type="band1Horz">
      <w:tcPr>
        <w:shd w:val="clear" w:color="eeeeee" w:themeColor="accent4" w:themeTint="75" w:fill="eeeeee" w:themeFill="accent4" w:themeFillTint="75"/>
      </w:tcPr>
    </w:tblStylePr>
    <w:tblStylePr w:type="band1Vert">
      <w:tcPr>
        <w:shd w:val="clear" w:color="eeeeee" w:themeColor="accent4" w:themeTint="75" w:fill="eeeeee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  <w:tcBorders>
          <w:top w:val="single" w:color="FFFFFF" w:themeColor="light1" w:sz="4" w:space="0"/>
        </w:tcBorders>
      </w:tcPr>
    </w:tblStylePr>
  </w:style>
  <w:style w:type="table" w:styleId="842" w:customStyle="1">
    <w:name w:val="Grid Table 5 Dark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4f9c7" w:themeColor="accent5" w:themeTint="34" w:fill="f4f9c7" w:themeFill="accent5" w:themeFillTint="34"/>
    </w:tblPr>
    <w:tblStylePr w:type="band1Horz">
      <w:tcPr>
        <w:shd w:val="clear" w:color="e7f183" w:themeColor="accent5" w:themeTint="75" w:fill="e7f183" w:themeFill="accent5" w:themeFillTint="75"/>
      </w:tcPr>
    </w:tblStylePr>
    <w:tblStylePr w:type="band1Vert">
      <w:tcPr>
        <w:shd w:val="clear" w:color="e7f183" w:themeColor="accent5" w:themeTint="75" w:fill="e7f18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FFFFFF" w:themeColor="light1" w:sz="4" w:space="0"/>
        </w:tcBorders>
      </w:tcPr>
    </w:tblStylePr>
  </w:style>
  <w:style w:type="table" w:styleId="843" w:customStyle="1">
    <w:name w:val="Grid Table 5 Dark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edc9" w:themeColor="accent6" w:themeTint="34" w:fill="ffedc9" w:themeFill="accent6" w:themeFillTint="34"/>
    </w:tblPr>
    <w:tblStylePr w:type="band1Horz">
      <w:tcPr>
        <w:shd w:val="clear" w:color="ffd786" w:themeColor="accent6" w:themeTint="75" w:fill="ffd786" w:themeFill="accent6" w:themeFillTint="75"/>
      </w:tcPr>
    </w:tblStylePr>
    <w:tblStylePr w:type="band1Vert">
      <w:tcPr>
        <w:shd w:val="clear" w:color="ffd786" w:themeColor="accent6" w:themeTint="75" w:fill="ffd786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FFFFF" w:themeColor="light1" w:sz="4" w:space="0"/>
        </w:tcBorders>
      </w:tcPr>
    </w:tblStylePr>
  </w:style>
  <w:style w:type="table" w:styleId="844">
    <w:name w:val="Grid Table 6 Colorful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left w:val="single" w:color="9D9D9D" w:themeColor="text1" w:themeTint="80" w:sz="4" w:space="0"/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tcPr>
        <w:shd w:val="clear" w:color="d7d7d7" w:themeColor="text1" w:themeTint="34" w:fill="d7d7d7" w:themeFill="text1" w:themeFillTint="34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b/>
        <w:color w:val="9d9d9d" w:themeColor="text1" w:themeTint="80" w:themeShade="95"/>
      </w:rPr>
    </w:tblStylePr>
    <w:tblStylePr w:type="firstRow">
      <w:rPr>
        <w:b/>
        <w:color w:val="9d9d9d" w:themeColor="text1" w:themeTint="80" w:themeShade="95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b/>
        <w:color w:val="9d9d9d" w:themeColor="text1" w:themeTint="80" w:themeShade="95"/>
      </w:rPr>
    </w:tblStylePr>
    <w:tblStylePr w:type="lastRow">
      <w:rPr>
        <w:b/>
        <w:color w:val="9d9d9d" w:themeColor="text1" w:themeTint="80" w:themeShade="95"/>
      </w:rPr>
    </w:tblStylePr>
  </w:style>
  <w:style w:type="table" w:styleId="845" w:customStyle="1">
    <w:name w:val="Grid Table 6 Colorful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AA4FF" w:themeColor="accent1" w:themeTint="80" w:sz="4" w:space="0"/>
        <w:left w:val="single" w:color="3AA4FF" w:themeColor="accent1" w:themeTint="80" w:sz="4" w:space="0"/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b/>
        <w:color w:val="3aa4ff" w:themeColor="accent1" w:themeTint="80" w:themeShade="95"/>
      </w:rPr>
    </w:tblStylePr>
    <w:tblStylePr w:type="firstRow">
      <w:rPr>
        <w:b/>
        <w:color w:val="3aa4ff" w:themeColor="accent1" w:themeTint="80" w:themeShade="95"/>
      </w:rPr>
      <w:tcPr>
        <w:tcBorders>
          <w:bottom w:val="single" w:color="3AA4FF" w:themeColor="accent1" w:themeTint="80" w:sz="12" w:space="0"/>
        </w:tcBorders>
      </w:tcPr>
    </w:tblStylePr>
    <w:tblStylePr w:type="lastCol">
      <w:rPr>
        <w:b/>
        <w:color w:val="3aa4ff" w:themeColor="accent1" w:themeTint="80" w:themeShade="95"/>
      </w:rPr>
    </w:tblStylePr>
    <w:tblStylePr w:type="lastRow">
      <w:rPr>
        <w:b/>
        <w:color w:val="3aa4ff" w:themeColor="accent1" w:themeTint="80" w:themeShade="95"/>
      </w:rPr>
    </w:tblStylePr>
  </w:style>
  <w:style w:type="table" w:styleId="846" w:customStyle="1">
    <w:name w:val="Grid Table 6 Colorful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</w:tblStylePr>
  </w:style>
  <w:style w:type="table" w:styleId="847" w:customStyle="1">
    <w:name w:val="Grid Table 6 Colorful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0BB" w:themeColor="accent3" w:themeTint="FE" w:sz="4" w:space="0"/>
        <w:left w:val="single" w:color="0070BB" w:themeColor="accent3" w:themeTint="FE" w:sz="4" w:space="0"/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b/>
        <w:color w:val="0070bb" w:themeColor="accent3" w:themeTint="FE" w:themeShade="95"/>
      </w:rPr>
    </w:tblStylePr>
    <w:tblStylePr w:type="firstRow">
      <w:rPr>
        <w:b/>
        <w:color w:val="0070bb" w:themeColor="accent3" w:themeTint="FE" w:themeShade="95"/>
      </w:rPr>
      <w:tcPr>
        <w:tcBorders>
          <w:bottom w:val="single" w:color="0070BB" w:themeColor="accent3" w:themeTint="FE" w:sz="12" w:space="0"/>
        </w:tcBorders>
      </w:tcPr>
    </w:tblStylePr>
    <w:tblStylePr w:type="lastCol">
      <w:rPr>
        <w:b/>
        <w:color w:val="0070bb" w:themeColor="accent3" w:themeTint="FE" w:themeShade="95"/>
      </w:rPr>
    </w:tblStylePr>
    <w:tblStylePr w:type="lastRow">
      <w:rPr>
        <w:b/>
        <w:color w:val="0070bb" w:themeColor="accent3" w:themeTint="FE" w:themeShade="95"/>
      </w:rPr>
    </w:tblStylePr>
  </w:style>
  <w:style w:type="table" w:styleId="848" w:customStyle="1">
    <w:name w:val="Grid Table 6 Colorful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</w:tblStylePr>
  </w:style>
  <w:style w:type="table" w:styleId="849" w:customStyle="1">
    <w:name w:val="Grid Table 6 Colorful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BD15" w:themeColor="accent5" w:sz="4" w:space="0"/>
        <w:left w:val="single" w:color="AEBD15" w:themeColor="accent5" w:sz="4" w:space="0"/>
        <w:bottom w:val="single" w:color="AEBD15" w:themeColor="accent5" w:sz="4" w:space="0"/>
        <w:right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AEBD15" w:themeColor="accent5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50" w:customStyle="1">
    <w:name w:val="Grid Table 6 Colorful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A600" w:themeColor="accent6" w:sz="4" w:space="0"/>
        <w:left w:val="single" w:color="F7A600" w:themeColor="accent6" w:sz="4" w:space="0"/>
        <w:bottom w:val="single" w:color="F7A600" w:themeColor="accent6" w:sz="4" w:space="0"/>
        <w:right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F7A600" w:themeColor="accent6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51">
    <w:name w:val="Grid Table 7 Colorful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7 Colorful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rFonts w:ascii="Arial" w:hAnsi="Arial"/>
        <w:i/>
        <w:color w:val="3aa4ff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AA4FF" w:themeColor="accent1" w:themeTint="80" w:sz="4" w:space="0"/>
        </w:tcBorders>
      </w:tcPr>
    </w:tblStylePr>
    <w:tblStylePr w:type="fir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AA4FF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aa4ff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3AA4FF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3AA4FF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7 Colorful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7 Colorful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rFonts w:ascii="Arial" w:hAnsi="Arial"/>
        <w:i/>
        <w:color w:val="0070bb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B" w:themeColor="accent3" w:themeTint="FE" w:sz="4" w:space="0"/>
        </w:tcBorders>
      </w:tcPr>
    </w:tblStylePr>
    <w:tblStylePr w:type="fir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70BB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70bb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0070BB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7 Colorful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7 Colorful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rFonts w:ascii="Arial" w:hAnsi="Arial"/>
        <w:i/>
        <w:color w:val="656e0c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1EE66" w:themeColor="accent5" w:themeTint="90" w:sz="4" w:space="0"/>
        </w:tcBorders>
      </w:tcPr>
    </w:tblStylePr>
    <w:tblStylePr w:type="fir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56e0c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E1EE66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single" w:color="E1EE66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7 Colorful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906000" w:themeColor="accent6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906000" w:themeColor="accent6" w:themeShade="95"/>
        <w:sz w:val="22"/>
      </w:rPr>
    </w:tblStylePr>
    <w:tblStylePr w:type="firstCol">
      <w:rPr>
        <w:rFonts w:ascii="Arial" w:hAnsi="Arial"/>
        <w:i/>
        <w:color w:val="906000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E6A" w:themeColor="accent6" w:themeTint="90" w:sz="4" w:space="0"/>
        </w:tcBorders>
      </w:tcPr>
    </w:tblStylePr>
    <w:tblStylePr w:type="fir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06000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FCE6A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single" w:color="FFCE6A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List Table 1 Light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C3C3C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List Table 1 Light - Accent 1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List Table 1 Light - Accent 2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2FB4E9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2FB4E9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List Table 1 Light - Accent 3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70BA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A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List Table 1 Light - Accent 4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ADAD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ADADA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List Table 1 Light - Accent 5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EBD1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List Table 1 Light - Accent 6"/>
    <w:basedOn w:val="78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A6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List Table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bottom w:val="single" w:color="909090" w:themeColor="text1" w:themeTint="90" w:sz="4" w:space="0"/>
        <w:insideH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</w:style>
  <w:style w:type="table" w:styleId="866" w:customStyle="1">
    <w:name w:val="List Table 2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bottom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</w:style>
  <w:style w:type="table" w:styleId="867" w:customStyle="1">
    <w:name w:val="List Table 2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bottom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</w:style>
  <w:style w:type="table" w:styleId="868" w:customStyle="1">
    <w:name w:val="List Table 2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bottom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</w:style>
  <w:style w:type="table" w:styleId="869" w:customStyle="1">
    <w:name w:val="List Table 2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bottom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</w:style>
  <w:style w:type="table" w:styleId="870" w:customStyle="1">
    <w:name w:val="List Table 2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bottom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</w:style>
  <w:style w:type="table" w:styleId="871" w:customStyle="1">
    <w:name w:val="List Table 2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bottom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</w:style>
  <w:style w:type="table" w:styleId="872">
    <w:name w:val="List Table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3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left w:val="single" w:color="004077" w:themeColor="accent1" w:sz="4" w:space="0"/>
        <w:bottom w:val="single" w:color="004077" w:themeColor="accent1" w:sz="4" w:space="0"/>
        <w:right w:val="single" w:color="004077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4077" w:themeColor="accent1" w:sz="4" w:space="0"/>
          <w:bottom w:val="single" w:color="004077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4077" w:themeColor="accent1" w:sz="4" w:space="0"/>
          <w:right w:val="single" w:color="004077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3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D2F2" w:themeColor="accent2" w:themeTint="97" w:sz="4" w:space="0"/>
          <w:bottom w:val="single" w:color="83D2F2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3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left w:val="single" w:color="3DB1FF" w:themeColor="accent3" w:themeTint="98" w:sz="4" w:space="0"/>
        <w:bottom w:val="single" w:color="3DB1FF" w:themeColor="accent3" w:themeTint="98" w:sz="4" w:space="0"/>
        <w:right w:val="single" w:color="3DB1FF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DB1FF" w:themeColor="accent3" w:themeTint="98" w:sz="4" w:space="0"/>
          <w:bottom w:val="single" w:color="3DB1FF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DB1FF" w:themeColor="accent3" w:themeTint="98" w:sz="4" w:space="0"/>
          <w:right w:val="single" w:color="3DB1FF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db1ff" w:themeColor="accent3" w:themeTint="98" w:fill="3db1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3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8E8E8" w:themeColor="accent4" w:themeTint="9A" w:sz="4" w:space="0"/>
          <w:bottom w:val="single" w:color="E8E8E8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List Table 3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left w:val="single" w:color="DFED5B" w:themeColor="accent5" w:themeTint="9A" w:sz="4" w:space="0"/>
        <w:bottom w:val="single" w:color="DFED5B" w:themeColor="accent5" w:themeTint="9A" w:sz="4" w:space="0"/>
        <w:right w:val="single" w:color="DFED5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FED5B" w:themeColor="accent5" w:themeTint="9A" w:sz="4" w:space="0"/>
          <w:bottom w:val="single" w:color="DFED5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FED5B" w:themeColor="accent5" w:themeTint="9A" w:sz="4" w:space="0"/>
          <w:right w:val="single" w:color="DFED5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fed5b" w:themeColor="accent5" w:themeTint="9A" w:fill="dfed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3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left w:val="single" w:color="FFCB62" w:themeColor="accent6" w:themeTint="98" w:sz="4" w:space="0"/>
        <w:bottom w:val="single" w:color="FFCB62" w:themeColor="accent6" w:themeTint="98" w:sz="4" w:space="0"/>
        <w:right w:val="single" w:color="FFCB62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62" w:themeColor="accent6" w:themeTint="98" w:sz="4" w:space="0"/>
          <w:bottom w:val="single" w:color="FFCB62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CB62" w:themeColor="accent6" w:themeTint="98" w:sz="4" w:space="0"/>
          <w:right w:val="single" w:color="FFCB62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b62" w:themeColor="accent6" w:themeTint="98" w:fill="ffcb62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List Table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  <w:insideH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List Table 4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List Table 4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4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4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4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4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5 Dark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32" w:space="0"/>
        <w:left w:val="single" w:color="9D9D9D" w:themeColor="text1" w:themeTint="80" w:sz="32" w:space="0"/>
        <w:bottom w:val="single" w:color="9D9D9D" w:themeColor="text1" w:themeTint="80" w:sz="32" w:space="0"/>
        <w:right w:val="single" w:color="9D9D9D" w:themeColor="text1" w:themeTint="80" w:sz="32" w:space="0"/>
      </w:tblBorders>
      <w:shd w:val="clear" w:color="9d9d9d" w:themeColor="text1" w:themeTint="80" w:fill="9d9d9d" w:themeFill="text1" w:themeFillTint="80"/>
    </w:tblPr>
    <w:tblStylePr w:type="band1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d9d9d" w:themeColor="text1" w:themeTint="80" w:fill="9d9d9d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D9D9D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d9d9d" w:themeColor="text1" w:themeTint="80" w:fill="9d9d9d" w:themeFill="text1" w:themeFillTint="80"/>
        <w:tcBorders>
          <w:top w:val="single" w:color="9D9D9D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D9D9D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7" w:customStyle="1">
    <w:name w:val="List Table 5 Dark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32" w:space="0"/>
        <w:left w:val="single" w:color="004077" w:themeColor="accent1" w:sz="32" w:space="0"/>
        <w:bottom w:val="single" w:color="004077" w:themeColor="accent1" w:sz="32" w:space="0"/>
        <w:right w:val="single" w:color="004077" w:themeColor="accent1" w:sz="32" w:space="0"/>
      </w:tblBorders>
      <w:shd w:val="clear" w:color="004077" w:themeColor="accent1" w:fill="004077" w:themeFill="accent1"/>
    </w:tblPr>
    <w:tblStylePr w:type="band1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004077" w:themeColor="accent1" w:fill="004077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4077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004077" w:themeColor="accent1" w:fill="004077" w:themeFill="accent1"/>
        <w:tcBorders>
          <w:top w:val="single" w:color="004077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4077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8" w:customStyle="1">
    <w:name w:val="List Table 5 Dark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32" w:space="0"/>
        <w:left w:val="single" w:color="83D2F2" w:themeColor="accent2" w:themeTint="97" w:sz="32" w:space="0"/>
        <w:bottom w:val="single" w:color="83D2F2" w:themeColor="accent2" w:themeTint="97" w:sz="32" w:space="0"/>
        <w:right w:val="single" w:color="83D2F2" w:themeColor="accent2" w:themeTint="97" w:sz="32" w:space="0"/>
      </w:tblBorders>
      <w:shd w:val="clear" w:color="83d2f2" w:themeColor="accent2" w:themeTint="97" w:fill="83d2f2" w:themeFill="accent2" w:themeFillTint="97"/>
    </w:tblPr>
    <w:tblStylePr w:type="band1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3d2f2" w:themeColor="accent2" w:themeTint="97" w:fill="83d2f2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3D2F2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3D2F2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9" w:customStyle="1">
    <w:name w:val="List Table 5 Dark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32" w:space="0"/>
        <w:left w:val="single" w:color="3DB1FF" w:themeColor="accent3" w:themeTint="98" w:sz="32" w:space="0"/>
        <w:bottom w:val="single" w:color="3DB1FF" w:themeColor="accent3" w:themeTint="98" w:sz="32" w:space="0"/>
        <w:right w:val="single" w:color="3DB1FF" w:themeColor="accent3" w:themeTint="98" w:sz="32" w:space="0"/>
      </w:tblBorders>
      <w:shd w:val="clear" w:color="3db1ff" w:themeColor="accent3" w:themeTint="98" w:fill="3db1ff" w:themeFill="accent3" w:themeFillTint="98"/>
    </w:tblPr>
    <w:tblStylePr w:type="band1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3db1ff" w:themeColor="accent3" w:themeTint="98" w:fill="3db1ff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3DB1FF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3db1ff" w:themeColor="accent3" w:themeTint="98" w:fill="3db1ff" w:themeFill="accent3" w:themeFillTint="98"/>
        <w:tcBorders>
          <w:top w:val="single" w:color="3DB1FF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3DB1FF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0" w:customStyle="1">
    <w:name w:val="List Table 5 Dark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32" w:space="0"/>
        <w:left w:val="single" w:color="E8E8E8" w:themeColor="accent4" w:themeTint="9A" w:sz="32" w:space="0"/>
        <w:bottom w:val="single" w:color="E8E8E8" w:themeColor="accent4" w:themeTint="9A" w:sz="32" w:space="0"/>
        <w:right w:val="single" w:color="E8E8E8" w:themeColor="accent4" w:themeTint="9A" w:sz="32" w:space="0"/>
      </w:tblBorders>
      <w:shd w:val="clear" w:color="e8e8e8" w:themeColor="accent4" w:themeTint="9A" w:fill="e8e8e8" w:themeFill="accent4" w:themeFillTint="9A"/>
    </w:tblPr>
    <w:tblStylePr w:type="band1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e8e8e8" w:themeColor="accent4" w:themeTint="9A" w:fill="e8e8e8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E8E8E8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8E8E8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1" w:customStyle="1">
    <w:name w:val="List Table 5 Dark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32" w:space="0"/>
        <w:left w:val="single" w:color="DFED5B" w:themeColor="accent5" w:themeTint="9A" w:sz="32" w:space="0"/>
        <w:bottom w:val="single" w:color="DFED5B" w:themeColor="accent5" w:themeTint="9A" w:sz="32" w:space="0"/>
        <w:right w:val="single" w:color="DFED5B" w:themeColor="accent5" w:themeTint="9A" w:sz="32" w:space="0"/>
      </w:tblBorders>
      <w:shd w:val="clear" w:color="dfed5b" w:themeColor="accent5" w:themeTint="9A" w:fill="dfed5b" w:themeFill="accent5" w:themeFillTint="9A"/>
    </w:tblPr>
    <w:tblStylePr w:type="band1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fed5b" w:themeColor="accent5" w:themeTint="9A" w:fill="dfed5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FED5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fed5b" w:themeColor="accent5" w:themeTint="9A" w:fill="dfed5b" w:themeFill="accent5" w:themeFillTint="9A"/>
        <w:tcBorders>
          <w:top w:val="single" w:color="DFED5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FED5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2" w:customStyle="1">
    <w:name w:val="List Table 5 Dark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32" w:space="0"/>
        <w:left w:val="single" w:color="FFCB62" w:themeColor="accent6" w:themeTint="98" w:sz="32" w:space="0"/>
        <w:bottom w:val="single" w:color="FFCB62" w:themeColor="accent6" w:themeTint="98" w:sz="32" w:space="0"/>
        <w:right w:val="single" w:color="FFCB62" w:themeColor="accent6" w:themeTint="98" w:sz="32" w:space="0"/>
      </w:tblBorders>
      <w:shd w:val="clear" w:color="ffcb62" w:themeColor="accent6" w:themeTint="98" w:fill="ffcb62" w:themeFill="accent6" w:themeFillTint="98"/>
    </w:tblPr>
    <w:tblStylePr w:type="band1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cb62" w:themeColor="accent6" w:themeTint="98" w:fill="ffcb62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CB62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cb62" w:themeColor="accent6" w:themeTint="98" w:fill="ffcb62" w:themeFill="accent6" w:themeFillTint="98"/>
        <w:tcBorders>
          <w:top w:val="single" w:color="FFCB62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B62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3">
    <w:name w:val="List Table 6 Colorful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bottom w:val="single" w:color="9D9D9D" w:themeColor="text1" w:themeTint="80" w:sz="4" w:space="0"/>
      </w:tblBorders>
    </w:tblPr>
    <w:tblStylePr w:type="band1Horz">
      <w:rPr>
        <w:rFonts w:ascii="Arial" w:hAnsi="Arial"/>
        <w:color w:val="3c3c3c" w:themeColor="text1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3c3c3c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9D9D9D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9D9D9D" w:themeColor="text1" w:themeTint="80" w:sz="4" w:space="0"/>
        </w:tcBorders>
      </w:tcPr>
    </w:tblStylePr>
  </w:style>
  <w:style w:type="table" w:styleId="894" w:customStyle="1">
    <w:name w:val="List Table 6 Colorful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bottom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b/>
        <w:color w:val="002545" w:themeColor="accent1" w:themeShade="95"/>
      </w:rPr>
    </w:tblStylePr>
    <w:tblStylePr w:type="firstRow">
      <w:rPr>
        <w:b/>
        <w:color w:val="002545" w:themeColor="accent1" w:themeShade="95"/>
      </w:rPr>
      <w:tcPr>
        <w:tcBorders>
          <w:bottom w:val="single" w:color="004077" w:themeColor="accent1" w:sz="4" w:space="0"/>
        </w:tcBorders>
      </w:tcPr>
    </w:tblStylePr>
    <w:tblStylePr w:type="lastCol">
      <w:rPr>
        <w:b/>
        <w:color w:val="002545" w:themeColor="accent1" w:themeShade="95"/>
      </w:rPr>
    </w:tblStylePr>
    <w:tblStylePr w:type="lastRow">
      <w:rPr>
        <w:b/>
        <w:color w:val="002545" w:themeColor="accent1" w:themeShade="95"/>
      </w:rPr>
      <w:tcPr>
        <w:tcBorders>
          <w:top w:val="single" w:color="004077" w:themeColor="accent1" w:sz="4" w:space="0"/>
        </w:tcBorders>
      </w:tcPr>
    </w:tblStylePr>
  </w:style>
  <w:style w:type="table" w:styleId="895" w:customStyle="1">
    <w:name w:val="List Table 6 Colorful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bottom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4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  <w:tcPr>
        <w:tcBorders>
          <w:top w:val="single" w:color="83D2F2" w:themeColor="accent2" w:themeTint="97" w:sz="4" w:space="0"/>
        </w:tcBorders>
      </w:tcPr>
    </w:tblStylePr>
  </w:style>
  <w:style w:type="table" w:styleId="896" w:customStyle="1">
    <w:name w:val="List Table 6 Colorful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bottom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b/>
        <w:color w:val="3db1ff" w:themeColor="accent3" w:themeTint="98" w:themeShade="95"/>
      </w:rPr>
    </w:tblStylePr>
    <w:tblStylePr w:type="firstRow">
      <w:rPr>
        <w:b/>
        <w:color w:val="3db1ff" w:themeColor="accent3" w:themeTint="98" w:themeShade="95"/>
      </w:rPr>
      <w:tcPr>
        <w:tcBorders>
          <w:bottom w:val="single" w:color="3DB1FF" w:themeColor="accent3" w:themeTint="98" w:sz="4" w:space="0"/>
        </w:tcBorders>
      </w:tcPr>
    </w:tblStylePr>
    <w:tblStylePr w:type="lastCol">
      <w:rPr>
        <w:b/>
        <w:color w:val="3db1ff" w:themeColor="accent3" w:themeTint="98" w:themeShade="95"/>
      </w:rPr>
    </w:tblStylePr>
    <w:tblStylePr w:type="lastRow">
      <w:rPr>
        <w:b/>
        <w:color w:val="3db1ff" w:themeColor="accent3" w:themeTint="98" w:themeShade="95"/>
      </w:rPr>
      <w:tcPr>
        <w:tcBorders>
          <w:top w:val="single" w:color="3DB1FF" w:themeColor="accent3" w:themeTint="98" w:sz="4" w:space="0"/>
        </w:tcBorders>
      </w:tcPr>
    </w:tblStylePr>
  </w:style>
  <w:style w:type="table" w:styleId="897" w:customStyle="1">
    <w:name w:val="List Table 6 Colorful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bottom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4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  <w:tcPr>
        <w:tcBorders>
          <w:top w:val="single" w:color="E8E8E8" w:themeColor="accent4" w:themeTint="9A" w:sz="4" w:space="0"/>
        </w:tcBorders>
      </w:tcPr>
    </w:tblStylePr>
  </w:style>
  <w:style w:type="table" w:styleId="898" w:customStyle="1">
    <w:name w:val="List Table 6 Colorful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bottom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b/>
        <w:color w:val="dfed5b" w:themeColor="accent5" w:themeTint="9A" w:themeShade="95"/>
      </w:rPr>
    </w:tblStylePr>
    <w:tblStylePr w:type="firstRow">
      <w:rPr>
        <w:b/>
        <w:color w:val="dfed5b" w:themeColor="accent5" w:themeTint="9A" w:themeShade="95"/>
      </w:rPr>
      <w:tcPr>
        <w:tcBorders>
          <w:bottom w:val="single" w:color="DFED5B" w:themeColor="accent5" w:themeTint="9A" w:sz="4" w:space="0"/>
        </w:tcBorders>
      </w:tcPr>
    </w:tblStylePr>
    <w:tblStylePr w:type="lastCol">
      <w:rPr>
        <w:b/>
        <w:color w:val="dfed5b" w:themeColor="accent5" w:themeTint="9A" w:themeShade="95"/>
      </w:rPr>
    </w:tblStylePr>
    <w:tblStylePr w:type="lastRow">
      <w:rPr>
        <w:b/>
        <w:color w:val="dfed5b" w:themeColor="accent5" w:themeTint="9A" w:themeShade="95"/>
      </w:rPr>
      <w:tcPr>
        <w:tcBorders>
          <w:top w:val="single" w:color="DFED5B" w:themeColor="accent5" w:themeTint="9A" w:sz="4" w:space="0"/>
        </w:tcBorders>
      </w:tcPr>
    </w:tblStylePr>
  </w:style>
  <w:style w:type="table" w:styleId="899" w:customStyle="1">
    <w:name w:val="List Table 6 Colorful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bottom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b/>
        <w:color w:val="ffcb62" w:themeColor="accent6" w:themeTint="98" w:themeShade="95"/>
      </w:rPr>
    </w:tblStylePr>
    <w:tblStylePr w:type="firstRow">
      <w:rPr>
        <w:b/>
        <w:color w:val="ffcb62" w:themeColor="accent6" w:themeTint="98" w:themeShade="95"/>
      </w:rPr>
      <w:tcPr>
        <w:tcBorders>
          <w:bottom w:val="single" w:color="FFCB62" w:themeColor="accent6" w:themeTint="98" w:sz="4" w:space="0"/>
        </w:tcBorders>
      </w:tcPr>
    </w:tblStylePr>
    <w:tblStylePr w:type="lastCol">
      <w:rPr>
        <w:b/>
        <w:color w:val="ffcb62" w:themeColor="accent6" w:themeTint="98" w:themeShade="95"/>
      </w:rPr>
    </w:tblStylePr>
    <w:tblStylePr w:type="lastRow">
      <w:rPr>
        <w:b/>
        <w:color w:val="ffcb62" w:themeColor="accent6" w:themeTint="98" w:themeShade="95"/>
      </w:rPr>
      <w:tcPr>
        <w:tcBorders>
          <w:top w:val="single" w:color="FFCB62" w:themeColor="accent6" w:themeTint="98" w:sz="4" w:space="0"/>
        </w:tcBorders>
      </w:tcPr>
    </w:tblStylePr>
  </w:style>
  <w:style w:type="table" w:styleId="900">
    <w:name w:val="List Table 7 Colorful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7 Colorful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rFonts w:ascii="Arial" w:hAnsi="Arial"/>
        <w:i/>
        <w:color w:val="00254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4077" w:themeColor="accent1" w:sz="4" w:space="0"/>
        </w:tcBorders>
      </w:tcPr>
    </w:tblStylePr>
    <w:tblStylePr w:type="fir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254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004077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7 Colorful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7 Colorful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rFonts w:ascii="Arial" w:hAnsi="Arial"/>
        <w:i/>
        <w:color w:val="3db1ff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DB1FF" w:themeColor="accent3" w:themeTint="98" w:sz="4" w:space="0"/>
        </w:tcBorders>
      </w:tcPr>
    </w:tblStylePr>
    <w:tblStylePr w:type="fir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DB1FF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3DB1FF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3DB1FF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7 Colorful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List Table 7 Colorful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rFonts w:ascii="Arial" w:hAnsi="Arial"/>
        <w:i/>
        <w:color w:val="dfed5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FED5B" w:themeColor="accent5" w:themeTint="9A" w:sz="4" w:space="0"/>
        </w:tcBorders>
      </w:tcPr>
    </w:tblStylePr>
    <w:tblStylePr w:type="fir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FED5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DFED5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DFED5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List Table 7 Colorful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rFonts w:ascii="Arial" w:hAnsi="Arial"/>
        <w:i/>
        <w:color w:val="ffcb62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B62" w:themeColor="accent6" w:themeTint="98" w:sz="4" w:space="0"/>
        </w:tcBorders>
      </w:tcPr>
    </w:tblStylePr>
    <w:tblStylePr w:type="fir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B62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CB62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FCB62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Lined - Accent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908" w:customStyle="1">
    <w:name w:val="Lined - Accent 1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909" w:customStyle="1">
    <w:name w:val="Lined - Accent 2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910" w:customStyle="1">
    <w:name w:val="Lined - Accent 3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911" w:customStyle="1">
    <w:name w:val="Lined - Accent 4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912" w:customStyle="1">
    <w:name w:val="Lined - Accent 5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913" w:customStyle="1">
    <w:name w:val="Lined - Accent 6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914" w:customStyle="1">
    <w:name w:val="Bordered &amp; Lined - Accent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808080" w:themeColor="text1" w:themeTint="A6" w:sz="4" w:space="0"/>
        <w:left w:val="single" w:color="808080" w:themeColor="text1" w:themeTint="A6" w:sz="4" w:space="0"/>
        <w:bottom w:val="single" w:color="808080" w:themeColor="text1" w:themeTint="A6" w:sz="4" w:space="0"/>
        <w:right w:val="single" w:color="808080" w:themeColor="text1" w:themeTint="A6" w:sz="4" w:space="0"/>
        <w:insideH w:val="single" w:color="808080" w:themeColor="text1" w:themeTint="A6" w:sz="4" w:space="0"/>
        <w:insideV w:val="single" w:color="80808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915" w:customStyle="1">
    <w:name w:val="Bordered &amp; Lined - Accent 1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2545" w:themeColor="accent1" w:themeShade="95" w:sz="4" w:space="0"/>
        <w:left w:val="single" w:color="002545" w:themeColor="accent1" w:themeShade="95" w:sz="4" w:space="0"/>
        <w:bottom w:val="single" w:color="002545" w:themeColor="accent1" w:themeShade="95" w:sz="4" w:space="0"/>
        <w:right w:val="single" w:color="002545" w:themeColor="accent1" w:themeShade="95" w:sz="4" w:space="0"/>
        <w:insideH w:val="single" w:color="002545" w:themeColor="accent1" w:themeShade="95" w:sz="4" w:space="0"/>
        <w:insideV w:val="single" w:color="00254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916" w:customStyle="1">
    <w:name w:val="Bordered &amp; Lined - Accent 2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F6D93" w:themeColor="accent2" w:themeShade="95" w:sz="4" w:space="0"/>
        <w:left w:val="single" w:color="0F6D93" w:themeColor="accent2" w:themeShade="95" w:sz="4" w:space="0"/>
        <w:bottom w:val="single" w:color="0F6D93" w:themeColor="accent2" w:themeShade="95" w:sz="4" w:space="0"/>
        <w:right w:val="single" w:color="0F6D93" w:themeColor="accent2" w:themeShade="95" w:sz="4" w:space="0"/>
        <w:insideH w:val="single" w:color="0F6D93" w:themeColor="accent2" w:themeShade="95" w:sz="4" w:space="0"/>
        <w:insideV w:val="single" w:color="0F6D93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917" w:customStyle="1">
    <w:name w:val="Bordered &amp; Lined - Accent 3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416C" w:themeColor="accent3" w:themeShade="95" w:sz="4" w:space="0"/>
        <w:left w:val="single" w:color="00416C" w:themeColor="accent3" w:themeShade="95" w:sz="4" w:space="0"/>
        <w:bottom w:val="single" w:color="00416C" w:themeColor="accent3" w:themeShade="95" w:sz="4" w:space="0"/>
        <w:right w:val="single" w:color="00416C" w:themeColor="accent3" w:themeShade="95" w:sz="4" w:space="0"/>
        <w:insideH w:val="single" w:color="00416C" w:themeColor="accent3" w:themeShade="95" w:sz="4" w:space="0"/>
        <w:insideV w:val="single" w:color="00416C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918" w:customStyle="1">
    <w:name w:val="Bordered &amp; Lined - Accent 4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F7F7F" w:themeColor="accent4" w:themeShade="95" w:sz="4" w:space="0"/>
        <w:left w:val="single" w:color="7F7F7F" w:themeColor="accent4" w:themeShade="95" w:sz="4" w:space="0"/>
        <w:bottom w:val="single" w:color="7F7F7F" w:themeColor="accent4" w:themeShade="95" w:sz="4" w:space="0"/>
        <w:right w:val="single" w:color="7F7F7F" w:themeColor="accent4" w:themeShade="95" w:sz="4" w:space="0"/>
        <w:insideH w:val="single" w:color="7F7F7F" w:themeColor="accent4" w:themeShade="95" w:sz="4" w:space="0"/>
        <w:insideV w:val="single" w:color="7F7F7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919" w:customStyle="1">
    <w:name w:val="Bordered &amp; Lined - Accent 5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56E0C" w:themeColor="accent5" w:themeShade="95" w:sz="4" w:space="0"/>
        <w:left w:val="single" w:color="656E0C" w:themeColor="accent5" w:themeShade="95" w:sz="4" w:space="0"/>
        <w:bottom w:val="single" w:color="656E0C" w:themeColor="accent5" w:themeShade="95" w:sz="4" w:space="0"/>
        <w:right w:val="single" w:color="656E0C" w:themeColor="accent5" w:themeShade="95" w:sz="4" w:space="0"/>
        <w:insideH w:val="single" w:color="656E0C" w:themeColor="accent5" w:themeShade="95" w:sz="4" w:space="0"/>
        <w:insideV w:val="single" w:color="656E0C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920" w:customStyle="1">
    <w:name w:val="Bordered &amp; Lined - Accent 6"/>
    <w:basedOn w:val="78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06000" w:themeColor="accent6" w:themeShade="95" w:sz="4" w:space="0"/>
        <w:left w:val="single" w:color="906000" w:themeColor="accent6" w:themeShade="95" w:sz="4" w:space="0"/>
        <w:bottom w:val="single" w:color="906000" w:themeColor="accent6" w:themeShade="95" w:sz="4" w:space="0"/>
        <w:right w:val="single" w:color="906000" w:themeColor="accent6" w:themeShade="95" w:sz="4" w:space="0"/>
        <w:insideH w:val="single" w:color="906000" w:themeColor="accent6" w:themeShade="95" w:sz="4" w:space="0"/>
        <w:insideV w:val="single" w:color="906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921" w:customStyle="1">
    <w:name w:val="Bordered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1E1" w:themeColor="text1" w:themeTint="26" w:sz="4" w:space="0"/>
        <w:left w:val="single" w:color="E1E1E1" w:themeColor="text1" w:themeTint="26" w:sz="4" w:space="0"/>
        <w:bottom w:val="single" w:color="E1E1E1" w:themeColor="text1" w:themeTint="26" w:sz="4" w:space="0"/>
        <w:right w:val="single" w:color="E1E1E1" w:themeColor="text1" w:themeTint="26" w:sz="4" w:space="0"/>
        <w:insideH w:val="single" w:color="E1E1E1" w:themeColor="text1" w:themeTint="26" w:sz="4" w:space="0"/>
        <w:insideV w:val="single" w:color="E1E1E1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1E1E1" w:themeColor="text1" w:themeTint="26" w:sz="4" w:space="0"/>
          <w:left w:val="single" w:color="E1E1E1" w:themeColor="text1" w:themeTint="26" w:sz="4" w:space="0"/>
          <w:bottom w:val="single" w:color="E1E1E1" w:themeColor="text1" w:themeTint="26" w:sz="4" w:space="0"/>
          <w:right w:val="single" w:color="E1E1E1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D9D9D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D9D9D" w:themeColor="text1" w:themeTint="80" w:sz="12" w:space="0"/>
        </w:tcBorders>
      </w:tcPr>
    </w:tblStylePr>
  </w:style>
  <w:style w:type="table" w:styleId="922" w:customStyle="1">
    <w:name w:val="Bordered - Accent 1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4077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4077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4077" w:themeColor="accent1" w:sz="12" w:space="0"/>
        </w:tcBorders>
      </w:tcPr>
    </w:tblStylePr>
  </w:style>
  <w:style w:type="table" w:styleId="923" w:customStyle="1">
    <w:name w:val="Bordered - Accent 2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3D2F2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3D2F2" w:themeColor="accent2" w:themeTint="97" w:sz="12" w:space="0"/>
        </w:tcBorders>
      </w:tcPr>
    </w:tblStylePr>
  </w:style>
  <w:style w:type="table" w:styleId="924" w:customStyle="1">
    <w:name w:val="Bordered - Accent 3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3DB1FF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3DB1FF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3DB1FF" w:themeColor="accent3" w:themeTint="98" w:sz="12" w:space="0"/>
        </w:tcBorders>
      </w:tcPr>
    </w:tblStylePr>
  </w:style>
  <w:style w:type="table" w:styleId="925" w:customStyle="1">
    <w:name w:val="Bordered - Accent 4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8E8E8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8E8E8" w:themeColor="accent4" w:themeTint="9A" w:sz="12" w:space="0"/>
        </w:tcBorders>
      </w:tcPr>
    </w:tblStylePr>
  </w:style>
  <w:style w:type="table" w:styleId="926" w:customStyle="1">
    <w:name w:val="Bordered - Accent 5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FED5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FED5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FED5B" w:themeColor="accent5" w:themeTint="9A" w:sz="12" w:space="0"/>
        </w:tcBorders>
      </w:tcPr>
    </w:tblStylePr>
  </w:style>
  <w:style w:type="table" w:styleId="927" w:customStyle="1">
    <w:name w:val="Bordered - Accent 6"/>
    <w:basedOn w:val="7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CB62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CB62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CB62" w:themeColor="accent6" w:themeTint="98" w:sz="12" w:space="0"/>
        </w:tcBorders>
      </w:tcPr>
    </w:tblStylePr>
  </w:style>
  <w:style w:type="paragraph" w:styleId="928">
    <w:name w:val="footnote text"/>
    <w:basedOn w:val="770"/>
    <w:link w:val="929"/>
    <w:uiPriority w:val="99"/>
    <w:semiHidden/>
    <w:unhideWhenUsed/>
    <w:pPr>
      <w:spacing w:after="40"/>
    </w:pPr>
    <w:rPr>
      <w:sz w:val="18"/>
    </w:rPr>
  </w:style>
  <w:style w:type="character" w:styleId="929" w:customStyle="1">
    <w:name w:val="Текст сноски Знак"/>
    <w:link w:val="928"/>
    <w:uiPriority w:val="99"/>
    <w:rPr>
      <w:sz w:val="18"/>
    </w:rPr>
  </w:style>
  <w:style w:type="character" w:styleId="930">
    <w:name w:val="footnote reference"/>
    <w:basedOn w:val="780"/>
    <w:uiPriority w:val="99"/>
    <w:unhideWhenUsed/>
    <w:rPr>
      <w:vertAlign w:val="superscript"/>
    </w:rPr>
  </w:style>
  <w:style w:type="character" w:styleId="931" w:customStyle="1">
    <w:name w:val="Endnote Text Char"/>
    <w:uiPriority w:val="99"/>
    <w:rPr>
      <w:sz w:val="20"/>
    </w:rPr>
  </w:style>
  <w:style w:type="character" w:styleId="932">
    <w:name w:val="endnote reference"/>
    <w:basedOn w:val="780"/>
    <w:uiPriority w:val="99"/>
    <w:semiHidden/>
    <w:unhideWhenUsed/>
    <w:rPr>
      <w:vertAlign w:val="superscript"/>
    </w:rPr>
  </w:style>
  <w:style w:type="paragraph" w:styleId="933">
    <w:name w:val="toc 1"/>
    <w:basedOn w:val="770"/>
    <w:next w:val="770"/>
    <w:uiPriority w:val="39"/>
    <w:unhideWhenUsed/>
    <w:pPr>
      <w:spacing w:after="57"/>
    </w:pPr>
  </w:style>
  <w:style w:type="paragraph" w:styleId="934">
    <w:name w:val="toc 2"/>
    <w:basedOn w:val="770"/>
    <w:next w:val="770"/>
    <w:uiPriority w:val="39"/>
    <w:unhideWhenUsed/>
    <w:pPr>
      <w:ind w:left="283"/>
      <w:spacing w:after="57"/>
    </w:pPr>
  </w:style>
  <w:style w:type="paragraph" w:styleId="935">
    <w:name w:val="toc 3"/>
    <w:basedOn w:val="770"/>
    <w:next w:val="770"/>
    <w:uiPriority w:val="39"/>
    <w:unhideWhenUsed/>
    <w:pPr>
      <w:ind w:left="567"/>
      <w:spacing w:after="57"/>
    </w:pPr>
  </w:style>
  <w:style w:type="paragraph" w:styleId="936">
    <w:name w:val="toc 4"/>
    <w:basedOn w:val="770"/>
    <w:next w:val="770"/>
    <w:uiPriority w:val="39"/>
    <w:unhideWhenUsed/>
    <w:pPr>
      <w:ind w:left="850"/>
      <w:spacing w:after="57"/>
    </w:pPr>
  </w:style>
  <w:style w:type="paragraph" w:styleId="937">
    <w:name w:val="toc 5"/>
    <w:basedOn w:val="770"/>
    <w:next w:val="770"/>
    <w:uiPriority w:val="39"/>
    <w:unhideWhenUsed/>
    <w:pPr>
      <w:ind w:left="1134"/>
      <w:spacing w:after="57"/>
    </w:pPr>
  </w:style>
  <w:style w:type="paragraph" w:styleId="938">
    <w:name w:val="toc 6"/>
    <w:basedOn w:val="770"/>
    <w:next w:val="770"/>
    <w:uiPriority w:val="39"/>
    <w:unhideWhenUsed/>
    <w:pPr>
      <w:ind w:left="1417"/>
      <w:spacing w:after="57"/>
    </w:pPr>
  </w:style>
  <w:style w:type="paragraph" w:styleId="939">
    <w:name w:val="toc 7"/>
    <w:basedOn w:val="770"/>
    <w:next w:val="770"/>
    <w:uiPriority w:val="39"/>
    <w:unhideWhenUsed/>
    <w:pPr>
      <w:ind w:left="1701"/>
      <w:spacing w:after="57"/>
    </w:pPr>
  </w:style>
  <w:style w:type="paragraph" w:styleId="940">
    <w:name w:val="toc 8"/>
    <w:basedOn w:val="770"/>
    <w:next w:val="770"/>
    <w:uiPriority w:val="39"/>
    <w:unhideWhenUsed/>
    <w:pPr>
      <w:ind w:left="1984"/>
      <w:spacing w:after="57"/>
    </w:pPr>
  </w:style>
  <w:style w:type="paragraph" w:styleId="941">
    <w:name w:val="toc 9"/>
    <w:basedOn w:val="770"/>
    <w:next w:val="770"/>
    <w:uiPriority w:val="39"/>
    <w:unhideWhenUsed/>
    <w:pPr>
      <w:ind w:left="2268"/>
      <w:spacing w:after="57"/>
    </w:pPr>
  </w:style>
  <w:style w:type="paragraph" w:styleId="942">
    <w:name w:val="TOC Heading"/>
    <w:uiPriority w:val="39"/>
    <w:unhideWhenUsed/>
  </w:style>
  <w:style w:type="paragraph" w:styleId="943">
    <w:name w:val="table of figures"/>
    <w:basedOn w:val="770"/>
    <w:next w:val="770"/>
    <w:uiPriority w:val="99"/>
    <w:unhideWhenUsed/>
  </w:style>
  <w:style w:type="table" w:styleId="944">
    <w:name w:val="Table Grid"/>
    <w:basedOn w:val="781"/>
    <w:uiPriority w:val="5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45">
    <w:name w:val="Header"/>
    <w:basedOn w:val="770"/>
    <w:link w:val="946"/>
    <w:unhideWhenUsed/>
    <w:pPr>
      <w:tabs>
        <w:tab w:val="center" w:pos="4677" w:leader="none"/>
        <w:tab w:val="right" w:pos="9355" w:leader="none"/>
      </w:tabs>
    </w:pPr>
  </w:style>
  <w:style w:type="character" w:styleId="946" w:customStyle="1">
    <w:name w:val="Верхний колонтитул Знак"/>
    <w:basedOn w:val="780"/>
    <w:link w:val="945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7">
    <w:name w:val="Footer"/>
    <w:basedOn w:val="770"/>
    <w:link w:val="94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48" w:customStyle="1">
    <w:name w:val="Нижний колонтитул Знак"/>
    <w:basedOn w:val="780"/>
    <w:link w:val="94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9">
    <w:name w:val="Normal (Web)"/>
    <w:basedOn w:val="770"/>
    <w:uiPriority w:val="99"/>
    <w:semiHidden/>
    <w:unhideWhenUsed/>
    <w:pPr>
      <w:spacing w:before="100" w:beforeAutospacing="1" w:after="100" w:afterAutospacing="1"/>
    </w:pPr>
    <w:rPr>
      <w:rFonts w:eastAsiaTheme="minorEastAsia"/>
    </w:rPr>
  </w:style>
  <w:style w:type="paragraph" w:styleId="950">
    <w:name w:val="Body Text"/>
    <w:basedOn w:val="770"/>
    <w:link w:val="951"/>
    <w:uiPriority w:val="99"/>
    <w:pPr>
      <w:keepNext/>
      <w:outlineLvl w:val="0"/>
    </w:pPr>
    <w:rPr>
      <w:szCs w:val="20"/>
    </w:rPr>
  </w:style>
  <w:style w:type="character" w:styleId="951" w:customStyle="1">
    <w:name w:val="Основной текст Знак1"/>
    <w:link w:val="950"/>
    <w:uiPriority w:val="99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52" w:customStyle="1">
    <w:name w:val="Основной текст Знак"/>
    <w:basedOn w:val="780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3">
    <w:name w:val="Body Text Indent"/>
    <w:basedOn w:val="770"/>
    <w:link w:val="954"/>
    <w:uiPriority w:val="99"/>
    <w:semiHidden/>
    <w:unhideWhenUsed/>
    <w:pPr>
      <w:ind w:left="283"/>
      <w:spacing w:after="120"/>
    </w:pPr>
  </w:style>
  <w:style w:type="character" w:styleId="954" w:customStyle="1">
    <w:name w:val="Основной текст с отступом Знак"/>
    <w:basedOn w:val="780"/>
    <w:link w:val="953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5">
    <w:name w:val="Body Text First Indent 2"/>
    <w:basedOn w:val="953"/>
    <w:link w:val="956"/>
    <w:uiPriority w:val="99"/>
    <w:semiHidden/>
    <w:unhideWhenUsed/>
    <w:pPr>
      <w:ind w:left="360" w:firstLine="360"/>
      <w:spacing w:after="0"/>
    </w:pPr>
  </w:style>
  <w:style w:type="character" w:styleId="956" w:customStyle="1">
    <w:name w:val="Красная строка 2 Знак"/>
    <w:basedOn w:val="954"/>
    <w:link w:val="955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7">
    <w:name w:val="List Paragraph"/>
    <w:basedOn w:val="770"/>
    <w:link w:val="958"/>
    <w:uiPriority w:val="34"/>
    <w:qFormat/>
    <w:pPr>
      <w:contextualSpacing/>
      <w:ind w:left="720"/>
    </w:pPr>
  </w:style>
  <w:style w:type="character" w:styleId="958" w:customStyle="1">
    <w:name w:val="Абзац списка Знак"/>
    <w:link w:val="957"/>
    <w:uiPriority w:val="34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9">
    <w:name w:val="Hyperlink"/>
    <w:basedOn w:val="780"/>
    <w:uiPriority w:val="99"/>
    <w:unhideWhenUsed/>
    <w:rPr>
      <w:color w:val="0070ba" w:themeColor="hyperlink"/>
      <w:u w:val="single"/>
    </w:rPr>
  </w:style>
  <w:style w:type="table" w:styleId="960">
    <w:name w:val="Grid Table Light"/>
    <w:basedOn w:val="781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961">
    <w:name w:val="Plain Table 4"/>
    <w:basedOn w:val="781"/>
    <w:uiPriority w:val="44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</w:tblStylePr>
  </w:style>
  <w:style w:type="paragraph" w:styleId="962">
    <w:name w:val="Balloon Text"/>
    <w:basedOn w:val="770"/>
    <w:link w:val="963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963" w:customStyle="1">
    <w:name w:val="Текст выноски Знак"/>
    <w:basedOn w:val="780"/>
    <w:link w:val="962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paragraph" w:styleId="964" w:customStyle="1">
    <w:name w:val="ConsPlusNormal"/>
    <w:basedOn w:val="770"/>
    <w:uiPriority w:val="99"/>
    <w:rPr>
      <w:rFonts w:ascii="Arial" w:hAnsi="Arial" w:cs="Arial" w:eastAsiaTheme="minorHAnsi"/>
      <w:sz w:val="20"/>
      <w:szCs w:val="20"/>
    </w:rPr>
  </w:style>
  <w:style w:type="paragraph" w:styleId="965">
    <w:name w:val="Body Text 2"/>
    <w:basedOn w:val="770"/>
    <w:link w:val="966"/>
    <w:uiPriority w:val="99"/>
    <w:semiHidden/>
    <w:unhideWhenUsed/>
    <w:pPr>
      <w:spacing w:after="120" w:line="480" w:lineRule="auto"/>
    </w:pPr>
  </w:style>
  <w:style w:type="character" w:styleId="966" w:customStyle="1">
    <w:name w:val="Основной текст 2 Знак"/>
    <w:basedOn w:val="780"/>
    <w:link w:val="965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7">
    <w:name w:val="endnote text"/>
    <w:basedOn w:val="770"/>
    <w:link w:val="968"/>
    <w:pPr>
      <w:contextualSpacing/>
      <w:ind w:firstLine="540"/>
      <w:jc w:val="both"/>
      <w:spacing w:before="60"/>
      <w:tabs>
        <w:tab w:val="left" w:pos="0" w:leader="none"/>
      </w:tabs>
    </w:pPr>
    <w:rPr>
      <w:rFonts w:ascii="Arial" w:hAnsi="Arial" w:eastAsia="Calibri" w:cs="Arial"/>
      <w:color w:val="000000"/>
      <w:sz w:val="20"/>
      <w:szCs w:val="28"/>
      <w:lang w:eastAsia="en-US"/>
    </w:rPr>
  </w:style>
  <w:style w:type="character" w:styleId="968" w:customStyle="1">
    <w:name w:val="Текст концевой сноски Знак"/>
    <w:basedOn w:val="780"/>
    <w:link w:val="967"/>
    <w:rPr>
      <w:rFonts w:ascii="Arial" w:hAnsi="Arial" w:eastAsia="Calibri" w:cs="Arial"/>
      <w:color w:val="000000"/>
      <w:sz w:val="20"/>
      <w:szCs w:val="28"/>
    </w:rPr>
  </w:style>
  <w:style w:type="paragraph" w:styleId="969" w:customStyle="1">
    <w:name w:val="s08 Список а)"/>
    <w:basedOn w:val="770"/>
    <w:uiPriority w:val="99"/>
    <w:pPr>
      <w:ind w:firstLine="340"/>
      <w:jc w:val="both"/>
      <w:keepNext/>
      <w:spacing w:before="80"/>
      <w:widowControl w:val="off"/>
      <w:tabs>
        <w:tab w:val="num" w:pos="360" w:leader="none"/>
        <w:tab w:val="left" w:pos="1134" w:leader="none"/>
      </w:tabs>
      <w:outlineLvl w:val="4"/>
    </w:pPr>
    <w:rPr>
      <w:rFonts w:ascii="Arial" w:hAnsi="Arial"/>
      <w:bCs/>
      <w:color w:val="000000"/>
      <w:sz w:val="22"/>
      <w:szCs w:val="28"/>
    </w:rPr>
  </w:style>
  <w:style w:type="character" w:styleId="970" w:customStyle="1">
    <w:name w:val="Font Style18"/>
    <w:uiPriority w:val="99"/>
    <w:rPr>
      <w:rFonts w:ascii="Arial" w:hAnsi="Arial" w:cs="Arial"/>
      <w:b/>
      <w:bCs/>
      <w:sz w:val="22"/>
      <w:szCs w:val="22"/>
    </w:rPr>
  </w:style>
  <w:style w:type="character" w:styleId="971">
    <w:name w:val="annotation reference"/>
    <w:basedOn w:val="780"/>
    <w:uiPriority w:val="99"/>
    <w:semiHidden/>
    <w:unhideWhenUsed/>
    <w:rPr>
      <w:sz w:val="16"/>
      <w:szCs w:val="16"/>
    </w:rPr>
  </w:style>
  <w:style w:type="paragraph" w:styleId="972">
    <w:name w:val="annotation text"/>
    <w:basedOn w:val="770"/>
    <w:link w:val="973"/>
    <w:uiPriority w:val="99"/>
    <w:semiHidden/>
    <w:unhideWhenUsed/>
    <w:rPr>
      <w:sz w:val="20"/>
      <w:szCs w:val="20"/>
    </w:rPr>
  </w:style>
  <w:style w:type="character" w:styleId="973" w:customStyle="1">
    <w:name w:val="Текст примечания Знак"/>
    <w:basedOn w:val="780"/>
    <w:link w:val="972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74">
    <w:name w:val="annotation subject"/>
    <w:basedOn w:val="972"/>
    <w:next w:val="972"/>
    <w:link w:val="975"/>
    <w:uiPriority w:val="99"/>
    <w:semiHidden/>
    <w:unhideWhenUsed/>
    <w:rPr>
      <w:b/>
      <w:bCs/>
    </w:rPr>
  </w:style>
  <w:style w:type="character" w:styleId="975" w:customStyle="1">
    <w:name w:val="Тема примечания Знак"/>
    <w:basedOn w:val="973"/>
    <w:link w:val="974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976">
    <w:name w:val="Subtitle"/>
    <w:basedOn w:val="770"/>
    <w:next w:val="770"/>
    <w:link w:val="977"/>
    <w:uiPriority w:val="11"/>
    <w:qFormat/>
    <w:pPr>
      <w:spacing w:before="200" w:after="200"/>
    </w:pPr>
  </w:style>
  <w:style w:type="character" w:styleId="977" w:customStyle="1">
    <w:name w:val="Подзаголовок Знак"/>
    <w:basedOn w:val="780"/>
    <w:link w:val="976"/>
    <w:uiPriority w:val="11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omments" Target="comments.xml" /><Relationship Id="rId11" Type="http://schemas.microsoft.com/office/2011/relationships/commentsExtended" Target="commentsExtended.xml" /><Relationship Id="rId12" Type="http://schemas.microsoft.com/office/2018/08/relationships/commentsExtensible" Target="commentsExtensible.xml" /><Relationship Id="rId13" Type="http://schemas.microsoft.com/office/2016/09/relationships/commentsIds" Target="commentsIds.xml" /><Relationship Id="rId14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FF7FB-1852-4F65-8D9E-CD2464E7E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Кириллова Татьяна Евгеньевна</dc:creator>
  <cp:lastModifiedBy>navalikhin.pi</cp:lastModifiedBy>
  <cp:revision>8</cp:revision>
  <dcterms:created xsi:type="dcterms:W3CDTF">2025-11-24T10:24:00Z</dcterms:created>
  <dcterms:modified xsi:type="dcterms:W3CDTF">2026-08-03T10:42:18Z</dcterms:modified>
</cp:coreProperties>
</file>